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4E104D">
      <w:pPr>
        <w:bidi w:val="0"/>
        <w:rPr>
          <w:rFonts w:hint="default"/>
          <w:color w:val="000000" w:themeColor="text1"/>
          <w14:textFill>
            <w14:solidFill>
              <w14:schemeClr w14:val="tx1"/>
            </w14:solidFill>
          </w14:textFill>
        </w:rPr>
      </w:pPr>
      <w:bookmarkStart w:id="0" w:name="_Toc75955702"/>
    </w:p>
    <w:p w14:paraId="029702EC">
      <w:pPr>
        <w:bidi w:val="0"/>
        <w:rPr>
          <w:rFonts w:hint="default"/>
          <w:color w:val="000000" w:themeColor="text1"/>
          <w14:textFill>
            <w14:solidFill>
              <w14:schemeClr w14:val="tx1"/>
            </w14:solidFill>
          </w14:textFill>
        </w:rPr>
      </w:pPr>
    </w:p>
    <w:p w14:paraId="1F7F3607">
      <w:pPr>
        <w:bidi w:val="0"/>
        <w:rPr>
          <w:rFonts w:hint="default"/>
          <w:color w:val="000000" w:themeColor="text1"/>
          <w14:textFill>
            <w14:solidFill>
              <w14:schemeClr w14:val="tx1"/>
            </w14:solidFill>
          </w14:textFill>
        </w:rPr>
      </w:pPr>
    </w:p>
    <w:p w14:paraId="1C2AD865">
      <w:pPr>
        <w:bidi w:val="0"/>
        <w:rPr>
          <w:rFonts w:hint="default"/>
          <w:color w:val="000000" w:themeColor="text1"/>
          <w14:textFill>
            <w14:solidFill>
              <w14:schemeClr w14:val="tx1"/>
            </w14:solidFill>
          </w14:textFill>
        </w:rPr>
      </w:pPr>
    </w:p>
    <w:p w14:paraId="1012CC84">
      <w:pPr>
        <w:bidi w:val="0"/>
        <w:rPr>
          <w:rFonts w:hint="default"/>
          <w:color w:val="000000" w:themeColor="text1"/>
          <w14:textFill>
            <w14:solidFill>
              <w14:schemeClr w14:val="tx1"/>
            </w14:solidFill>
          </w14:textFill>
        </w:rPr>
      </w:pPr>
    </w:p>
    <w:p w14:paraId="16BDDD93">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3E2BFED8">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576C5788">
      <w:pPr>
        <w:rPr>
          <w:rFonts w:hint="default"/>
          <w:color w:val="000000" w:themeColor="text1"/>
          <w14:textFill>
            <w14:solidFill>
              <w14:schemeClr w14:val="tx1"/>
            </w14:solidFill>
          </w14:textFill>
        </w:rPr>
      </w:pPr>
    </w:p>
    <w:p w14:paraId="758B7D80">
      <w:pPr>
        <w:pStyle w:val="19"/>
        <w:rPr>
          <w:rFonts w:hint="default"/>
          <w:color w:val="000000" w:themeColor="text1"/>
          <w14:textFill>
            <w14:solidFill>
              <w14:schemeClr w14:val="tx1"/>
            </w14:solidFill>
          </w14:textFill>
        </w:rPr>
      </w:pPr>
    </w:p>
    <w:p w14:paraId="0069785E">
      <w:pPr>
        <w:rPr>
          <w:rFonts w:hint="default"/>
          <w:color w:val="000000" w:themeColor="text1"/>
          <w14:textFill>
            <w14:solidFill>
              <w14:schemeClr w14:val="tx1"/>
            </w14:solidFill>
          </w14:textFill>
        </w:rPr>
      </w:pPr>
    </w:p>
    <w:p w14:paraId="08933C3E">
      <w:pPr>
        <w:pStyle w:val="19"/>
        <w:rPr>
          <w:rFonts w:hint="default"/>
          <w:color w:val="000000" w:themeColor="text1"/>
          <w14:textFill>
            <w14:solidFill>
              <w14:schemeClr w14:val="tx1"/>
            </w14:solidFill>
          </w14:textFill>
        </w:rPr>
      </w:pPr>
    </w:p>
    <w:p w14:paraId="4763DE54">
      <w:pPr>
        <w:rPr>
          <w:rFonts w:hint="default"/>
          <w:color w:val="000000" w:themeColor="text1"/>
          <w14:textFill>
            <w14:solidFill>
              <w14:schemeClr w14:val="tx1"/>
            </w14:solidFill>
          </w14:textFill>
        </w:rPr>
      </w:pPr>
    </w:p>
    <w:p w14:paraId="23E8131C">
      <w:pPr>
        <w:pStyle w:val="19"/>
        <w:rPr>
          <w:rFonts w:hint="default"/>
          <w:color w:val="000000" w:themeColor="text1"/>
          <w14:textFill>
            <w14:solidFill>
              <w14:schemeClr w14:val="tx1"/>
            </w14:solidFill>
          </w14:textFill>
        </w:rPr>
      </w:pPr>
    </w:p>
    <w:p w14:paraId="34B09586">
      <w:pPr>
        <w:rPr>
          <w:rFonts w:hint="default"/>
          <w:color w:val="000000" w:themeColor="text1"/>
          <w14:textFill>
            <w14:solidFill>
              <w14:schemeClr w14:val="tx1"/>
            </w14:solidFill>
          </w14:textFill>
        </w:rPr>
      </w:pPr>
    </w:p>
    <w:p w14:paraId="450EF449">
      <w:pPr>
        <w:pStyle w:val="19"/>
        <w:rPr>
          <w:rFonts w:hint="default"/>
          <w:color w:val="000000" w:themeColor="text1"/>
          <w14:textFill>
            <w14:solidFill>
              <w14:schemeClr w14:val="tx1"/>
            </w14:solidFill>
          </w14:textFill>
        </w:rPr>
      </w:pPr>
    </w:p>
    <w:p w14:paraId="57C9C66B">
      <w:pPr>
        <w:rPr>
          <w:rFonts w:hint="default"/>
          <w:color w:val="000000" w:themeColor="text1"/>
          <w14:textFill>
            <w14:solidFill>
              <w14:schemeClr w14:val="tx1"/>
            </w14:solidFill>
          </w14:textFill>
        </w:rPr>
      </w:pPr>
    </w:p>
    <w:p w14:paraId="25E3CEF4">
      <w:pPr>
        <w:pStyle w:val="19"/>
        <w:rPr>
          <w:rFonts w:hint="default"/>
          <w:color w:val="000000" w:themeColor="text1"/>
          <w14:textFill>
            <w14:solidFill>
              <w14:schemeClr w14:val="tx1"/>
            </w14:solidFill>
          </w14:textFill>
        </w:rPr>
      </w:pPr>
    </w:p>
    <w:p w14:paraId="73FCEDE9">
      <w:pPr>
        <w:rPr>
          <w:rFonts w:hint="default"/>
          <w:color w:val="000000" w:themeColor="text1"/>
          <w14:textFill>
            <w14:solidFill>
              <w14:schemeClr w14:val="tx1"/>
            </w14:solidFill>
          </w14:textFill>
        </w:rPr>
      </w:pPr>
    </w:p>
    <w:p w14:paraId="286CC134">
      <w:pPr>
        <w:adjustRightInd w:val="0"/>
        <w:snapToGrid w:val="0"/>
        <w:spacing w:line="288" w:lineRule="auto"/>
        <w:ind w:left="2878" w:leftChars="342" w:hanging="2160" w:hangingChars="600"/>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default" w:ascii="Times New Roman" w:hAnsi="Times New Roman" w:eastAsia="仿宋_GB2312" w:cs="Times New Roman"/>
          <w:color w:val="000000" w:themeColor="text1"/>
          <w:w w:val="82"/>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w w:val="82"/>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西凤酒综合能源中心项目（一期）</w:t>
      </w:r>
      <w:r>
        <w:rPr>
          <w:rFonts w:hint="default" w:ascii="Times New Roman" w:hAnsi="Times New Roman" w:eastAsia="仿宋_GB2312" w:cs="Times New Roman"/>
          <w:color w:val="000000" w:themeColor="text1"/>
          <w:w w:val="100"/>
          <w:sz w:val="36"/>
          <w:szCs w:val="36"/>
          <w:u w:val="single"/>
          <w:lang w:val="en-US" w:eastAsia="zh-CN"/>
          <w14:textFill>
            <w14:solidFill>
              <w14:schemeClr w14:val="tx1"/>
            </w14:solidFill>
          </w14:textFill>
        </w:rPr>
        <w:t xml:space="preserve"> </w:t>
      </w:r>
    </w:p>
    <w:p w14:paraId="7122453A">
      <w:pPr>
        <w:adjustRightInd w:val="0"/>
        <w:snapToGrid w:val="0"/>
        <w:spacing w:line="288" w:lineRule="auto"/>
        <w:ind w:firstLine="720" w:firstLineChars="200"/>
        <w:jc w:val="both"/>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eastAsia="zh-CN"/>
          <w14:textFill>
            <w14:solidFill>
              <w14:schemeClr w14:val="tx1"/>
            </w14:solidFill>
          </w14:textFill>
        </w:rPr>
        <w:t>陕西西凤宝气新能源科技有限公司</w:t>
      </w:r>
    </w:p>
    <w:p w14:paraId="1606C2A5">
      <w:pPr>
        <w:adjustRightInd w:val="0"/>
        <w:snapToGrid w:val="0"/>
        <w:spacing w:line="288" w:lineRule="auto"/>
        <w:ind w:firstLine="720" w:firstLineChars="20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二〇二五</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六</w:t>
      </w:r>
      <w:r>
        <w:rPr>
          <w:rFonts w:hint="default" w:ascii="Times New Roman" w:hAnsi="Times New Roman" w:eastAsia="仿宋_GB2312" w:cs="Times New Roman"/>
          <w:color w:val="000000" w:themeColor="text1"/>
          <w:sz w:val="36"/>
          <w:szCs w:val="36"/>
          <w:u w:val="single"/>
          <w14:textFill>
            <w14:solidFill>
              <w14:schemeClr w14:val="tx1"/>
            </w14:solidFill>
          </w14:textFill>
        </w:rPr>
        <w:t>月</w:t>
      </w:r>
      <w:r>
        <w:rPr>
          <w:rFonts w:hint="eastAsia"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14:paraId="3A2A4CB1">
      <w:pPr>
        <w:adjustRightInd w:val="0"/>
        <w:snapToGrid w:val="0"/>
        <w:spacing w:line="288" w:lineRule="auto"/>
        <w:rPr>
          <w:rFonts w:hint="default" w:ascii="Times New Roman" w:hAnsi="Times New Roman" w:eastAsia="仿宋_GB2312" w:cs="Times New Roman"/>
          <w:color w:val="000000" w:themeColor="text1"/>
          <w:sz w:val="36"/>
          <w:szCs w:val="36"/>
          <w14:textFill>
            <w14:solidFill>
              <w14:schemeClr w14:val="tx1"/>
            </w14:solidFill>
          </w14:textFill>
        </w:rPr>
      </w:pPr>
    </w:p>
    <w:p w14:paraId="6771B5AB">
      <w:pPr>
        <w:pStyle w:val="20"/>
        <w:jc w:val="both"/>
        <w:outlineLvl w:val="0"/>
        <w:rPr>
          <w:rFonts w:ascii="Times New Roman"/>
          <w:snapToGrid w:val="0"/>
          <w:color w:val="000000" w:themeColor="text1"/>
          <w:sz w:val="30"/>
          <w:szCs w:val="30"/>
          <w14:textFill>
            <w14:solidFill>
              <w14:schemeClr w14:val="tx1"/>
            </w14:solidFill>
          </w14:textFill>
        </w:rPr>
        <w:sectPr>
          <w:headerReference r:id="rId3" w:type="default"/>
          <w:footerReference r:id="rId4" w:type="default"/>
          <w:pgSz w:w="11906" w:h="16838"/>
          <w:pgMar w:top="1701" w:right="1531" w:bottom="1701" w:left="1531" w:header="851" w:footer="1077" w:gutter="0"/>
          <w:pgNumType w:fmt="decimal" w:start="1"/>
          <w:cols w:space="720" w:num="1"/>
          <w:docGrid w:linePitch="312" w:charSpace="0"/>
        </w:sectPr>
      </w:pPr>
    </w:p>
    <w:p w14:paraId="73E34001">
      <w:pPr>
        <w:overflowPunct w:val="0"/>
        <w:autoSpaceDE w:val="0"/>
        <w:autoSpaceDN w:val="0"/>
        <w:rPr>
          <w:b/>
          <w:color w:val="000000" w:themeColor="text1"/>
          <w:sz w:val="32"/>
          <w:szCs w:val="32"/>
          <w14:textFill>
            <w14:solidFill>
              <w14:schemeClr w14:val="tx1"/>
            </w14:solidFill>
          </w14:textFill>
        </w:rPr>
      </w:pPr>
    </w:p>
    <w:p w14:paraId="1BFC6D8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一、建设项目基本情况</w:t>
      </w:r>
      <w:bookmarkEnd w:id="0"/>
    </w:p>
    <w:tbl>
      <w:tblPr>
        <w:tblStyle w:val="23"/>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06"/>
        <w:gridCol w:w="2421"/>
        <w:gridCol w:w="2369"/>
        <w:gridCol w:w="2614"/>
      </w:tblGrid>
      <w:tr w14:paraId="495C0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606" w:type="dxa"/>
            <w:noWrap w:val="0"/>
            <w:tcMar>
              <w:top w:w="16" w:type="dxa"/>
              <w:left w:w="16" w:type="dxa"/>
              <w:right w:w="16" w:type="dxa"/>
            </w:tcMar>
            <w:vAlign w:val="center"/>
          </w:tcPr>
          <w:p w14:paraId="6D97564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建设项目名称</w:t>
            </w:r>
          </w:p>
        </w:tc>
        <w:tc>
          <w:tcPr>
            <w:tcW w:w="7404" w:type="dxa"/>
            <w:gridSpan w:val="3"/>
            <w:noWrap w:val="0"/>
            <w:vAlign w:val="center"/>
          </w:tcPr>
          <w:p w14:paraId="293BFE3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西凤酒综合能源中心项目（一期）</w:t>
            </w:r>
          </w:p>
        </w:tc>
      </w:tr>
      <w:tr w14:paraId="0C041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606" w:type="dxa"/>
            <w:noWrap w:val="0"/>
            <w:tcMar>
              <w:top w:w="16" w:type="dxa"/>
              <w:left w:w="16" w:type="dxa"/>
              <w:right w:w="16" w:type="dxa"/>
            </w:tcMar>
            <w:vAlign w:val="center"/>
          </w:tcPr>
          <w:p w14:paraId="009AB1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项目代码</w:t>
            </w:r>
          </w:p>
        </w:tc>
        <w:tc>
          <w:tcPr>
            <w:tcW w:w="7404" w:type="dxa"/>
            <w:gridSpan w:val="3"/>
            <w:noWrap w:val="0"/>
            <w:vAlign w:val="center"/>
          </w:tcPr>
          <w:p w14:paraId="4E180B8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2505-610363-04-01-653217</w:t>
            </w:r>
          </w:p>
        </w:tc>
      </w:tr>
      <w:tr w14:paraId="6F117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06" w:type="dxa"/>
            <w:noWrap w:val="0"/>
            <w:tcMar>
              <w:top w:w="16" w:type="dxa"/>
              <w:left w:w="16" w:type="dxa"/>
              <w:right w:w="16" w:type="dxa"/>
            </w:tcMar>
            <w:vAlign w:val="center"/>
          </w:tcPr>
          <w:p w14:paraId="459A08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建设单位</w:t>
            </w:r>
          </w:p>
          <w:p w14:paraId="5FBE3F1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联系人</w:t>
            </w:r>
          </w:p>
        </w:tc>
        <w:tc>
          <w:tcPr>
            <w:tcW w:w="2421" w:type="dxa"/>
            <w:noWrap w:val="0"/>
            <w:vAlign w:val="center"/>
          </w:tcPr>
          <w:p w14:paraId="157F8C2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369" w:type="dxa"/>
            <w:noWrap w:val="0"/>
            <w:vAlign w:val="center"/>
          </w:tcPr>
          <w:p w14:paraId="2A97C2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联系方式</w:t>
            </w:r>
          </w:p>
        </w:tc>
        <w:tc>
          <w:tcPr>
            <w:tcW w:w="2614" w:type="dxa"/>
            <w:noWrap w:val="0"/>
            <w:vAlign w:val="center"/>
          </w:tcPr>
          <w:p w14:paraId="71FE8D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14:paraId="1E1BE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606" w:type="dxa"/>
            <w:noWrap w:val="0"/>
            <w:tcMar>
              <w:top w:w="16" w:type="dxa"/>
              <w:left w:w="16" w:type="dxa"/>
              <w:right w:w="16" w:type="dxa"/>
            </w:tcMar>
            <w:vAlign w:val="center"/>
          </w:tcPr>
          <w:p w14:paraId="7CC41AC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建设地点</w:t>
            </w:r>
          </w:p>
        </w:tc>
        <w:tc>
          <w:tcPr>
            <w:tcW w:w="7404" w:type="dxa"/>
            <w:gridSpan w:val="3"/>
            <w:noWrap w:val="0"/>
            <w:vAlign w:val="center"/>
          </w:tcPr>
          <w:p w14:paraId="0296AA3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陕西省宝鸡市</w:t>
            </w:r>
            <w:r>
              <w:rPr>
                <w:rFonts w:hint="eastAsia" w:ascii="Times New Roman" w:hAnsi="Times New Roman" w:cs="Times New Roman"/>
                <w:color w:val="000000" w:themeColor="text1"/>
                <w:sz w:val="24"/>
                <w:szCs w:val="24"/>
                <w:lang w:val="en-US" w:eastAsia="zh-CN"/>
                <w14:textFill>
                  <w14:solidFill>
                    <w14:schemeClr w14:val="tx1"/>
                  </w14:solidFill>
                </w14:textFill>
              </w:rPr>
              <w:t>凤翔高新区西凤酒城</w:t>
            </w:r>
          </w:p>
        </w:tc>
      </w:tr>
      <w:tr w14:paraId="35838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606" w:type="dxa"/>
            <w:noWrap w:val="0"/>
            <w:tcMar>
              <w:top w:w="16" w:type="dxa"/>
              <w:left w:w="16" w:type="dxa"/>
              <w:right w:w="16" w:type="dxa"/>
            </w:tcMar>
            <w:vAlign w:val="center"/>
          </w:tcPr>
          <w:p w14:paraId="111FBE9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地理坐标</w:t>
            </w:r>
          </w:p>
        </w:tc>
        <w:tc>
          <w:tcPr>
            <w:tcW w:w="7404" w:type="dxa"/>
            <w:gridSpan w:val="3"/>
            <w:noWrap w:val="0"/>
            <w:vAlign w:val="center"/>
          </w:tcPr>
          <w:p w14:paraId="249F59F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（107度</w:t>
            </w:r>
            <w:r>
              <w:rPr>
                <w:rFonts w:hint="eastAsia" w:ascii="Times New Roman" w:hAnsi="Times New Roman" w:cs="Times New Roman"/>
                <w:color w:val="000000" w:themeColor="text1"/>
                <w:sz w:val="24"/>
                <w:szCs w:val="24"/>
                <w:lang w:val="en-US" w:eastAsia="zh-CN"/>
                <w14:textFill>
                  <w14:solidFill>
                    <w14:schemeClr w14:val="tx1"/>
                  </w14:solidFill>
                </w14:textFill>
              </w:rPr>
              <w:t>19</w:t>
            </w:r>
            <w:r>
              <w:rPr>
                <w:rFonts w:hint="default" w:ascii="Times New Roman" w:hAnsi="Times New Roman" w:cs="Times New Roman"/>
                <w:color w:val="000000" w:themeColor="text1"/>
                <w:sz w:val="24"/>
                <w:szCs w:val="24"/>
                <w14:textFill>
                  <w14:solidFill>
                    <w14:schemeClr w14:val="tx1"/>
                  </w14:solidFill>
                </w14:textFill>
              </w:rPr>
              <w:t>分</w:t>
            </w:r>
            <w:r>
              <w:rPr>
                <w:rFonts w:hint="default" w:ascii="Times New Roman" w:hAnsi="Times New Roman" w:cs="Times New Roman"/>
                <w:color w:val="000000" w:themeColor="text1"/>
                <w:sz w:val="24"/>
                <w:szCs w:val="24"/>
                <w:lang w:val="en-US" w:eastAsia="zh-CN"/>
                <w14:textFill>
                  <w14:solidFill>
                    <w14:schemeClr w14:val="tx1"/>
                  </w14:solidFill>
                </w14:textFill>
              </w:rPr>
              <w:t>5.22</w:t>
            </w:r>
            <w:r>
              <w:rPr>
                <w:rFonts w:hint="eastAsia"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秒，34度</w:t>
            </w:r>
            <w:r>
              <w:rPr>
                <w:rFonts w:hint="eastAsia" w:ascii="Times New Roman" w:hAnsi="Times New Roman" w:cs="Times New Roman"/>
                <w:color w:val="000000" w:themeColor="text1"/>
                <w:sz w:val="24"/>
                <w:szCs w:val="24"/>
                <w:lang w:val="en-US" w:eastAsia="zh-CN"/>
                <w14:textFill>
                  <w14:solidFill>
                    <w14:schemeClr w14:val="tx1"/>
                  </w14:solidFill>
                </w14:textFill>
              </w:rPr>
              <w:t>33</w:t>
            </w:r>
            <w:r>
              <w:rPr>
                <w:rFonts w:hint="default" w:ascii="Times New Roman" w:hAnsi="Times New Roman" w:cs="Times New Roman"/>
                <w:color w:val="000000" w:themeColor="text1"/>
                <w:sz w:val="24"/>
                <w:szCs w:val="24"/>
                <w14:textFill>
                  <w14:solidFill>
                    <w14:schemeClr w14:val="tx1"/>
                  </w14:solidFill>
                </w14:textFill>
              </w:rPr>
              <w:t>分</w:t>
            </w:r>
            <w:r>
              <w:rPr>
                <w:rFonts w:hint="eastAsia" w:ascii="Times New Roman" w:hAnsi="Times New Roman" w:cs="Times New Roman"/>
                <w:color w:val="000000" w:themeColor="text1"/>
                <w:sz w:val="24"/>
                <w:szCs w:val="24"/>
                <w:lang w:val="en-US" w:eastAsia="zh-CN"/>
                <w14:textFill>
                  <w14:solidFill>
                    <w14:schemeClr w14:val="tx1"/>
                  </w14:solidFill>
                </w14:textFill>
              </w:rPr>
              <w:t>41.977</w:t>
            </w:r>
            <w:r>
              <w:rPr>
                <w:rFonts w:hint="default" w:ascii="Times New Roman" w:hAnsi="Times New Roman" w:cs="Times New Roman"/>
                <w:color w:val="000000" w:themeColor="text1"/>
                <w:sz w:val="24"/>
                <w:szCs w:val="24"/>
                <w14:textFill>
                  <w14:solidFill>
                    <w14:schemeClr w14:val="tx1"/>
                  </w14:solidFill>
                </w14:textFill>
              </w:rPr>
              <w:t>秒）</w:t>
            </w:r>
          </w:p>
        </w:tc>
      </w:tr>
      <w:tr w14:paraId="5819C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06" w:type="dxa"/>
            <w:noWrap w:val="0"/>
            <w:tcMar>
              <w:top w:w="16" w:type="dxa"/>
              <w:left w:w="16" w:type="dxa"/>
              <w:right w:w="16" w:type="dxa"/>
            </w:tcMar>
            <w:vAlign w:val="center"/>
          </w:tcPr>
          <w:p w14:paraId="3242FA3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国民经济</w:t>
            </w:r>
          </w:p>
          <w:p w14:paraId="3F0724E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行业类别</w:t>
            </w:r>
          </w:p>
        </w:tc>
        <w:tc>
          <w:tcPr>
            <w:tcW w:w="2421" w:type="dxa"/>
            <w:noWrap w:val="0"/>
            <w:vAlign w:val="center"/>
          </w:tcPr>
          <w:p w14:paraId="6DBC17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D4430热力生产和供应</w:t>
            </w:r>
          </w:p>
        </w:tc>
        <w:tc>
          <w:tcPr>
            <w:tcW w:w="2369" w:type="dxa"/>
            <w:noWrap w:val="0"/>
            <w:vAlign w:val="center"/>
          </w:tcPr>
          <w:p w14:paraId="0C72BD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bookmarkStart w:id="1" w:name="_Hlk49843745"/>
            <w:r>
              <w:rPr>
                <w:rFonts w:hint="default" w:ascii="Times New Roman" w:hAnsi="Times New Roman" w:cs="Times New Roman"/>
                <w:color w:val="000000" w:themeColor="text1"/>
                <w:sz w:val="24"/>
                <w:szCs w:val="24"/>
                <w14:textFill>
                  <w14:solidFill>
                    <w14:schemeClr w14:val="tx1"/>
                  </w14:solidFill>
                </w14:textFill>
              </w:rPr>
              <w:t>建设项目</w:t>
            </w:r>
          </w:p>
          <w:p w14:paraId="268B10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行业类别</w:t>
            </w:r>
            <w:bookmarkEnd w:id="1"/>
          </w:p>
        </w:tc>
        <w:tc>
          <w:tcPr>
            <w:tcW w:w="2614" w:type="dxa"/>
            <w:noWrap w:val="0"/>
            <w:vAlign w:val="center"/>
          </w:tcPr>
          <w:p w14:paraId="183FAF0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四十一、电力、热力生产和供应业91热力生产和供应工程（包括建设单位自建自用的供热工程）</w:t>
            </w:r>
          </w:p>
        </w:tc>
      </w:tr>
      <w:tr w14:paraId="0B0C8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06" w:type="dxa"/>
            <w:noWrap w:val="0"/>
            <w:tcMar>
              <w:top w:w="16" w:type="dxa"/>
              <w:left w:w="16" w:type="dxa"/>
              <w:right w:w="16" w:type="dxa"/>
            </w:tcMar>
            <w:vAlign w:val="center"/>
          </w:tcPr>
          <w:p w14:paraId="2906DE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建设性质</w:t>
            </w:r>
          </w:p>
        </w:tc>
        <w:tc>
          <w:tcPr>
            <w:tcW w:w="2421" w:type="dxa"/>
            <w:noWrap w:val="0"/>
            <w:vAlign w:val="center"/>
          </w:tcPr>
          <w:p w14:paraId="0ECCD1E6">
            <w:pPr>
              <w:keepNext w:val="0"/>
              <w:keepLines w:val="0"/>
              <w:suppressLineNumbers w:val="0"/>
              <w:spacing w:before="0" w:beforeAutospacing="0" w:after="0" w:afterAutospacing="0" w:line="240" w:lineRule="auto"/>
              <w:ind w:left="0" w:right="0" w:firstLine="210" w:firstLineChars="1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☑新建（迁建）</w:t>
            </w:r>
          </w:p>
          <w:p w14:paraId="39D7CBBE">
            <w:pPr>
              <w:keepNext w:val="0"/>
              <w:keepLines w:val="0"/>
              <w:suppressLineNumbers w:val="0"/>
              <w:spacing w:before="0" w:beforeAutospacing="0" w:after="0" w:afterAutospacing="0" w:line="240" w:lineRule="auto"/>
              <w:ind w:left="0" w:right="0" w:firstLine="210" w:firstLineChars="10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改建</w:t>
            </w:r>
          </w:p>
          <w:p w14:paraId="0A530524">
            <w:pPr>
              <w:keepNext w:val="0"/>
              <w:keepLines w:val="0"/>
              <w:suppressLineNumbers w:val="0"/>
              <w:spacing w:before="0" w:beforeAutospacing="0" w:after="0" w:afterAutospacing="0" w:line="240" w:lineRule="auto"/>
              <w:ind w:left="0" w:right="0" w:firstLine="210" w:firstLineChars="10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扩建</w:t>
            </w:r>
          </w:p>
          <w:p w14:paraId="586F117E">
            <w:pPr>
              <w:keepNext w:val="0"/>
              <w:keepLines w:val="0"/>
              <w:suppressLineNumbers w:val="0"/>
              <w:spacing w:before="0" w:beforeAutospacing="0" w:after="0" w:afterAutospacing="0" w:line="240" w:lineRule="auto"/>
              <w:ind w:left="0" w:right="0" w:firstLine="210" w:firstLineChars="10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技术改造</w:t>
            </w:r>
          </w:p>
        </w:tc>
        <w:tc>
          <w:tcPr>
            <w:tcW w:w="2369" w:type="dxa"/>
            <w:noWrap w:val="0"/>
            <w:vAlign w:val="center"/>
          </w:tcPr>
          <w:p w14:paraId="3C5AC6A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w:t>
            </w:r>
          </w:p>
          <w:p w14:paraId="034068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申报情形</w:t>
            </w:r>
          </w:p>
        </w:tc>
        <w:tc>
          <w:tcPr>
            <w:tcW w:w="2614" w:type="dxa"/>
            <w:noWrap w:val="0"/>
            <w:vAlign w:val="center"/>
          </w:tcPr>
          <w:p w14:paraId="14FC70DD">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首次申报项目</w:t>
            </w:r>
          </w:p>
          <w:p w14:paraId="374F29E6">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不予批准后再次申报项目</w:t>
            </w:r>
          </w:p>
          <w:p w14:paraId="1664D45B">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 xml:space="preserve">超五年重新审核项目 </w:t>
            </w:r>
          </w:p>
          <w:p w14:paraId="455E18FB">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重大变动重新报批项目</w:t>
            </w:r>
          </w:p>
        </w:tc>
      </w:tr>
      <w:tr w14:paraId="1B69B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06" w:type="dxa"/>
            <w:noWrap w:val="0"/>
            <w:tcMar>
              <w:top w:w="16" w:type="dxa"/>
              <w:left w:w="16" w:type="dxa"/>
              <w:right w:w="16" w:type="dxa"/>
            </w:tcMar>
            <w:vAlign w:val="center"/>
          </w:tcPr>
          <w:p w14:paraId="7EBCA4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项目审批（核准/备案）部门（选填）</w:t>
            </w:r>
          </w:p>
        </w:tc>
        <w:tc>
          <w:tcPr>
            <w:tcW w:w="2421" w:type="dxa"/>
            <w:noWrap w:val="0"/>
            <w:vAlign w:val="center"/>
          </w:tcPr>
          <w:p w14:paraId="417E1C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凤翔高新技术产业开发区管理委员会</w:t>
            </w:r>
          </w:p>
        </w:tc>
        <w:tc>
          <w:tcPr>
            <w:tcW w:w="2369" w:type="dxa"/>
            <w:noWrap w:val="0"/>
            <w:vAlign w:val="center"/>
          </w:tcPr>
          <w:p w14:paraId="671E47A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项目审批（核准/备案）文号（选填）</w:t>
            </w:r>
          </w:p>
        </w:tc>
        <w:tc>
          <w:tcPr>
            <w:tcW w:w="2614" w:type="dxa"/>
            <w:noWrap w:val="0"/>
            <w:vAlign w:val="center"/>
          </w:tcPr>
          <w:p w14:paraId="5655FD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7847C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606" w:type="dxa"/>
            <w:noWrap w:val="0"/>
            <w:tcMar>
              <w:top w:w="16" w:type="dxa"/>
              <w:left w:w="16" w:type="dxa"/>
              <w:right w:w="16" w:type="dxa"/>
            </w:tcMar>
            <w:vAlign w:val="center"/>
          </w:tcPr>
          <w:p w14:paraId="137B13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总投资（万元）</w:t>
            </w:r>
          </w:p>
        </w:tc>
        <w:tc>
          <w:tcPr>
            <w:tcW w:w="2421" w:type="dxa"/>
            <w:noWrap w:val="0"/>
            <w:vAlign w:val="center"/>
          </w:tcPr>
          <w:p w14:paraId="21F732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24295.9</w:t>
            </w:r>
          </w:p>
        </w:tc>
        <w:tc>
          <w:tcPr>
            <w:tcW w:w="2369" w:type="dxa"/>
            <w:noWrap w:val="0"/>
            <w:tcMar>
              <w:top w:w="16" w:type="dxa"/>
              <w:left w:w="16" w:type="dxa"/>
              <w:right w:w="16" w:type="dxa"/>
            </w:tcMar>
            <w:vAlign w:val="center"/>
          </w:tcPr>
          <w:p w14:paraId="0922287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环保投资（万元）</w:t>
            </w:r>
          </w:p>
        </w:tc>
        <w:tc>
          <w:tcPr>
            <w:tcW w:w="2614" w:type="dxa"/>
            <w:noWrap w:val="0"/>
            <w:vAlign w:val="center"/>
          </w:tcPr>
          <w:p w14:paraId="10718D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35</w:t>
            </w:r>
          </w:p>
        </w:tc>
      </w:tr>
      <w:tr w14:paraId="4E3BE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noWrap w:val="0"/>
            <w:tcMar>
              <w:top w:w="16" w:type="dxa"/>
              <w:left w:w="16" w:type="dxa"/>
              <w:right w:w="16" w:type="dxa"/>
            </w:tcMar>
            <w:vAlign w:val="center"/>
          </w:tcPr>
          <w:p w14:paraId="30C75E5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环保投资占比（%）</w:t>
            </w:r>
          </w:p>
        </w:tc>
        <w:tc>
          <w:tcPr>
            <w:tcW w:w="2421" w:type="dxa"/>
            <w:noWrap w:val="0"/>
            <w:vAlign w:val="center"/>
          </w:tcPr>
          <w:p w14:paraId="791A358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0.14</w:t>
            </w: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2369" w:type="dxa"/>
            <w:noWrap w:val="0"/>
            <w:tcMar>
              <w:top w:w="16" w:type="dxa"/>
              <w:left w:w="16" w:type="dxa"/>
              <w:right w:w="16" w:type="dxa"/>
            </w:tcMar>
            <w:vAlign w:val="center"/>
          </w:tcPr>
          <w:p w14:paraId="10E418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施工工期</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default" w:ascii="Times New Roman" w:hAnsi="Times New Roman" w:cs="Times New Roman"/>
                <w:color w:val="000000" w:themeColor="text1"/>
                <w:sz w:val="24"/>
                <w:szCs w:val="24"/>
                <w:lang w:eastAsia="zh-CN"/>
                <w14:textFill>
                  <w14:solidFill>
                    <w14:schemeClr w14:val="tx1"/>
                  </w14:solidFill>
                </w14:textFill>
              </w:rPr>
              <w:t>）</w:t>
            </w:r>
          </w:p>
        </w:tc>
        <w:tc>
          <w:tcPr>
            <w:tcW w:w="2614" w:type="dxa"/>
            <w:noWrap w:val="0"/>
            <w:vAlign w:val="center"/>
          </w:tcPr>
          <w:p w14:paraId="70F3B0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r>
      <w:tr w14:paraId="0D244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1606" w:type="dxa"/>
            <w:noWrap w:val="0"/>
            <w:tcMar>
              <w:top w:w="16" w:type="dxa"/>
              <w:left w:w="16" w:type="dxa"/>
              <w:right w:w="16" w:type="dxa"/>
            </w:tcMar>
            <w:vAlign w:val="center"/>
          </w:tcPr>
          <w:p w14:paraId="485EEF5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是否开工建设</w:t>
            </w:r>
          </w:p>
        </w:tc>
        <w:tc>
          <w:tcPr>
            <w:tcW w:w="2421" w:type="dxa"/>
            <w:noWrap w:val="0"/>
            <w:vAlign w:val="center"/>
          </w:tcPr>
          <w:p w14:paraId="33596793">
            <w:pPr>
              <w:keepNext w:val="0"/>
              <w:keepLines w:val="0"/>
              <w:suppressLineNumbers w:val="0"/>
              <w:adjustRightInd w:val="0"/>
              <w:snapToGrid w:val="0"/>
              <w:spacing w:before="0" w:beforeAutospacing="0" w:after="0" w:afterAutospacing="0" w:line="240" w:lineRule="auto"/>
              <w:ind w:left="0" w:right="0" w:firstLine="210" w:firstLineChars="1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MS Mincho"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否</w:t>
            </w:r>
          </w:p>
          <w:p w14:paraId="67C905DF">
            <w:pPr>
              <w:keepNext w:val="0"/>
              <w:keepLines w:val="0"/>
              <w:suppressLineNumbers w:val="0"/>
              <w:adjustRightInd w:val="0"/>
              <w:snapToGrid w:val="0"/>
              <w:spacing w:before="0" w:beforeAutospacing="0" w:after="0" w:afterAutospacing="0" w:line="240" w:lineRule="auto"/>
              <w:ind w:left="0" w:right="0" w:firstLine="210" w:firstLineChars="10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是</w:t>
            </w:r>
          </w:p>
        </w:tc>
        <w:tc>
          <w:tcPr>
            <w:tcW w:w="2369" w:type="dxa"/>
            <w:noWrap w:val="0"/>
            <w:tcMar>
              <w:top w:w="16" w:type="dxa"/>
              <w:left w:w="16" w:type="dxa"/>
              <w:right w:w="16" w:type="dxa"/>
            </w:tcMar>
            <w:vAlign w:val="center"/>
          </w:tcPr>
          <w:p w14:paraId="7CB6563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6"/>
                <w:sz w:val="24"/>
                <w:szCs w:val="24"/>
                <w14:textFill>
                  <w14:solidFill>
                    <w14:schemeClr w14:val="tx1"/>
                  </w14:solidFill>
                </w14:textFill>
              </w:rPr>
              <w:t>用地（用海）面积（m</w:t>
            </w:r>
            <w:r>
              <w:rPr>
                <w:rFonts w:hint="default" w:ascii="Times New Roman" w:hAnsi="Times New Roman" w:cs="Times New Roman"/>
                <w:color w:val="000000" w:themeColor="text1"/>
                <w:spacing w:val="-6"/>
                <w:sz w:val="24"/>
                <w:szCs w:val="24"/>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14:textFill>
                  <w14:solidFill>
                    <w14:schemeClr w14:val="tx1"/>
                  </w14:solidFill>
                </w14:textFill>
              </w:rPr>
              <w:t>）</w:t>
            </w:r>
          </w:p>
        </w:tc>
        <w:tc>
          <w:tcPr>
            <w:tcW w:w="2614" w:type="dxa"/>
            <w:noWrap w:val="0"/>
            <w:vAlign w:val="center"/>
          </w:tcPr>
          <w:p w14:paraId="41BBA0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49333.33</w:t>
            </w:r>
          </w:p>
        </w:tc>
      </w:tr>
      <w:tr w14:paraId="3E1D5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606" w:type="dxa"/>
            <w:noWrap w:val="0"/>
            <w:vAlign w:val="center"/>
          </w:tcPr>
          <w:p w14:paraId="120B96A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专项评价</w:t>
            </w:r>
          </w:p>
          <w:p w14:paraId="3995509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设置情况</w:t>
            </w:r>
          </w:p>
        </w:tc>
        <w:tc>
          <w:tcPr>
            <w:tcW w:w="7404" w:type="dxa"/>
            <w:gridSpan w:val="3"/>
            <w:noWrap w:val="0"/>
            <w:vAlign w:val="center"/>
          </w:tcPr>
          <w:p w14:paraId="04D3256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w:t>
            </w:r>
          </w:p>
        </w:tc>
      </w:tr>
      <w:tr w14:paraId="37412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06" w:type="dxa"/>
            <w:noWrap w:val="0"/>
            <w:vAlign w:val="center"/>
          </w:tcPr>
          <w:p w14:paraId="5B688E1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规划情况</w:t>
            </w:r>
          </w:p>
        </w:tc>
        <w:tc>
          <w:tcPr>
            <w:tcW w:w="7404" w:type="dxa"/>
            <w:gridSpan w:val="3"/>
            <w:noWrap w:val="0"/>
            <w:vAlign w:val="center"/>
          </w:tcPr>
          <w:p w14:paraId="1FDF62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w:t>
            </w:r>
          </w:p>
        </w:tc>
      </w:tr>
      <w:tr w14:paraId="798D7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606" w:type="dxa"/>
            <w:noWrap w:val="0"/>
            <w:vAlign w:val="center"/>
          </w:tcPr>
          <w:p w14:paraId="4F75AE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规划环境影响评价情况</w:t>
            </w:r>
          </w:p>
        </w:tc>
        <w:tc>
          <w:tcPr>
            <w:tcW w:w="7404" w:type="dxa"/>
            <w:gridSpan w:val="3"/>
            <w:noWrap w:val="0"/>
            <w:vAlign w:val="center"/>
          </w:tcPr>
          <w:p w14:paraId="73408C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w:t>
            </w:r>
          </w:p>
        </w:tc>
      </w:tr>
      <w:tr w14:paraId="4EA45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6" w:type="dxa"/>
            <w:noWrap w:val="0"/>
            <w:vAlign w:val="center"/>
          </w:tcPr>
          <w:p w14:paraId="437CF7D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规划及规划环境影响评价符合性分析</w:t>
            </w:r>
          </w:p>
        </w:tc>
        <w:tc>
          <w:tcPr>
            <w:tcW w:w="7404" w:type="dxa"/>
            <w:gridSpan w:val="3"/>
            <w:noWrap w:val="0"/>
            <w:vAlign w:val="center"/>
          </w:tcPr>
          <w:p w14:paraId="6A42CC3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无</w:t>
            </w:r>
          </w:p>
        </w:tc>
      </w:tr>
      <w:tr w14:paraId="279D6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06" w:type="dxa"/>
            <w:noWrap w:val="0"/>
            <w:vAlign w:val="center"/>
          </w:tcPr>
          <w:p w14:paraId="2849082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其他符合性分析</w:t>
            </w:r>
          </w:p>
        </w:tc>
        <w:tc>
          <w:tcPr>
            <w:tcW w:w="7404" w:type="dxa"/>
            <w:gridSpan w:val="3"/>
            <w:noWrap w:val="0"/>
            <w:vAlign w:val="center"/>
          </w:tcPr>
          <w:p w14:paraId="0AF523F2">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1、项目与“三线一单”符合性分析</w:t>
            </w:r>
          </w:p>
          <w:p w14:paraId="361737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陕西省人民政府关于加快实施“三线一单”生态环境分区管控的意见》（陕政发〔2020〕11号）、《陕西省“三线一单”生态环境分区管控应用技术指南－环境影响评价（试行）》（陕环办发〔2022〕76号）的通知，进行建设项目与“三线一单”生态环境分区管控符合性分析，采用一图、一表、一说明的形式表达。</w:t>
            </w:r>
          </w:p>
          <w:p w14:paraId="2EC53F1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经查阅《关于印发2023年宝鸡市生态环境分区管控调整方案的通知》（宝区环办〔2024〕1号）宝鸡市生态环境管控单元分布示意图，并查阅陕西省“三线一单”数据应用系统（V1.0），本项目环境管控单元名称为</w:t>
            </w:r>
            <w:r>
              <w:rPr>
                <w:rFonts w:hint="eastAsia" w:ascii="Times New Roman" w:hAnsi="Times New Roman" w:cs="Times New Roman"/>
                <w:color w:val="000000" w:themeColor="text1"/>
                <w:sz w:val="24"/>
                <w:szCs w:val="24"/>
                <w:lang w:val="en-US" w:eastAsia="zh-CN"/>
                <w14:textFill>
                  <w14:solidFill>
                    <w14:schemeClr w14:val="tx1"/>
                  </w14:solidFill>
                </w14:textFill>
              </w:rPr>
              <w:t>凤翔区</w:t>
            </w:r>
            <w:r>
              <w:rPr>
                <w:rFonts w:hint="default" w:ascii="Times New Roman" w:hAnsi="Times New Roman" w:cs="Times New Roman"/>
                <w:color w:val="000000" w:themeColor="text1"/>
                <w:sz w:val="24"/>
                <w:szCs w:val="24"/>
                <w14:textFill>
                  <w14:solidFill>
                    <w14:schemeClr w14:val="tx1"/>
                  </w14:solidFill>
                </w14:textFill>
              </w:rPr>
              <w:t>重点管控单元</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p>
          <w:p w14:paraId="777F4A0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Han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GB2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⑴</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Hans"/>
                <w14:textFill>
                  <w14:solidFill>
                    <w14:schemeClr w14:val="tx1"/>
                  </w14:solidFill>
                </w14:textFill>
              </w:rPr>
              <w:t>一图</w:t>
            </w:r>
          </w:p>
          <w:p w14:paraId="49A02A7B">
            <w:pPr>
              <w:pStyle w:val="19"/>
              <w:keepNext w:val="0"/>
              <w:keepLines w:val="0"/>
              <w:suppressLineNumbers w:val="0"/>
              <w:ind w:left="0" w:right="0"/>
              <w:jc w:val="center"/>
              <w:rPr>
                <w:rFonts w:hint="default" w:ascii="Times New Roman" w:hAnsi="Times New Roman" w:cs="Times New Roman"/>
                <w:color w:val="000000" w:themeColor="text1"/>
                <w:lang w:eastAsia="zh-Hans"/>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3324225" cy="4701540"/>
                  <wp:effectExtent l="0" t="0" r="13335" b="7620"/>
                  <wp:docPr id="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3"/>
                          <pic:cNvPicPr>
                            <a:picLocks noChangeAspect="1"/>
                          </pic:cNvPicPr>
                        </pic:nvPicPr>
                        <pic:blipFill>
                          <a:blip r:embed="rId10"/>
                          <a:stretch>
                            <a:fillRect/>
                          </a:stretch>
                        </pic:blipFill>
                        <pic:spPr>
                          <a:xfrm>
                            <a:off x="0" y="0"/>
                            <a:ext cx="3324225" cy="4701540"/>
                          </a:xfrm>
                          <a:prstGeom prst="rect">
                            <a:avLst/>
                          </a:prstGeom>
                          <a:noFill/>
                          <a:ln>
                            <a:noFill/>
                          </a:ln>
                        </pic:spPr>
                      </pic:pic>
                    </a:graphicData>
                  </a:graphic>
                </wp:inline>
              </w:drawing>
            </w:r>
          </w:p>
          <w:p w14:paraId="7D0310FC">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图1-1 项目与环境管控单元对照分析示意图</w:t>
            </w:r>
          </w:p>
          <w:p w14:paraId="553EBD6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⑵“一表”，项目涉及的生态环境管控单元准入清单</w:t>
            </w:r>
          </w:p>
          <w:p w14:paraId="70CE7BD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根据陕西省“三线一单”数据应用管理平台数据分析，项目涉及环境管控单元管控要求如下。</w:t>
            </w:r>
          </w:p>
          <w:p w14:paraId="28AB81CF">
            <w:pPr>
              <w:keepNext w:val="0"/>
              <w:keepLines w:val="0"/>
              <w:suppressLineNumbers w:val="0"/>
              <w:autoSpaceDE w:val="0"/>
              <w:autoSpaceDN w:val="0"/>
              <w:adjustRightInd w:val="0"/>
              <w:snapToGrid w:val="0"/>
              <w:spacing w:before="0" w:beforeAutospacing="0" w:after="0" w:afterAutospacing="0" w:line="360" w:lineRule="auto"/>
              <w:ind w:left="0" w:right="0" w:firstLine="42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项目与环境管控单元管控要求符合性分析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77"/>
              <w:gridCol w:w="600"/>
              <w:gridCol w:w="388"/>
              <w:gridCol w:w="675"/>
              <w:gridCol w:w="660"/>
              <w:gridCol w:w="1925"/>
              <w:gridCol w:w="1401"/>
              <w:gridCol w:w="426"/>
            </w:tblGrid>
            <w:tr w14:paraId="3E49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69BE9C8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677" w:type="dxa"/>
                  <w:noWrap w:val="0"/>
                  <w:vAlign w:val="center"/>
                </w:tcPr>
                <w:p w14:paraId="21C3D7E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环境管控单元名称</w:t>
                  </w:r>
                </w:p>
              </w:tc>
              <w:tc>
                <w:tcPr>
                  <w:tcW w:w="600" w:type="dxa"/>
                  <w:noWrap w:val="0"/>
                  <w:vAlign w:val="center"/>
                </w:tcPr>
                <w:p w14:paraId="65283AC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市</w:t>
                  </w:r>
                </w:p>
                <w:p w14:paraId="4AB7917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区</w:t>
                  </w:r>
                  <w:r>
                    <w:rPr>
                      <w:rFonts w:hint="eastAsia" w:ascii="Times New Roman" w:hAnsi="Times New Roman" w:cs="Times New Roman"/>
                      <w:color w:val="000000" w:themeColor="text1"/>
                      <w:lang w:val="en-US" w:eastAsia="zh-CN"/>
                      <w14:textFill>
                        <w14:solidFill>
                          <w14:schemeClr w14:val="tx1"/>
                        </w14:solidFill>
                      </w14:textFill>
                    </w:rPr>
                    <w:t>）</w:t>
                  </w:r>
                </w:p>
              </w:tc>
              <w:tc>
                <w:tcPr>
                  <w:tcW w:w="388" w:type="dxa"/>
                  <w:noWrap w:val="0"/>
                  <w:vAlign w:val="center"/>
                </w:tcPr>
                <w:p w14:paraId="0290B99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区县</w:t>
                  </w:r>
                </w:p>
              </w:tc>
              <w:tc>
                <w:tcPr>
                  <w:tcW w:w="675" w:type="dxa"/>
                  <w:noWrap w:val="0"/>
                  <w:vAlign w:val="center"/>
                </w:tcPr>
                <w:p w14:paraId="14E17C0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单元要素属性</w:t>
                  </w:r>
                </w:p>
              </w:tc>
              <w:tc>
                <w:tcPr>
                  <w:tcW w:w="660" w:type="dxa"/>
                  <w:noWrap w:val="0"/>
                  <w:vAlign w:val="center"/>
                </w:tcPr>
                <w:p w14:paraId="5BC6AB2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管控要求分类</w:t>
                  </w:r>
                </w:p>
              </w:tc>
              <w:tc>
                <w:tcPr>
                  <w:tcW w:w="1925" w:type="dxa"/>
                  <w:noWrap w:val="0"/>
                  <w:vAlign w:val="center"/>
                </w:tcPr>
                <w:p w14:paraId="6A63D65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管控要求</w:t>
                  </w:r>
                </w:p>
              </w:tc>
              <w:tc>
                <w:tcPr>
                  <w:tcW w:w="1401" w:type="dxa"/>
                  <w:noWrap w:val="0"/>
                  <w:vAlign w:val="center"/>
                </w:tcPr>
                <w:p w14:paraId="45587AC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p w14:paraId="1F442C0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情况</w:t>
                  </w:r>
                </w:p>
              </w:tc>
              <w:tc>
                <w:tcPr>
                  <w:tcW w:w="426" w:type="dxa"/>
                  <w:noWrap w:val="0"/>
                  <w:vAlign w:val="center"/>
                </w:tcPr>
                <w:p w14:paraId="368AB13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相符性</w:t>
                  </w:r>
                </w:p>
              </w:tc>
            </w:tr>
            <w:tr w14:paraId="22E5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426" w:type="dxa"/>
                  <w:vMerge w:val="restart"/>
                  <w:noWrap w:val="0"/>
                  <w:vAlign w:val="center"/>
                </w:tcPr>
                <w:p w14:paraId="46A1519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677" w:type="dxa"/>
                  <w:vMerge w:val="restart"/>
                  <w:noWrap w:val="0"/>
                  <w:vAlign w:val="center"/>
                </w:tcPr>
                <w:p w14:paraId="629F99E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陕西省宝鸡市</w:t>
                  </w:r>
                  <w:r>
                    <w:rPr>
                      <w:rFonts w:hint="default" w:ascii="Times New Roman" w:hAnsi="Times New Roman" w:eastAsia="宋体" w:cs="Times New Roman"/>
                      <w:color w:val="000000" w:themeColor="text1"/>
                      <w14:textFill>
                        <w14:solidFill>
                          <w14:schemeClr w14:val="tx1"/>
                        </w14:solidFill>
                      </w14:textFill>
                    </w:rPr>
                    <w:t>凤翔区重点管控单元5</w:t>
                  </w:r>
                </w:p>
              </w:tc>
              <w:tc>
                <w:tcPr>
                  <w:tcW w:w="600" w:type="dxa"/>
                  <w:vMerge w:val="restart"/>
                  <w:noWrap w:val="0"/>
                  <w:vAlign w:val="center"/>
                </w:tcPr>
                <w:p w14:paraId="5DB72AA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宝鸡市</w:t>
                  </w:r>
                </w:p>
              </w:tc>
              <w:tc>
                <w:tcPr>
                  <w:tcW w:w="388" w:type="dxa"/>
                  <w:vMerge w:val="restart"/>
                  <w:noWrap w:val="0"/>
                  <w:vAlign w:val="center"/>
                </w:tcPr>
                <w:p w14:paraId="292527A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凤翔区</w:t>
                  </w:r>
                </w:p>
              </w:tc>
              <w:tc>
                <w:tcPr>
                  <w:tcW w:w="675" w:type="dxa"/>
                  <w:noWrap w:val="0"/>
                  <w:vAlign w:val="center"/>
                </w:tcPr>
                <w:p w14:paraId="69B0DEA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w:t>
                  </w:r>
                  <w:r>
                    <w:rPr>
                      <w:rFonts w:hint="eastAsia" w:ascii="Times New Roman" w:hAnsi="Times New Roman" w:eastAsia="宋体" w:cs="Times New Roman"/>
                      <w:color w:val="000000" w:themeColor="text1"/>
                      <w:lang w:val="en-US" w:eastAsia="zh-CN"/>
                      <w14:textFill>
                        <w14:solidFill>
                          <w14:schemeClr w14:val="tx1"/>
                        </w14:solidFill>
                      </w14:textFill>
                    </w:rPr>
                    <w:t>布局敏感重点管控区</w:t>
                  </w:r>
                </w:p>
              </w:tc>
              <w:tc>
                <w:tcPr>
                  <w:tcW w:w="660" w:type="dxa"/>
                  <w:noWrap w:val="0"/>
                  <w:vAlign w:val="center"/>
                </w:tcPr>
                <w:p w14:paraId="136F1D6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空间布局约束</w:t>
                  </w:r>
                </w:p>
              </w:tc>
              <w:tc>
                <w:tcPr>
                  <w:tcW w:w="1925" w:type="dxa"/>
                  <w:noWrap w:val="0"/>
                  <w:vAlign w:val="center"/>
                </w:tcPr>
                <w:p w14:paraId="207C8C01">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布局敏感重点管控区：1.严格控制新增《陕西省“两高”项目管理暂行目录》行业项目（民生等项目除外，后续对“两高”范围国家如有新规定的，从其规定）。2.严禁新增钢铁、焦化、水泥熟料、平板玻璃、电解铝、氧化铝、煤化工产能。3.推动重污染企业搬迁入园或依法关闭，实施工业企业退城搬迁改造</w:t>
                  </w:r>
                  <w:r>
                    <w:rPr>
                      <w:rFonts w:hint="eastAsia" w:ascii="Times New Roman" w:hAnsi="Times New Roman" w:eastAsia="宋体" w:cs="Times New Roman"/>
                      <w:color w:val="000000" w:themeColor="text1"/>
                      <w:lang w:eastAsia="zh-CN"/>
                      <w14:textFill>
                        <w14:solidFill>
                          <w14:schemeClr w14:val="tx1"/>
                        </w14:solidFill>
                      </w14:textFill>
                    </w:rPr>
                    <w:t>。</w:t>
                  </w:r>
                </w:p>
              </w:tc>
              <w:tc>
                <w:tcPr>
                  <w:tcW w:w="1401" w:type="dxa"/>
                  <w:noWrap w:val="0"/>
                  <w:vAlign w:val="center"/>
                </w:tcPr>
                <w:p w14:paraId="1437D17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本项目新建燃气锅炉，为热力生产和供应行业，属于《陕西省“两高”项目管理暂行目录》中“两高”项目。但本项目为西凤酒厂提供蒸汽，属于民生项目配套工程，且本项目锅炉燃料为天然气，属于清洁能源。</w:t>
                  </w:r>
                </w:p>
              </w:tc>
              <w:tc>
                <w:tcPr>
                  <w:tcW w:w="426" w:type="dxa"/>
                  <w:vMerge w:val="restart"/>
                  <w:noWrap w:val="0"/>
                  <w:vAlign w:val="center"/>
                </w:tcPr>
                <w:p w14:paraId="6B14534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p w14:paraId="481F231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49EF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26" w:type="dxa"/>
                  <w:vMerge w:val="continue"/>
                  <w:noWrap w:val="0"/>
                  <w:vAlign w:val="center"/>
                </w:tcPr>
                <w:p w14:paraId="0DF16D4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7" w:type="dxa"/>
                  <w:vMerge w:val="continue"/>
                  <w:noWrap w:val="0"/>
                  <w:vAlign w:val="center"/>
                </w:tcPr>
                <w:p w14:paraId="742B0AE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00" w:type="dxa"/>
                  <w:vMerge w:val="continue"/>
                  <w:noWrap w:val="0"/>
                  <w:vAlign w:val="center"/>
                </w:tcPr>
                <w:p w14:paraId="3322B70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noWrap w:val="0"/>
                  <w:vAlign w:val="center"/>
                </w:tcPr>
                <w:p w14:paraId="14F35F2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5" w:type="dxa"/>
                  <w:noWrap w:val="0"/>
                  <w:vAlign w:val="center"/>
                </w:tcPr>
                <w:p w14:paraId="3CCD3FE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60" w:type="dxa"/>
                  <w:noWrap w:val="0"/>
                  <w:vAlign w:val="center"/>
                </w:tcPr>
                <w:p w14:paraId="521E364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w:t>
                  </w:r>
                </w:p>
                <w:p w14:paraId="529CBD4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物排</w:t>
                  </w:r>
                </w:p>
                <w:p w14:paraId="7A84C6D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放管</w:t>
                  </w:r>
                </w:p>
                <w:p w14:paraId="0C6B310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控</w:t>
                  </w:r>
                </w:p>
              </w:tc>
              <w:tc>
                <w:tcPr>
                  <w:tcW w:w="1925" w:type="dxa"/>
                  <w:noWrap w:val="0"/>
                  <w:vAlign w:val="center"/>
                </w:tcPr>
                <w:p w14:paraId="382E1D5A">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大</w:t>
                  </w:r>
                  <w:r>
                    <w:rPr>
                      <w:rFonts w:hint="default" w:ascii="Times New Roman" w:hAnsi="Times New Roman" w:eastAsia="宋体" w:cs="Times New Roman"/>
                      <w:color w:val="000000" w:themeColor="text1"/>
                      <w14:textFill>
                        <w14:solidFill>
                          <w14:schemeClr w14:val="tx1"/>
                        </w14:solidFill>
                      </w14:textFill>
                    </w:rPr>
                    <w:t>气环境布局敏感重点管控区：1.鼓励将老旧车辆和非道路移动机械替换为清洁能源车辆。推进新能源或清洁能源汽车使用。2.巩固城市建成区、县（区）平原区域散煤动态清理成效。</w:t>
                  </w:r>
                </w:p>
              </w:tc>
              <w:tc>
                <w:tcPr>
                  <w:tcW w:w="1401" w:type="dxa"/>
                  <w:noWrap w:val="0"/>
                  <w:vAlign w:val="center"/>
                </w:tcPr>
                <w:p w14:paraId="531D1E77">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本项目不涉及运输车辆，不涉及燃煤使用。</w:t>
                  </w:r>
                </w:p>
              </w:tc>
              <w:tc>
                <w:tcPr>
                  <w:tcW w:w="426" w:type="dxa"/>
                  <w:vMerge w:val="continue"/>
                  <w:noWrap w:val="0"/>
                  <w:vAlign w:val="center"/>
                </w:tcPr>
                <w:p w14:paraId="4C0C35D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r>
            <w:tr w14:paraId="561C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noWrap w:val="0"/>
                  <w:vAlign w:val="center"/>
                </w:tcPr>
                <w:p w14:paraId="1EF1BC7E">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7" w:type="dxa"/>
                  <w:vMerge w:val="continue"/>
                  <w:noWrap w:val="0"/>
                  <w:vAlign w:val="center"/>
                </w:tcPr>
                <w:p w14:paraId="14F92CD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00" w:type="dxa"/>
                  <w:vMerge w:val="continue"/>
                  <w:noWrap w:val="0"/>
                  <w:vAlign w:val="center"/>
                </w:tcPr>
                <w:p w14:paraId="5554087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noWrap w:val="0"/>
                  <w:vAlign w:val="center"/>
                </w:tcPr>
                <w:p w14:paraId="27B6135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5" w:type="dxa"/>
                  <w:noWrap w:val="0"/>
                  <w:vAlign w:val="center"/>
                </w:tcPr>
                <w:p w14:paraId="07F9E5D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60" w:type="dxa"/>
                  <w:noWrap w:val="0"/>
                  <w:vAlign w:val="center"/>
                </w:tcPr>
                <w:p w14:paraId="47098A9B">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w:t>
                  </w:r>
                </w:p>
                <w:p w14:paraId="248A679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风险</w:t>
                  </w:r>
                </w:p>
                <w:p w14:paraId="1044EDB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防控</w:t>
                  </w:r>
                </w:p>
              </w:tc>
              <w:tc>
                <w:tcPr>
                  <w:tcW w:w="1925" w:type="dxa"/>
                  <w:noWrap w:val="0"/>
                  <w:vAlign w:val="center"/>
                </w:tcPr>
                <w:p w14:paraId="7BBF32B2">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p>
              </w:tc>
              <w:tc>
                <w:tcPr>
                  <w:tcW w:w="1401" w:type="dxa"/>
                  <w:noWrap w:val="0"/>
                  <w:vAlign w:val="center"/>
                </w:tcPr>
                <w:p w14:paraId="37E24C3F">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p>
              </w:tc>
              <w:tc>
                <w:tcPr>
                  <w:tcW w:w="426" w:type="dxa"/>
                  <w:vMerge w:val="continue"/>
                  <w:noWrap w:val="0"/>
                  <w:vAlign w:val="center"/>
                </w:tcPr>
                <w:p w14:paraId="4559AC2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r>
            <w:tr w14:paraId="2F99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noWrap w:val="0"/>
                  <w:vAlign w:val="center"/>
                </w:tcPr>
                <w:p w14:paraId="429C4ED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7" w:type="dxa"/>
                  <w:vMerge w:val="continue"/>
                  <w:noWrap w:val="0"/>
                  <w:vAlign w:val="center"/>
                </w:tcPr>
                <w:p w14:paraId="78EEA3D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00" w:type="dxa"/>
                  <w:vMerge w:val="continue"/>
                  <w:noWrap w:val="0"/>
                  <w:vAlign w:val="center"/>
                </w:tcPr>
                <w:p w14:paraId="24F4B7D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388" w:type="dxa"/>
                  <w:vMerge w:val="continue"/>
                  <w:noWrap w:val="0"/>
                  <w:vAlign w:val="center"/>
                </w:tcPr>
                <w:p w14:paraId="494D4C8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75" w:type="dxa"/>
                  <w:noWrap w:val="0"/>
                  <w:vAlign w:val="center"/>
                </w:tcPr>
                <w:p w14:paraId="67AAB4A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60" w:type="dxa"/>
                  <w:noWrap w:val="0"/>
                  <w:vAlign w:val="center"/>
                </w:tcPr>
                <w:p w14:paraId="6F64204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资源</w:t>
                  </w:r>
                </w:p>
                <w:p w14:paraId="50630B3F">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开发</w:t>
                  </w:r>
                </w:p>
                <w:p w14:paraId="7BCAC62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效率</w:t>
                  </w:r>
                </w:p>
                <w:p w14:paraId="650CFB4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要求</w:t>
                  </w:r>
                </w:p>
              </w:tc>
              <w:tc>
                <w:tcPr>
                  <w:tcW w:w="1925" w:type="dxa"/>
                  <w:noWrap w:val="0"/>
                  <w:vAlign w:val="center"/>
                </w:tcPr>
                <w:p w14:paraId="61A754CB">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p>
              </w:tc>
              <w:tc>
                <w:tcPr>
                  <w:tcW w:w="1401" w:type="dxa"/>
                  <w:noWrap w:val="0"/>
                  <w:vAlign w:val="center"/>
                </w:tcPr>
                <w:p w14:paraId="558547DD">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14:textFill>
                        <w14:solidFill>
                          <w14:schemeClr w14:val="tx1"/>
                        </w14:solidFill>
                      </w14:textFill>
                    </w:rPr>
                  </w:pPr>
                </w:p>
              </w:tc>
              <w:tc>
                <w:tcPr>
                  <w:tcW w:w="426" w:type="dxa"/>
                  <w:vMerge w:val="continue"/>
                  <w:noWrap w:val="0"/>
                  <w:vAlign w:val="center"/>
                </w:tcPr>
                <w:p w14:paraId="67F58917">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6A55822A">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⑶“一说明”</w:t>
            </w:r>
          </w:p>
          <w:p w14:paraId="5C4E5CB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根据“一图”“一表”的分析，项目位于环境管控重点管控单元内，项目所在地不涉及生态红线，重点管控单元以大气环境布局敏感重点管控区为重点，</w:t>
            </w:r>
            <w:r>
              <w:rPr>
                <w:rFonts w:hint="eastAsia" w:ascii="Times New Roman" w:hAnsi="Times New Roman" w:cs="Times New Roman"/>
                <w:color w:val="000000" w:themeColor="text1"/>
                <w:sz w:val="24"/>
                <w:szCs w:val="24"/>
                <w:lang w:val="en-US" w:eastAsia="zh-CN"/>
                <w14:textFill>
                  <w14:solidFill>
                    <w14:schemeClr w14:val="tx1"/>
                  </w14:solidFill>
                </w14:textFill>
              </w:rPr>
              <w:t>注重空间布局和污染物排放管控</w:t>
            </w:r>
            <w:r>
              <w:rPr>
                <w:rFonts w:hint="default" w:ascii="Times New Roman" w:hAnsi="Times New Roman" w:cs="Times New Roman"/>
                <w:color w:val="000000" w:themeColor="text1"/>
                <w:sz w:val="24"/>
                <w:szCs w:val="24"/>
                <w14:textFill>
                  <w14:solidFill>
                    <w14:schemeClr w14:val="tx1"/>
                  </w14:solidFill>
                </w14:textFill>
              </w:rPr>
              <w:t>。</w:t>
            </w:r>
          </w:p>
          <w:p w14:paraId="662CB14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本项目污染物</w:t>
            </w:r>
            <w:r>
              <w:rPr>
                <w:rFonts w:hint="eastAsia" w:ascii="Times New Roman" w:hAnsi="Times New Roman" w:cs="Times New Roman"/>
                <w:color w:val="000000" w:themeColor="text1"/>
                <w:sz w:val="24"/>
                <w:szCs w:val="24"/>
                <w:lang w:val="en-US" w:eastAsia="zh-CN"/>
                <w14:textFill>
                  <w14:solidFill>
                    <w14:schemeClr w14:val="tx1"/>
                  </w14:solidFill>
                </w14:textFill>
              </w:rPr>
              <w:t>排放量</w:t>
            </w:r>
            <w:r>
              <w:rPr>
                <w:rFonts w:hint="default" w:ascii="Times New Roman" w:hAnsi="Times New Roman" w:cs="Times New Roman"/>
                <w:color w:val="000000" w:themeColor="text1"/>
                <w:sz w:val="24"/>
                <w:szCs w:val="24"/>
                <w14:textFill>
                  <w14:solidFill>
                    <w14:schemeClr w14:val="tx1"/>
                  </w14:solidFill>
                </w14:textFill>
              </w:rPr>
              <w:t>少，且针对产生的污染物企业均采取了相应的污染防治措施，可以有效降低项目生产过程中的污染物排放量，进而降低其对周围环境质量的影响，企业已具备完善的环境风险防范机制和风险防范措施及相应的物资配备，可有效防控环境风险。因此，项目符合宝鸡市人民政府关于印发</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《关于印发2023年宝鸡市生态环境分区管控调整方案的通知》（宝区环办〔2024〕1号）相关要求。</w:t>
            </w:r>
          </w:p>
          <w:p w14:paraId="0A6F146B">
            <w:pPr>
              <w:keepNext w:val="0"/>
              <w:keepLines w:val="0"/>
              <w:numPr>
                <w:ilvl w:val="0"/>
                <w:numId w:val="1"/>
              </w:numPr>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项目与</w:t>
            </w:r>
            <w:r>
              <w:rPr>
                <w:rFonts w:hint="eastAsia" w:ascii="Times New Roman" w:hAnsi="Times New Roman" w:cs="Times New Roman"/>
                <w:color w:val="000000" w:themeColor="text1"/>
                <w:sz w:val="24"/>
                <w:szCs w:val="24"/>
                <w:lang w:eastAsia="zh-CN"/>
                <w14:textFill>
                  <w14:solidFill>
                    <w14:schemeClr w14:val="tx1"/>
                  </w14:solidFill>
                </w14:textFill>
              </w:rPr>
              <w:t>《凤翔区</w:t>
            </w:r>
            <w:r>
              <w:rPr>
                <w:rFonts w:hint="eastAsia" w:ascii="Times New Roman" w:hAnsi="Times New Roman" w:cs="Times New Roman"/>
                <w:color w:val="000000" w:themeColor="text1"/>
                <w:sz w:val="24"/>
                <w:szCs w:val="24"/>
                <w:lang w:val="en-US" w:eastAsia="zh-CN"/>
                <w14:textFill>
                  <w14:solidFill>
                    <w14:schemeClr w14:val="tx1"/>
                  </w14:solidFill>
                </w14:textFill>
              </w:rPr>
              <w:t>西凤酒城“</w:t>
            </w:r>
            <w:r>
              <w:rPr>
                <w:rFonts w:hint="eastAsia" w:ascii="Times New Roman" w:hAnsi="Times New Roman" w:cs="Times New Roman"/>
                <w:color w:val="000000" w:themeColor="text1"/>
                <w:sz w:val="24"/>
                <w:szCs w:val="24"/>
                <w:lang w:eastAsia="zh-CN"/>
                <w14:textFill>
                  <w14:solidFill>
                    <w14:schemeClr w14:val="tx1"/>
                  </w14:solidFill>
                </w14:textFill>
              </w:rPr>
              <w:t>标准地”区域空间生态环境评价报告》</w:t>
            </w:r>
            <w:r>
              <w:rPr>
                <w:rFonts w:hint="eastAsia" w:ascii="Times New Roman" w:hAnsi="Times New Roman" w:cs="Times New Roman"/>
                <w:color w:val="000000" w:themeColor="text1"/>
                <w:sz w:val="24"/>
                <w:szCs w:val="24"/>
                <w:lang w:val="en-US" w:eastAsia="zh-CN"/>
                <w14:textFill>
                  <w14:solidFill>
                    <w14:schemeClr w14:val="tx1"/>
                  </w14:solidFill>
                </w14:textFill>
              </w:rPr>
              <w:t>及其审查意见相符性分析</w:t>
            </w:r>
          </w:p>
          <w:p w14:paraId="55383C0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项目与标准地</w:t>
            </w:r>
            <w:r>
              <w:rPr>
                <w:rFonts w:hint="eastAsia" w:ascii="Times New Roman" w:hAnsi="Times New Roman" w:eastAsia="宋体" w:cs="Times New Roman"/>
                <w:color w:val="000000" w:themeColor="text1"/>
                <w:lang w:val="en-US" w:eastAsia="zh-CN"/>
                <w14:textFill>
                  <w14:solidFill>
                    <w14:schemeClr w14:val="tx1"/>
                  </w14:solidFill>
                </w14:textFill>
              </w:rPr>
              <w:t>环评</w:t>
            </w:r>
            <w:r>
              <w:rPr>
                <w:rFonts w:hint="default" w:ascii="Times New Roman" w:hAnsi="Times New Roman" w:eastAsia="宋体" w:cs="Times New Roman"/>
                <w:color w:val="000000" w:themeColor="text1"/>
                <w14:textFill>
                  <w14:solidFill>
                    <w14:schemeClr w14:val="tx1"/>
                  </w14:solidFill>
                </w14:textFill>
              </w:rPr>
              <w:t>及其审查意见</w:t>
            </w:r>
            <w:r>
              <w:rPr>
                <w:rFonts w:hint="eastAsia" w:ascii="Times New Roman" w:hAnsi="Times New Roman" w:eastAsia="宋体" w:cs="Times New Roman"/>
                <w:color w:val="000000" w:themeColor="text1"/>
                <w:lang w:val="en-US" w:eastAsia="zh-CN"/>
                <w14:textFill>
                  <w14:solidFill>
                    <w14:schemeClr w14:val="tx1"/>
                  </w14:solidFill>
                </w14:textFill>
              </w:rPr>
              <w:t>的</w:t>
            </w:r>
            <w:r>
              <w:rPr>
                <w:rFonts w:hint="default" w:ascii="Times New Roman" w:hAnsi="Times New Roman" w:eastAsia="宋体" w:cs="Times New Roman"/>
                <w:color w:val="000000" w:themeColor="text1"/>
                <w14:textFill>
                  <w14:solidFill>
                    <w14:schemeClr w14:val="tx1"/>
                  </w14:solidFill>
                </w14:textFill>
              </w:rPr>
              <w:t>符合性分析</w:t>
            </w:r>
          </w:p>
          <w:tbl>
            <w:tblPr>
              <w:tblStyle w:val="23"/>
              <w:tblW w:w="497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83"/>
              <w:gridCol w:w="2820"/>
              <w:gridCol w:w="2272"/>
              <w:gridCol w:w="454"/>
            </w:tblGrid>
            <w:tr w14:paraId="47797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201882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名目</w:t>
                  </w:r>
                </w:p>
              </w:tc>
              <w:tc>
                <w:tcPr>
                  <w:tcW w:w="1977" w:type="pct"/>
                  <w:noWrap w:val="0"/>
                  <w:vAlign w:val="center"/>
                </w:tcPr>
                <w:p w14:paraId="73F2277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tc>
              <w:tc>
                <w:tcPr>
                  <w:tcW w:w="1593" w:type="pct"/>
                  <w:noWrap w:val="0"/>
                  <w:vAlign w:val="center"/>
                </w:tcPr>
                <w:p w14:paraId="25D36E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318" w:type="pct"/>
                  <w:noWrap w:val="0"/>
                  <w:vAlign w:val="center"/>
                </w:tcPr>
                <w:p w14:paraId="7A66EB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分析</w:t>
                  </w:r>
                </w:p>
              </w:tc>
            </w:tr>
            <w:tr w14:paraId="64894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restart"/>
                  <w:noWrap w:val="0"/>
                  <w:vAlign w:val="center"/>
                </w:tcPr>
                <w:p w14:paraId="2A06ADC6">
                  <w:pPr>
                    <w:keepNext w:val="0"/>
                    <w:keepLines w:val="0"/>
                    <w:suppressLineNumbers w:val="0"/>
                    <w:autoSpaceDE w:val="0"/>
                    <w:autoSpaceDN w:val="0"/>
                    <w:adjustRightInd w:val="0"/>
                    <w:spacing w:before="0" w:beforeAutospacing="0" w:after="0" w:afterAutospacing="0" w:line="240" w:lineRule="auto"/>
                    <w:ind w:left="-63" w:leftChars="-30" w:right="-63" w:rightChars="-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《凤翔区标准地区域空间生态环境评价报告》</w:t>
                  </w:r>
                </w:p>
              </w:tc>
              <w:tc>
                <w:tcPr>
                  <w:tcW w:w="1977" w:type="pct"/>
                  <w:noWrap w:val="0"/>
                  <w:vAlign w:val="center"/>
                </w:tcPr>
                <w:p w14:paraId="2E5B6AF2">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凤</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翔区西凤酒城片区拟出让“标准地”位于凤翔区柳林镇，是凤翔高新技术产业开发区-西凤酒城片区的一部分，共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个地块，地块一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位置为柳林镇北侧，西干河以西、渭北环线以东、宋村以南、三阳路以北，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总面积约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2098.6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亩</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，发展定位为优质基酒生产及配套项目。</w:t>
                  </w:r>
                </w:p>
              </w:tc>
              <w:tc>
                <w:tcPr>
                  <w:tcW w:w="1593" w:type="pct"/>
                  <w:noWrap w:val="0"/>
                  <w:vAlign w:val="center"/>
                </w:tcPr>
                <w:p w14:paraId="235E72BA">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本项目位于宝鸡市凤翔高新区西凤酒城，位于地块一范围内。本项目主要满足西凤酒10万吨优质基酒产业园和西凤酒现有厂区的蒸汽需求，属于西凤酒厂配套项目，符合地块一发展定位。</w:t>
                  </w:r>
                </w:p>
              </w:tc>
              <w:tc>
                <w:tcPr>
                  <w:tcW w:w="318" w:type="pct"/>
                  <w:noWrap w:val="0"/>
                  <w:vAlign w:val="center"/>
                </w:tcPr>
                <w:p w14:paraId="61526FAD">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1384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3" w:hRule="atLeast"/>
                <w:jc w:val="center"/>
              </w:trPr>
              <w:tc>
                <w:tcPr>
                  <w:tcW w:w="1110" w:type="pct"/>
                  <w:vMerge w:val="continue"/>
                  <w:noWrap w:val="0"/>
                  <w:vAlign w:val="center"/>
                </w:tcPr>
                <w:p w14:paraId="24BFB7A7">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977" w:type="pct"/>
                  <w:noWrap w:val="0"/>
                  <w:vAlign w:val="center"/>
                </w:tcPr>
                <w:p w14:paraId="42C076C3">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标准地建设项目准入清单：</w:t>
                  </w:r>
                </w:p>
                <w:p w14:paraId="15F98B61">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入驻企业：</w:t>
                  </w:r>
                </w:p>
                <w:p w14:paraId="548A77ED">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必须严格实施清污分流。在入驻企业采取严格的大气防治措施、确保达标排放的前提下，区域环境质量将得到改善。</w:t>
                  </w:r>
                </w:p>
                <w:p w14:paraId="6CDBCB86">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593" w:type="pct"/>
                  <w:noWrap w:val="0"/>
                  <w:vAlign w:val="center"/>
                </w:tcPr>
                <w:p w14:paraId="64C55FCF">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本项目生产废水为软水制备浓水，依托陕西西凤酒基酒生产有限公司污水处理厂处理达标后排入园区市政污水管网；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本项目锅炉燃料为清洁能源（天然气），且采取低氮燃烧器，属于推荐的可行性技术，可确保达标排放。</w:t>
                  </w:r>
                </w:p>
              </w:tc>
              <w:tc>
                <w:tcPr>
                  <w:tcW w:w="318" w:type="pct"/>
                  <w:noWrap w:val="0"/>
                  <w:vAlign w:val="center"/>
                </w:tcPr>
                <w:p w14:paraId="5F627492">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B19F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0AE2714E">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977" w:type="pct"/>
                  <w:noWrap w:val="0"/>
                  <w:vAlign w:val="center"/>
                </w:tcPr>
                <w:p w14:paraId="22812B93">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标准地建设项目准入清单：</w:t>
                  </w:r>
                </w:p>
                <w:p w14:paraId="7EFF8AD8">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染物排放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管控：</w:t>
                  </w:r>
                </w:p>
                <w:p w14:paraId="39625878">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1.入驻项目的工艺技术、建设规模应符合国家产业政策要求，采用能源转换率高、污染物排放强度低的工艺技术。项目生产工艺、污染治理水平、资源能源利用效率等应达到相应清洁生产一级、二级水平。</w:t>
                  </w:r>
                </w:p>
                <w:p w14:paraId="73B30327">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2.入驻项目应强化节水措施，减少新鲜水用量，优先使用中水。</w:t>
                  </w:r>
                </w:p>
                <w:p w14:paraId="0CEEB157">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3.按照“减量化、资源化、无害化”原则对固体废物优先进行处理处置。危险废物交有资质单位处置。</w:t>
                  </w:r>
                </w:p>
                <w:p w14:paraId="7B49E638">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4.所有入驻“标准地”企业环保设施满足行业规范，环保设施规范运行，所有污染物达标排放。</w:t>
                  </w:r>
                </w:p>
              </w:tc>
              <w:tc>
                <w:tcPr>
                  <w:tcW w:w="1593" w:type="pct"/>
                  <w:noWrap w:val="0"/>
                  <w:vAlign w:val="center"/>
                </w:tcPr>
                <w:p w14:paraId="56C74CCB">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本项目锅炉热效率≥99.9%，满足能源转化率高、污染物排放强度低的要求。</w:t>
                  </w:r>
                </w:p>
                <w:p w14:paraId="7D73EA96">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本项目无中水可回用。</w:t>
                  </w:r>
                </w:p>
                <w:p w14:paraId="7A865C97">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本项目产生的废离子交换树脂由厂家回收，可做到无害化处理处置。</w:t>
                  </w:r>
                </w:p>
                <w:p w14:paraId="0EF5DB89">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本项目锅炉废气采用低氮燃烧设施，满足行业规范，废气污染物可达标排放。</w:t>
                  </w:r>
                </w:p>
              </w:tc>
              <w:tc>
                <w:tcPr>
                  <w:tcW w:w="318" w:type="pct"/>
                  <w:noWrap w:val="0"/>
                  <w:vAlign w:val="center"/>
                </w:tcPr>
                <w:p w14:paraId="63F4C8D7">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DB44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6440A5F1">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977" w:type="pct"/>
                  <w:noWrap w:val="0"/>
                  <w:vAlign w:val="center"/>
                </w:tcPr>
                <w:p w14:paraId="61103029">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标准地建设项目准入清单：</w:t>
                  </w:r>
                </w:p>
                <w:p w14:paraId="461444BF">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环境风险防控：</w:t>
                  </w:r>
                </w:p>
                <w:p w14:paraId="1289B3CA">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完善企业环境风险应急机制，设置足够容量的事故污水池，严禁污水超标排放；企业厂内可设围堰，地面进行防渗处理，并制定相应的应急预案。</w:t>
                  </w:r>
                </w:p>
              </w:tc>
              <w:tc>
                <w:tcPr>
                  <w:tcW w:w="1593" w:type="pct"/>
                  <w:noWrap w:val="0"/>
                  <w:vAlign w:val="center"/>
                </w:tcPr>
                <w:p w14:paraId="546292EF">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本次环评要求企业编制突发环境事件应急预案。</w:t>
                  </w:r>
                </w:p>
              </w:tc>
              <w:tc>
                <w:tcPr>
                  <w:tcW w:w="318" w:type="pct"/>
                  <w:noWrap w:val="0"/>
                  <w:vAlign w:val="center"/>
                </w:tcPr>
                <w:p w14:paraId="19E7941D">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3C624E9D">
            <w:pPr>
              <w:keepNext w:val="0"/>
              <w:keepLines w:val="0"/>
              <w:numPr>
                <w:ilvl w:val="0"/>
                <w:numId w:val="1"/>
              </w:numPr>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生态环境保护法律法规政策、规划</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符合性分析</w:t>
            </w:r>
          </w:p>
          <w:p w14:paraId="1DE8DEE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项目与生态环境保护法律法规政策</w:t>
            </w:r>
            <w:r>
              <w:rPr>
                <w:rFonts w:hint="eastAsia"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符合性分析</w:t>
            </w:r>
          </w:p>
          <w:tbl>
            <w:tblPr>
              <w:tblStyle w:val="23"/>
              <w:tblW w:w="497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84"/>
              <w:gridCol w:w="2820"/>
              <w:gridCol w:w="2272"/>
              <w:gridCol w:w="454"/>
            </w:tblGrid>
            <w:tr w14:paraId="08D1D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6DA6B5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名目</w:t>
                  </w:r>
                </w:p>
              </w:tc>
              <w:tc>
                <w:tcPr>
                  <w:tcW w:w="1977" w:type="pct"/>
                  <w:noWrap w:val="0"/>
                  <w:vAlign w:val="center"/>
                </w:tcPr>
                <w:p w14:paraId="248E5FB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内容</w:t>
                  </w:r>
                </w:p>
              </w:tc>
              <w:tc>
                <w:tcPr>
                  <w:tcW w:w="1593" w:type="pct"/>
                  <w:noWrap w:val="0"/>
                  <w:vAlign w:val="center"/>
                </w:tcPr>
                <w:p w14:paraId="4E0AEF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w:t>
                  </w:r>
                </w:p>
              </w:tc>
              <w:tc>
                <w:tcPr>
                  <w:tcW w:w="318" w:type="pct"/>
                  <w:noWrap w:val="0"/>
                  <w:vAlign w:val="center"/>
                </w:tcPr>
                <w:p w14:paraId="5AFB27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分析</w:t>
                  </w:r>
                </w:p>
              </w:tc>
            </w:tr>
            <w:tr w14:paraId="1BD60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5CA61E49">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《宝鸡市大气污染防治条例》</w:t>
                  </w:r>
                </w:p>
              </w:tc>
              <w:tc>
                <w:tcPr>
                  <w:tcW w:w="1977" w:type="pct"/>
                  <w:noWrap w:val="0"/>
                  <w:vAlign w:val="center"/>
                </w:tcPr>
                <w:p w14:paraId="024501C6">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第二十条市、县（区）、镇人民政府和街道办事处应当采取措施，调整能源结构，推广清洁能源的生产和使用；优化煤炭使用方式，推广煤炭清洁高效利用，逐步降低煤炭在一次能源消费中的比重，减少煤炭生产、使用、转化过程中的大气污染物排放</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1593" w:type="pct"/>
                  <w:noWrap w:val="0"/>
                  <w:vAlign w:val="center"/>
                </w:tcPr>
                <w:p w14:paraId="5B20EBB2">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新建</w:t>
                  </w:r>
                  <w:r>
                    <w:rPr>
                      <w:rFonts w:hint="default" w:ascii="Times New Roman" w:hAnsi="Times New Roman" w:cs="Times New Roman"/>
                      <w:color w:val="000000" w:themeColor="text1"/>
                      <w:sz w:val="21"/>
                      <w:szCs w:val="21"/>
                      <w:lang w:val="en-US" w:eastAsia="zh-Hans"/>
                      <w14:textFill>
                        <w14:solidFill>
                          <w14:schemeClr w14:val="tx1"/>
                        </w14:solidFill>
                      </w14:textFill>
                    </w:rPr>
                    <w:t>蒸汽锅炉</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均</w:t>
                  </w:r>
                  <w:r>
                    <w:rPr>
                      <w:rFonts w:hint="default" w:ascii="Times New Roman" w:hAnsi="Times New Roman" w:cs="Times New Roman"/>
                      <w:color w:val="000000" w:themeColor="text1"/>
                      <w:sz w:val="21"/>
                      <w:szCs w:val="21"/>
                      <w14:textFill>
                        <w14:solidFill>
                          <w14:schemeClr w14:val="tx1"/>
                        </w14:solidFill>
                      </w14:textFill>
                    </w:rPr>
                    <w:t>使用天然气燃料，属于清洁能源，且</w:t>
                  </w:r>
                  <w:r>
                    <w:rPr>
                      <w:rFonts w:hint="eastAsia" w:ascii="Times New Roman" w:hAnsi="Times New Roman" w:cs="Times New Roman"/>
                      <w:color w:val="000000" w:themeColor="text1"/>
                      <w:sz w:val="21"/>
                      <w:szCs w:val="21"/>
                      <w:lang w:val="en-US" w:eastAsia="zh-CN"/>
                      <w14:textFill>
                        <w14:solidFill>
                          <w14:schemeClr w14:val="tx1"/>
                        </w14:solidFill>
                      </w14:textFill>
                    </w:rPr>
                    <w:t>锅炉自带</w:t>
                  </w:r>
                  <w:r>
                    <w:rPr>
                      <w:rFonts w:hint="default" w:ascii="Times New Roman" w:hAnsi="Times New Roman" w:cs="Times New Roman"/>
                      <w:color w:val="000000" w:themeColor="text1"/>
                      <w:sz w:val="21"/>
                      <w:szCs w:val="21"/>
                      <w14:textFill>
                        <w14:solidFill>
                          <w14:schemeClr w14:val="tx1"/>
                        </w14:solidFill>
                      </w14:textFill>
                    </w:rPr>
                    <w:t>低氮燃烧</w:t>
                  </w:r>
                  <w:r>
                    <w:rPr>
                      <w:rFonts w:hint="eastAsia" w:ascii="Times New Roman" w:hAnsi="Times New Roman" w:cs="Times New Roman"/>
                      <w:color w:val="000000" w:themeColor="text1"/>
                      <w:sz w:val="21"/>
                      <w:szCs w:val="21"/>
                      <w:lang w:val="en-US" w:eastAsia="zh-CN"/>
                      <w14:textFill>
                        <w14:solidFill>
                          <w14:schemeClr w14:val="tx1"/>
                        </w14:solidFill>
                      </w14:textFill>
                    </w:rPr>
                    <w:t>器</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可</w:t>
                  </w:r>
                  <w:r>
                    <w:rPr>
                      <w:rFonts w:hint="default" w:ascii="Times New Roman" w:hAnsi="Times New Roman" w:cs="Times New Roman"/>
                      <w:color w:val="000000" w:themeColor="text1"/>
                      <w:sz w:val="21"/>
                      <w:szCs w:val="21"/>
                      <w14:textFill>
                        <w14:solidFill>
                          <w14:schemeClr w14:val="tx1"/>
                        </w14:solidFill>
                      </w14:textFill>
                    </w:rPr>
                    <w:t>降低</w:t>
                  </w:r>
                  <w:r>
                    <w:rPr>
                      <w:rFonts w:hint="eastAsia" w:ascii="Times New Roman" w:hAnsi="Times New Roman" w:cs="Times New Roman"/>
                      <w:color w:val="000000" w:themeColor="text1"/>
                      <w:sz w:val="21"/>
                      <w:szCs w:val="21"/>
                      <w:lang w:val="en-US" w:eastAsia="zh-CN"/>
                      <w14:textFill>
                        <w14:solidFill>
                          <w14:schemeClr w14:val="tx1"/>
                        </w14:solidFill>
                      </w14:textFill>
                    </w:rPr>
                    <w:t>氮氧化物</w:t>
                  </w:r>
                  <w:r>
                    <w:rPr>
                      <w:rFonts w:hint="default" w:ascii="Times New Roman" w:hAnsi="Times New Roman" w:cs="Times New Roman"/>
                      <w:color w:val="000000" w:themeColor="text1"/>
                      <w:sz w:val="21"/>
                      <w:szCs w:val="21"/>
                      <w14:textFill>
                        <w14:solidFill>
                          <w14:schemeClr w14:val="tx1"/>
                        </w14:solidFill>
                      </w14:textFill>
                    </w:rPr>
                    <w:t>的排放</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18" w:type="pct"/>
                  <w:noWrap w:val="0"/>
                  <w:vAlign w:val="center"/>
                </w:tcPr>
                <w:p w14:paraId="31565EA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0316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110" w:type="pct"/>
                  <w:noWrap w:val="0"/>
                  <w:vAlign w:val="center"/>
                </w:tcPr>
                <w:p w14:paraId="63F5D3E3">
                  <w:pPr>
                    <w:pStyle w:val="20"/>
                    <w:keepNext w:val="0"/>
                    <w:keepLines w:val="0"/>
                    <w:suppressLineNumbers w:val="0"/>
                    <w:shd w:val="clear" w:color="auto" w:fill="FFFFFF"/>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Hans"/>
                      <w14:textFill>
                        <w14:solidFill>
                          <w14:schemeClr w14:val="tx1"/>
                        </w14:solidFill>
                      </w14:textFill>
                    </w:rPr>
                    <w:t>《宝鸡市锅炉大气污染专项整治行动方案》（宝气专办发〔2023〕7号）</w:t>
                  </w:r>
                </w:p>
              </w:tc>
              <w:tc>
                <w:tcPr>
                  <w:tcW w:w="1977" w:type="pct"/>
                  <w:noWrap w:val="0"/>
                  <w:vAlign w:val="center"/>
                </w:tcPr>
                <w:p w14:paraId="49834DE8">
                  <w:pPr>
                    <w:keepNext w:val="0"/>
                    <w:keepLines w:val="0"/>
                    <w:suppressLineNumbers w:val="0"/>
                    <w:adjustRightInd w:val="0"/>
                    <w:snapToGri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p w14:paraId="61B6350F">
                  <w:pPr>
                    <w:keepNext w:val="0"/>
                    <w:keepLines w:val="0"/>
                    <w:suppressLineNumbers w:val="0"/>
                    <w:adjustRightInd w:val="0"/>
                    <w:snapToGrid w:val="0"/>
                    <w:spacing w:before="0" w:beforeAutospacing="0" w:after="0" w:afterAutospacing="0" w:line="240" w:lineRule="auto"/>
                    <w:ind w:left="-63" w:leftChars="-30" w:right="-63" w:rightChars="-30"/>
                    <w:jc w:val="both"/>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深入推进燃气锅炉低氮改造。</w:t>
                  </w:r>
                </w:p>
                <w:p w14:paraId="5890201B">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开展锅炉污染物达标情况专项整治，重点对2018年底前建设安装的燃气锅炉污染物达标情况进行全面核查和抽测，督促不</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能稳定达标的排放锅炉开展综合整治，确保2023年12月底前锅炉大气污染物稳定达到《陕西省锅炉大气污染物排放标准》（DB61/1226-2018）燃气锅炉排放限值要求。分阶段推进低氮燃烧深度改造，5蒸吨/小时及以上燃气锅炉使用单位力争2024年12月底前完成低氮燃烧深度改造，鼓励5蒸吨/小时以下燃气锅炉使用单位实施低氮燃烧深度改造，改造后氮氧化物浓度控制在30毫克/立方米以下。</w:t>
                  </w:r>
                </w:p>
              </w:tc>
              <w:tc>
                <w:tcPr>
                  <w:tcW w:w="1593" w:type="pct"/>
                  <w:noWrap w:val="0"/>
                  <w:vAlign w:val="center"/>
                </w:tcPr>
                <w:p w14:paraId="4BD008F2">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本项目新建7台50</w:t>
                  </w:r>
                  <w:r>
                    <w:rPr>
                      <w:rFonts w:hint="default" w:ascii="Times New Roman" w:hAnsi="Times New Roman" w:cs="Times New Roman"/>
                      <w:color w:val="000000" w:themeColor="text1"/>
                      <w:sz w:val="21"/>
                      <w:szCs w:val="21"/>
                      <w:lang w:val="en-US" w:eastAsia="zh-CN"/>
                      <w14:textFill>
                        <w14:solidFill>
                          <w14:schemeClr w14:val="tx1"/>
                        </w14:solidFill>
                      </w14:textFill>
                    </w:rPr>
                    <w:t>t/h</w:t>
                  </w:r>
                  <w:r>
                    <w:rPr>
                      <w:rFonts w:hint="eastAsia" w:ascii="Times New Roman" w:hAnsi="Times New Roman" w:cs="Times New Roman"/>
                      <w:color w:val="000000" w:themeColor="text1"/>
                      <w:sz w:val="21"/>
                      <w:szCs w:val="21"/>
                      <w:lang w:val="en-US" w:eastAsia="zh-CN"/>
                      <w14:textFill>
                        <w14:solidFill>
                          <w14:schemeClr w14:val="tx1"/>
                        </w14:solidFill>
                      </w14:textFill>
                    </w:rPr>
                    <w:t>天然气蒸汽锅炉，为西凤酒10万吨优质基酒产业园和西凤酒现有厂区供应蒸汽。锅炉自带低氮燃烧器，氮氧化物排放浓度小于30毫克/立方米。</w:t>
                  </w:r>
                </w:p>
                <w:p w14:paraId="099929EC">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18" w:type="pct"/>
                  <w:noWrap w:val="0"/>
                  <w:vAlign w:val="center"/>
                </w:tcPr>
                <w:p w14:paraId="198FE6E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7A722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restart"/>
                  <w:noWrap w:val="0"/>
                  <w:vAlign w:val="center"/>
                </w:tcPr>
                <w:p w14:paraId="588422A0">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r>
                    <w:rPr>
                      <w:rFonts w:hint="default" w:ascii="Times New Roman" w:hAnsi="Times New Roman" w:eastAsia="宋体" w:cs="Times New Roman"/>
                      <w:color w:val="000000" w:themeColor="text1"/>
                      <w:sz w:val="21"/>
                      <w:szCs w:val="21"/>
                      <w:lang w:eastAsia="zh-Hans"/>
                      <w14:textFill>
                        <w14:solidFill>
                          <w14:schemeClr w14:val="tx1"/>
                        </w14:solidFill>
                      </w14:textFill>
                    </w:rPr>
                    <w:t>《宝鸡市大气污染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治理</w:t>
                  </w:r>
                  <w:r>
                    <w:rPr>
                      <w:rFonts w:hint="default" w:ascii="Times New Roman" w:hAnsi="Times New Roman" w:eastAsia="宋体" w:cs="Times New Roman"/>
                      <w:color w:val="000000" w:themeColor="text1"/>
                      <w:sz w:val="21"/>
                      <w:szCs w:val="21"/>
                      <w:lang w:eastAsia="zh-Hans"/>
                      <w14:textFill>
                        <w14:solidFill>
                          <w14:schemeClr w14:val="tx1"/>
                        </w14:solidFill>
                      </w14:textFill>
                    </w:rPr>
                    <w:t>专项行动方案</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2023-2027年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Hans"/>
                      <w14:textFill>
                        <w14:solidFill>
                          <w14:schemeClr w14:val="tx1"/>
                        </w14:solidFill>
                      </w14:textFill>
                    </w:rPr>
                    <w:t>宝发</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Hans"/>
                      <w14:textFill>
                        <w14:solidFill>
                          <w14:schemeClr w14:val="tx1"/>
                        </w14:solidFill>
                      </w14:textFill>
                    </w:rPr>
                    <w:t>2023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Hans"/>
                      <w14:textFill>
                        <w14:solidFill>
                          <w14:schemeClr w14:val="tx1"/>
                        </w14:solidFill>
                      </w14:textFill>
                    </w:rPr>
                    <w:t>号</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p>
              </w:tc>
              <w:tc>
                <w:tcPr>
                  <w:tcW w:w="1977" w:type="pct"/>
                  <w:noWrap w:val="0"/>
                  <w:vAlign w:val="center"/>
                </w:tcPr>
                <w:p w14:paraId="55D60DA0">
                  <w:pPr>
                    <w:keepNext w:val="0"/>
                    <w:keepLines w:val="0"/>
                    <w:suppressLineNumbers w:val="0"/>
                    <w:adjustRightInd w:val="0"/>
                    <w:snapToGri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扬尘治理工程。严格执行施工场地“六个百分百”，施工工地扬尘排放超过《施工场界扬尘排放限值》（DB61/1078-2017）的立即停工整改。除沙尘天气影响外，PM</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小时浓度连续3小时超过150微克立方米时，暂停超过环境质量监测值2.5倍以上施工工地作业。</w:t>
                  </w:r>
                </w:p>
                <w:p w14:paraId="203988FB">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强化渣</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车运输管理，依法从严查处无证运输、冒尖运输、不按规定路线和时间运输、带泥上路、沿街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抛洒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等行为。城市建成区、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城乡接合部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等区域易产生扬尘物料堆放及裸露地块应采取苫盖、植绿等有效抑尘措施。严禁露天装卸作业和物料干法作业。</w:t>
                  </w:r>
                </w:p>
              </w:tc>
              <w:tc>
                <w:tcPr>
                  <w:tcW w:w="1593" w:type="pct"/>
                  <w:noWrap w:val="0"/>
                  <w:vAlign w:val="center"/>
                </w:tcPr>
                <w:p w14:paraId="7ED64ABF">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本次环评要求建设单位在施工期间，严格执行施工场地“六个百分百”，渣土运输车辆采取封闭或遮盖措施，水泥及其他粉尘类建筑材料必须密闭存放或覆盖，严禁露天放置。</w:t>
                  </w:r>
                </w:p>
              </w:tc>
              <w:tc>
                <w:tcPr>
                  <w:tcW w:w="318" w:type="pct"/>
                  <w:noWrap w:val="0"/>
                  <w:vAlign w:val="center"/>
                </w:tcPr>
                <w:p w14:paraId="460E799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3C30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33FBA2F7">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p>
              </w:tc>
              <w:tc>
                <w:tcPr>
                  <w:tcW w:w="1977" w:type="pct"/>
                  <w:noWrap w:val="0"/>
                  <w:vAlign w:val="center"/>
                </w:tcPr>
                <w:p w14:paraId="0E91229A">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推动燃气锅炉实施低氮燃烧深度改造，鼓励企业将氮氧化物浓度控制在30毫克/立方米以下。</w:t>
                  </w:r>
                </w:p>
              </w:tc>
              <w:tc>
                <w:tcPr>
                  <w:tcW w:w="1593" w:type="pct"/>
                  <w:noWrap w:val="0"/>
                  <w:vAlign w:val="center"/>
                </w:tcPr>
                <w:p w14:paraId="0AED3E14">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本项目燃气锅炉自带低氮燃烧器，氮氧化物排放浓度小于30毫克/立方米。</w:t>
                  </w:r>
                </w:p>
              </w:tc>
              <w:tc>
                <w:tcPr>
                  <w:tcW w:w="318" w:type="pct"/>
                  <w:noWrap w:val="0"/>
                  <w:vAlign w:val="center"/>
                </w:tcPr>
                <w:p w14:paraId="13DAA86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25D7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restart"/>
                  <w:noWrap w:val="0"/>
                  <w:vAlign w:val="center"/>
                </w:tcPr>
                <w:p w14:paraId="7FD2EE0D">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r>
                    <w:rPr>
                      <w:rFonts w:hint="default" w:ascii="Times New Roman" w:hAnsi="Times New Roman" w:eastAsia="宋体" w:cs="Times New Roman"/>
                      <w:color w:val="000000" w:themeColor="text1"/>
                      <w:sz w:val="21"/>
                      <w:szCs w:val="21"/>
                      <w:lang w:eastAsia="zh-Hans"/>
                      <w14:textFill>
                        <w14:solidFill>
                          <w14:schemeClr w14:val="tx1"/>
                        </w14:solidFill>
                      </w14:textFill>
                    </w:rPr>
                    <w:t>《陕西省大气污染防治条例</w:t>
                  </w:r>
                  <w:r>
                    <w:rPr>
                      <w:rFonts w:hint="eastAsia" w:ascii="Times New Roman" w:hAnsi="Times New Roman" w:eastAsia="宋体" w:cs="Times New Roman"/>
                      <w:color w:val="000000" w:themeColor="text1"/>
                      <w:sz w:val="21"/>
                      <w:szCs w:val="21"/>
                      <w:lang w:eastAsia="zh-CN"/>
                      <w14:textFill>
                        <w14:solidFill>
                          <w14:schemeClr w14:val="tx1"/>
                        </w14:solidFill>
                      </w14:textFill>
                    </w:rPr>
                    <w:t>（2019年修正）</w:t>
                  </w:r>
                  <w:r>
                    <w:rPr>
                      <w:rFonts w:hint="default" w:ascii="Times New Roman" w:hAnsi="Times New Roman" w:eastAsia="宋体" w:cs="Times New Roman"/>
                      <w:color w:val="000000" w:themeColor="text1"/>
                      <w:sz w:val="21"/>
                      <w:szCs w:val="21"/>
                      <w:lang w:eastAsia="zh-Hans"/>
                      <w14:textFill>
                        <w14:solidFill>
                          <w14:schemeClr w14:val="tx1"/>
                        </w14:solidFill>
                      </w14:textFill>
                    </w:rPr>
                    <w:t>》</w:t>
                  </w:r>
                </w:p>
              </w:tc>
              <w:tc>
                <w:tcPr>
                  <w:tcW w:w="1977" w:type="pct"/>
                  <w:noWrap w:val="0"/>
                  <w:vAlign w:val="center"/>
                </w:tcPr>
                <w:p w14:paraId="2BD852BA">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第十六条 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1593" w:type="pct"/>
                  <w:noWrap w:val="0"/>
                  <w:vAlign w:val="center"/>
                </w:tcPr>
                <w:p w14:paraId="731E5E63">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本次环评要求建设单位在项目建成试运行前申办排污许可证。</w:t>
                  </w:r>
                </w:p>
              </w:tc>
              <w:tc>
                <w:tcPr>
                  <w:tcW w:w="318" w:type="pct"/>
                  <w:noWrap w:val="0"/>
                  <w:vAlign w:val="center"/>
                </w:tcPr>
                <w:p w14:paraId="42C23A9D">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1E76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3CF1B0D8">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p>
              </w:tc>
              <w:tc>
                <w:tcPr>
                  <w:tcW w:w="1977" w:type="pct"/>
                  <w:noWrap w:val="0"/>
                  <w:vAlign w:val="center"/>
                </w:tcPr>
                <w:p w14:paraId="7C4E5631">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第十九条 向大气排放污染物的单位应当按照有关规定设置监测点位和采样监测平台，对其所排放的大气污染物进行自行监测或者委托有环境监测资质的单位监测。监测结果由单位主管环境工作的负责人审核签字，原始监测记录至少保存三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762B7D70">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重点污染源单位应当安装运行管理监控平台和大气污染物排放自动监测设备，与生态环境行政主管部门的监控平台联网，并保证监测设备正常运行和数据传输。</w:t>
                  </w:r>
                </w:p>
              </w:tc>
              <w:tc>
                <w:tcPr>
                  <w:tcW w:w="1593" w:type="pct"/>
                  <w:noWrap w:val="0"/>
                  <w:vAlign w:val="center"/>
                </w:tcPr>
                <w:p w14:paraId="4218C746">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本次环评要求建设单位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按照有关规定</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在废气排气筒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设置采样监测平台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和监测孔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，对其所排放的大气污染物进行自行监测或者委托监测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59C75DCE">
                  <w:pPr>
                    <w:keepNext w:val="0"/>
                    <w:keepLines w:val="0"/>
                    <w:suppressLineNumbers w:val="0"/>
                    <w:spacing w:before="0" w:beforeAutospacing="0" w:after="0" w:afterAutospacing="0"/>
                    <w:ind w:left="0" w:right="0"/>
                    <w:jc w:val="both"/>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企业新建燃气锅炉为50t/h＞20t/h，本次环评要求建设单位氮氧化物排放自动监测设备，并与平台联网。</w:t>
                  </w:r>
                </w:p>
              </w:tc>
              <w:tc>
                <w:tcPr>
                  <w:tcW w:w="318" w:type="pct"/>
                  <w:noWrap w:val="0"/>
                  <w:vAlign w:val="center"/>
                </w:tcPr>
                <w:p w14:paraId="0B45716A">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14:paraId="13AAF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4923F534">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Hans"/>
                      <w14:textFill>
                        <w14:solidFill>
                          <w14:schemeClr w14:val="tx1"/>
                        </w14:solidFill>
                      </w14:textFill>
                    </w:rPr>
                  </w:pPr>
                </w:p>
              </w:tc>
              <w:tc>
                <w:tcPr>
                  <w:tcW w:w="1977" w:type="pct"/>
                  <w:noWrap w:val="0"/>
                  <w:vAlign w:val="center"/>
                </w:tcPr>
                <w:p w14:paraId="5905CEB5">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第三十三条 企业应当优先采用能源和原材料利用效率高、污染物排放量少的清洁生产技术、工艺和装备，减少大气污染物的产生和排放。</w:t>
                  </w:r>
                </w:p>
              </w:tc>
              <w:tc>
                <w:tcPr>
                  <w:tcW w:w="1593" w:type="pct"/>
                  <w:noWrap w:val="0"/>
                  <w:vAlign w:val="center"/>
                </w:tcPr>
                <w:p w14:paraId="65D87A16">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本项目锅炉燃料为天然气，属于清洁能源，锅炉自带低氮燃烧器，可降低氮氧化物排放。</w:t>
                  </w:r>
                </w:p>
              </w:tc>
              <w:tc>
                <w:tcPr>
                  <w:tcW w:w="318" w:type="pct"/>
                  <w:noWrap w:val="0"/>
                  <w:vAlign w:val="center"/>
                </w:tcPr>
                <w:p w14:paraId="37B29C33">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bl>
          <w:p w14:paraId="7CF0A9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3、项目与生态环境保护规划相符性分析</w:t>
            </w:r>
          </w:p>
          <w:p w14:paraId="452AFBB0">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表1-</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项目与相关生态环境保护规划分析表</w:t>
            </w:r>
          </w:p>
          <w:tbl>
            <w:tblPr>
              <w:tblStyle w:val="23"/>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2832"/>
              <w:gridCol w:w="2284"/>
              <w:gridCol w:w="454"/>
            </w:tblGrid>
            <w:tr w14:paraId="4C825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1" w:type="pct"/>
                  <w:noWrap w:val="0"/>
                  <w:vAlign w:val="center"/>
                </w:tcPr>
                <w:p w14:paraId="77B31ECA">
                  <w:pPr>
                    <w:pStyle w:val="20"/>
                    <w:keepNext w:val="0"/>
                    <w:keepLines w:val="0"/>
                    <w:suppressLineNumbers w:val="0"/>
                    <w:shd w:val="clear" w:color="auto" w:fill="FFFFFF"/>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《陕西省“十四五”生态环境保护规划》</w:t>
                  </w:r>
                </w:p>
              </w:tc>
              <w:tc>
                <w:tcPr>
                  <w:tcW w:w="1977" w:type="pct"/>
                  <w:noWrap w:val="0"/>
                  <w:vAlign w:val="center"/>
                </w:tcPr>
                <w:p w14:paraId="14028DA8">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按照煤炭集中使用、清洁利用原则，重点削减小型燃煤锅炉、民用散煤与农业用煤消费量，对以煤、石焦、渣油、重油等为燃料的锅炉和工业炉窑，加快使用清洁低碳能源以及工厂余热、电力热力等进行替代。</w:t>
                  </w:r>
                </w:p>
              </w:tc>
              <w:tc>
                <w:tcPr>
                  <w:tcW w:w="1594" w:type="pct"/>
                  <w:noWrap w:val="0"/>
                  <w:vAlign w:val="center"/>
                </w:tcPr>
                <w:p w14:paraId="78C85515">
                  <w:pPr>
                    <w:keepNext w:val="0"/>
                    <w:keepLines w:val="0"/>
                    <w:suppressLineNumbers w:val="0"/>
                    <w:autoSpaceDE w:val="0"/>
                    <w:autoSpaceDN w:val="0"/>
                    <w:adjustRightInd w:val="0"/>
                    <w:spacing w:before="0" w:beforeAutospacing="0" w:after="0" w:afterAutospacing="0" w:line="240" w:lineRule="auto"/>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项目锅炉使用燃料为天然气，属于清洁能源，</w:t>
                  </w:r>
                  <w:r>
                    <w:rPr>
                      <w:rFonts w:hint="eastAsia" w:ascii="Times New Roman" w:hAnsi="Times New Roman" w:cs="Times New Roman"/>
                      <w:color w:val="000000" w:themeColor="text1"/>
                      <w:sz w:val="21"/>
                      <w:szCs w:val="21"/>
                      <w:lang w:val="en-US" w:eastAsia="zh-CN"/>
                      <w14:textFill>
                        <w14:solidFill>
                          <w14:schemeClr w14:val="tx1"/>
                        </w14:solidFill>
                      </w14:textFill>
                    </w:rPr>
                    <w:t>且</w:t>
                  </w:r>
                  <w:r>
                    <w:rPr>
                      <w:rFonts w:hint="default" w:ascii="Times New Roman" w:hAnsi="Times New Roman" w:cs="Times New Roman"/>
                      <w:color w:val="000000" w:themeColor="text1"/>
                      <w:sz w:val="21"/>
                      <w:szCs w:val="21"/>
                      <w14:textFill>
                        <w14:solidFill>
                          <w14:schemeClr w14:val="tx1"/>
                        </w14:solidFill>
                      </w14:textFill>
                    </w:rPr>
                    <w:t>锅炉自带低氮燃烧器，</w:t>
                  </w:r>
                  <w:r>
                    <w:rPr>
                      <w:rFonts w:hint="eastAsia" w:ascii="Times New Roman" w:hAnsi="Times New Roman" w:cs="Times New Roman"/>
                      <w:color w:val="000000" w:themeColor="text1"/>
                      <w:sz w:val="21"/>
                      <w:szCs w:val="21"/>
                      <w:lang w:val="en-US" w:eastAsia="zh-CN"/>
                      <w14:textFill>
                        <w14:solidFill>
                          <w14:schemeClr w14:val="tx1"/>
                        </w14:solidFill>
                      </w14:textFill>
                    </w:rPr>
                    <w:t>可降低</w:t>
                  </w:r>
                  <w:r>
                    <w:rPr>
                      <w:rFonts w:hint="default" w:ascii="Times New Roman" w:hAnsi="Times New Roman" w:cs="Times New Roman"/>
                      <w:color w:val="000000" w:themeColor="text1"/>
                      <w:sz w:val="21"/>
                      <w:szCs w:val="21"/>
                      <w14:textFill>
                        <w14:solidFill>
                          <w14:schemeClr w14:val="tx1"/>
                        </w14:solidFill>
                      </w14:textFill>
                    </w:rPr>
                    <w:t>氮氧化物的排放</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16" w:type="pct"/>
                  <w:noWrap w:val="0"/>
                  <w:vAlign w:val="center"/>
                </w:tcPr>
                <w:p w14:paraId="1B989F3C">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43322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1" w:type="pct"/>
                  <w:vMerge w:val="restart"/>
                  <w:noWrap w:val="0"/>
                  <w:vAlign w:val="center"/>
                </w:tcPr>
                <w:p w14:paraId="1B130EAF">
                  <w:pPr>
                    <w:pStyle w:val="20"/>
                    <w:keepNext w:val="0"/>
                    <w:keepLines w:val="0"/>
                    <w:suppressLineNumbers w:val="0"/>
                    <w:shd w:val="clear" w:color="auto" w:fill="FFFFFF"/>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《宝鸡市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十四五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生态环境保护规划》</w:t>
                  </w:r>
                </w:p>
              </w:tc>
              <w:tc>
                <w:tcPr>
                  <w:tcW w:w="1977" w:type="pct"/>
                  <w:noWrap w:val="0"/>
                  <w:vAlign w:val="center"/>
                </w:tcPr>
                <w:p w14:paraId="29D7080A">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实行锅炉和工业炉窑全面管控。加大落后产能和不达标工业炉窑淘汰力度，加大煤气发生炉淘汰力度。</w:t>
                  </w:r>
                </w:p>
              </w:tc>
              <w:tc>
                <w:tcPr>
                  <w:tcW w:w="1594" w:type="pct"/>
                  <w:noWrap w:val="0"/>
                  <w:vAlign w:val="center"/>
                </w:tcPr>
                <w:p w14:paraId="066A4FB3">
                  <w:pPr>
                    <w:keepNext w:val="0"/>
                    <w:keepLines w:val="0"/>
                    <w:suppressLineNumbers w:val="0"/>
                    <w:autoSpaceDE w:val="0"/>
                    <w:autoSpaceDN w:val="0"/>
                    <w:adjustRightInd w:val="0"/>
                    <w:spacing w:before="0" w:beforeAutospacing="0" w:after="0" w:afterAutospacing="0" w:line="240" w:lineRule="auto"/>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项目锅炉使用燃料为天然气，属于清洁能源</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16" w:type="pct"/>
                  <w:vMerge w:val="restart"/>
                  <w:noWrap w:val="0"/>
                  <w:vAlign w:val="center"/>
                </w:tcPr>
                <w:p w14:paraId="4518898E">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1F7FF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1" w:type="pct"/>
                  <w:vMerge w:val="continue"/>
                  <w:noWrap w:val="0"/>
                  <w:vAlign w:val="center"/>
                </w:tcPr>
                <w:p w14:paraId="09572B43">
                  <w:pPr>
                    <w:pStyle w:val="20"/>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977" w:type="pct"/>
                  <w:noWrap w:val="0"/>
                  <w:vAlign w:val="center"/>
                </w:tcPr>
                <w:p w14:paraId="69F22DC4">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持续巩固燃煤锅炉拆改成效，严格控制新建燃煤锅炉，全面淘汰分散燃煤设施，新建生产经营性锅炉全部使用天然气或其他清洁能源。深入推行燃气锅炉低氮改造。</w:t>
                  </w:r>
                </w:p>
              </w:tc>
              <w:tc>
                <w:tcPr>
                  <w:tcW w:w="1594" w:type="pct"/>
                  <w:noWrap w:val="0"/>
                  <w:vAlign w:val="center"/>
                </w:tcPr>
                <w:p w14:paraId="4FA4D0F2">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项目新建锅炉使用燃料为天然气，属于清洁能源，且锅炉自带低氮燃烧器，实现对氮氧化物的减排效果</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316" w:type="pct"/>
                  <w:vMerge w:val="continue"/>
                  <w:noWrap w:val="0"/>
                  <w:vAlign w:val="center"/>
                </w:tcPr>
                <w:p w14:paraId="3F49871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r>
          </w:tbl>
          <w:p w14:paraId="57F9D4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选址合理性分析</w:t>
            </w:r>
          </w:p>
          <w:p w14:paraId="31F681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本项目属于</w:t>
            </w:r>
            <w:r>
              <w:rPr>
                <w:rFonts w:hint="eastAsia" w:ascii="Times New Roman" w:hAnsi="Times New Roman" w:cs="Times New Roman"/>
                <w:color w:val="000000" w:themeColor="text1"/>
                <w:sz w:val="24"/>
                <w:szCs w:val="24"/>
                <w:lang w:val="en-US" w:eastAsia="zh-CN"/>
                <w14:textFill>
                  <w14:solidFill>
                    <w14:schemeClr w14:val="tx1"/>
                  </w14:solidFill>
                </w14:textFill>
              </w:rPr>
              <w:t>新建</w:t>
            </w:r>
            <w:r>
              <w:rPr>
                <w:rFonts w:hint="default" w:ascii="Times New Roman" w:hAnsi="Times New Roman" w:cs="Times New Roman"/>
                <w:color w:val="000000" w:themeColor="text1"/>
                <w:sz w:val="24"/>
                <w:szCs w:val="24"/>
                <w:lang w:val="en-US" w:eastAsia="zh-Hans"/>
                <w14:textFill>
                  <w14:solidFill>
                    <w14:schemeClr w14:val="tx1"/>
                  </w14:solidFill>
                </w14:textFill>
              </w:rPr>
              <w:t>项目</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位于宝鸡市凤翔高新区西凤酒城</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属于凤翔区西凤酒城“标准地”区域地块一范围内，用地符合相关要求。</w:t>
            </w:r>
          </w:p>
          <w:p w14:paraId="6D892C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eastAsia="zh-Hans"/>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查阅</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锅炉房设计标准</w:t>
            </w:r>
            <w:r>
              <w:rPr>
                <w:rFonts w:hint="default" w:ascii="Times New Roman" w:hAnsi="Times New Roman" w:cs="Times New Roman"/>
                <w:color w:val="000000" w:themeColor="text1"/>
                <w:sz w:val="24"/>
                <w:szCs w:val="24"/>
                <w:lang w:eastAsia="zh-Hans"/>
                <w14:textFill>
                  <w14:solidFill>
                    <w14:schemeClr w14:val="tx1"/>
                  </w14:solidFill>
                </w14:textFill>
              </w:rPr>
              <w:t>》（GB50041-2020）</w:t>
            </w:r>
            <w:r>
              <w:rPr>
                <w:rFonts w:hint="default" w:ascii="Times New Roman" w:hAnsi="Times New Roman" w:cs="Times New Roman"/>
                <w:color w:val="000000" w:themeColor="text1"/>
                <w:sz w:val="24"/>
                <w:szCs w:val="24"/>
                <w:lang w:val="en-US" w:eastAsia="zh-Hans"/>
                <w14:textFill>
                  <w14:solidFill>
                    <w14:schemeClr w14:val="tx1"/>
                  </w14:solidFill>
                </w14:textFill>
              </w:rPr>
              <w:t>选址相关要求如下</w:t>
            </w:r>
            <w:r>
              <w:rPr>
                <w:rFonts w:hint="default" w:ascii="Times New Roman" w:hAnsi="Times New Roman" w:cs="Times New Roman"/>
                <w:color w:val="000000" w:themeColor="text1"/>
                <w:sz w:val="24"/>
                <w:szCs w:val="24"/>
                <w:lang w:eastAsia="zh-Hans"/>
                <w14:textFill>
                  <w14:solidFill>
                    <w14:schemeClr w14:val="tx1"/>
                  </w14:solidFill>
                </w14:textFill>
              </w:rPr>
              <w:t>：</w:t>
            </w:r>
          </w:p>
          <w:p w14:paraId="24E8A58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Hans"/>
                <w14:textFill>
                  <w14:solidFill>
                    <w14:schemeClr w14:val="tx1"/>
                  </w14:solidFill>
                </w14:textFill>
              </w:rPr>
              <w:instrText xml:space="preserve"> = 1 \* GB3 \* MERGEFORMAT </w:instrTex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Hans"/>
                <w14:textFill>
                  <w14:solidFill>
                    <w14:schemeClr w14:val="tx1"/>
                  </w14:solidFill>
                </w14:textFill>
              </w:rPr>
              <w:t>锅炉房宜为独立的建筑物</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5133FD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Hans"/>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Hans"/>
                <w14:textFill>
                  <w14:solidFill>
                    <w14:schemeClr w14:val="tx1"/>
                  </w14:solidFill>
                </w14:textFill>
              </w:rPr>
              <w:instrText xml:space="preserve"> = 2 \* GB3 \* MERGEFORMAT </w:instrTex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Hans"/>
                <w14:textFill>
                  <w14:solidFill>
                    <w14:schemeClr w14:val="tx1"/>
                  </w14:solidFill>
                </w14:textFill>
              </w:rPr>
              <w:t>当锅炉房和其他建筑物相连或</w:t>
            </w:r>
            <w:r>
              <w:rPr>
                <w:rFonts w:hint="eastAsia" w:ascii="Times New Roman" w:hAnsi="Times New Roman" w:cs="Times New Roman"/>
                <w:color w:val="000000" w:themeColor="text1"/>
                <w:sz w:val="24"/>
                <w:szCs w:val="24"/>
                <w:lang w:val="en-US" w:eastAsia="zh-CN"/>
                <w14:textFill>
                  <w14:solidFill>
                    <w14:schemeClr w14:val="tx1"/>
                  </w14:solidFill>
                </w14:textFill>
              </w:rPr>
              <w:t>设置</w:t>
            </w:r>
            <w:r>
              <w:rPr>
                <w:rFonts w:hint="default" w:ascii="Times New Roman" w:hAnsi="Times New Roman" w:cs="Times New Roman"/>
                <w:color w:val="000000" w:themeColor="text1"/>
                <w:sz w:val="24"/>
                <w:szCs w:val="24"/>
                <w:lang w:val="en-US" w:eastAsia="zh-Hans"/>
                <w14:textFill>
                  <w14:solidFill>
                    <w14:schemeClr w14:val="tx1"/>
                  </w14:solidFill>
                </w14:textFill>
              </w:rPr>
              <w:t>在其内部时，不应设置在人员密集场所和重要部门的上一层、下一层、贴邻位置以及主要通道、疏散口的两旁，并应设置在首层或地下室一层靠建筑物外墙部位。</w:t>
            </w:r>
          </w:p>
          <w:p w14:paraId="27015E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eastAsia="zh-Hans"/>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begin"/>
            </w:r>
            <w:r>
              <w:rPr>
                <w:rFonts w:hint="default" w:ascii="Times New Roman" w:hAnsi="Times New Roman" w:cs="Times New Roman"/>
                <w:color w:val="000000" w:themeColor="text1"/>
                <w:sz w:val="24"/>
                <w:szCs w:val="24"/>
                <w:lang w:val="en-US" w:eastAsia="zh-Hans"/>
                <w14:textFill>
                  <w14:solidFill>
                    <w14:schemeClr w14:val="tx1"/>
                  </w14:solidFill>
                </w14:textFill>
              </w:rPr>
              <w:instrText xml:space="preserve"> = 3 \* GB3 \* MERGEFORMAT </w:instrTex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lang w:val="en-US" w:eastAsia="zh-Hans"/>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Hans"/>
                <w14:textFill>
                  <w14:solidFill>
                    <w14:schemeClr w14:val="tx1"/>
                  </w14:solidFill>
                </w14:textFill>
              </w:rPr>
              <w:t>住宅建筑物内</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不宜设置锅炉房</w:t>
            </w:r>
            <w:r>
              <w:rPr>
                <w:rFonts w:hint="default" w:ascii="Times New Roman" w:hAnsi="Times New Roman" w:cs="Times New Roman"/>
                <w:color w:val="000000" w:themeColor="text1"/>
                <w:sz w:val="24"/>
                <w:szCs w:val="24"/>
                <w:lang w:eastAsia="zh-Hans"/>
                <w14:textFill>
                  <w14:solidFill>
                    <w14:schemeClr w14:val="tx1"/>
                  </w14:solidFill>
                </w14:textFill>
              </w:rPr>
              <w:t>。</w:t>
            </w:r>
          </w:p>
          <w:p w14:paraId="6F7724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eastAsia="zh-Hans"/>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本项目锅炉房布设在独立地上建筑物内</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锅炉房为地上构筑物</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符合</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锅炉房设计标准</w:t>
            </w:r>
            <w:r>
              <w:rPr>
                <w:rFonts w:hint="default" w:ascii="Times New Roman" w:hAnsi="Times New Roman" w:cs="Times New Roman"/>
                <w:color w:val="000000" w:themeColor="text1"/>
                <w:sz w:val="24"/>
                <w:szCs w:val="24"/>
                <w:lang w:eastAsia="zh-Hans"/>
                <w14:textFill>
                  <w14:solidFill>
                    <w14:schemeClr w14:val="tx1"/>
                  </w14:solidFill>
                </w14:textFill>
              </w:rPr>
              <w:t>》（GB50041-2020）</w:t>
            </w:r>
            <w:r>
              <w:rPr>
                <w:rFonts w:hint="default" w:ascii="Times New Roman" w:hAnsi="Times New Roman" w:cs="Times New Roman"/>
                <w:color w:val="000000" w:themeColor="text1"/>
                <w:sz w:val="24"/>
                <w:szCs w:val="24"/>
                <w:lang w:val="en-US" w:eastAsia="zh-Hans"/>
                <w14:textFill>
                  <w14:solidFill>
                    <w14:schemeClr w14:val="tx1"/>
                  </w14:solidFill>
                </w14:textFill>
              </w:rPr>
              <w:t>中关于选址相关</w:t>
            </w:r>
            <w:r>
              <w:rPr>
                <w:rFonts w:hint="eastAsia" w:ascii="Times New Roman" w:hAnsi="Times New Roman"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lang w:val="en-US" w:eastAsia="zh-Hans"/>
                <w14:textFill>
                  <w14:solidFill>
                    <w14:schemeClr w14:val="tx1"/>
                  </w14:solidFill>
                </w14:textFill>
              </w:rPr>
              <w:t>要求</w:t>
            </w:r>
            <w:r>
              <w:rPr>
                <w:rFonts w:hint="default" w:ascii="Times New Roman" w:hAnsi="Times New Roman" w:cs="Times New Roman"/>
                <w:color w:val="000000" w:themeColor="text1"/>
                <w:sz w:val="24"/>
                <w:szCs w:val="24"/>
                <w:lang w:eastAsia="zh-Hans"/>
                <w14:textFill>
                  <w14:solidFill>
                    <w14:schemeClr w14:val="tx1"/>
                  </w14:solidFill>
                </w14:textFill>
              </w:rPr>
              <w:t>。</w:t>
            </w:r>
          </w:p>
          <w:p w14:paraId="1F6FE1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天然气管道建设情况：</w:t>
            </w:r>
          </w:p>
          <w:p w14:paraId="7E2A54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eastAsia="zh-Han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园区现有燃气分输站位于本项目调压站西侧，项目所用燃气从园区现有燃气分输站接入，经本项目新建调压站后提供至锅炉燃烧器入口。</w:t>
            </w:r>
          </w:p>
        </w:tc>
      </w:tr>
    </w:tbl>
    <w:p w14:paraId="34F13D3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2" w:name="_Toc75955703"/>
      <w:r>
        <w:rPr>
          <w:rFonts w:hint="default" w:ascii="Times New Roman" w:hAnsi="宋体" w:eastAsia="宋体"/>
          <w:b/>
          <w:bCs/>
          <w:snapToGrid w:val="0"/>
          <w:color w:val="000000" w:themeColor="text1"/>
          <w:sz w:val="30"/>
          <w:szCs w:val="30"/>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二、建设项目工程分析</w:t>
      </w:r>
      <w:bookmarkEnd w:id="2"/>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462"/>
        <w:gridCol w:w="8372"/>
      </w:tblGrid>
      <w:tr w14:paraId="10E5B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7" w:hRule="atLeast"/>
          <w:jc w:val="center"/>
        </w:trPr>
        <w:tc>
          <w:tcPr>
            <w:tcW w:w="390" w:type="dxa"/>
            <w:noWrap w:val="0"/>
            <w:vAlign w:val="center"/>
          </w:tcPr>
          <w:p w14:paraId="0D7BB47B">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建设内容</w:t>
            </w:r>
          </w:p>
        </w:tc>
        <w:tc>
          <w:tcPr>
            <w:tcW w:w="8898" w:type="dxa"/>
            <w:gridSpan w:val="2"/>
            <w:noWrap w:val="0"/>
            <w:vAlign w:val="top"/>
          </w:tcPr>
          <w:p w14:paraId="33A6289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1、项目</w:t>
            </w:r>
            <w:r>
              <w:rPr>
                <w:rFonts w:hint="eastAsia" w:ascii="Times New Roman" w:hAnsi="Times New Roman" w:cs="Times New Roman"/>
                <w:color w:val="000000" w:themeColor="text1"/>
                <w:sz w:val="24"/>
                <w:szCs w:val="24"/>
                <w:lang w:val="en-US" w:eastAsia="zh-CN"/>
                <w14:textFill>
                  <w14:solidFill>
                    <w14:schemeClr w14:val="tx1"/>
                  </w14:solidFill>
                </w14:textFill>
              </w:rPr>
              <w:t>由来</w:t>
            </w:r>
          </w:p>
          <w:p w14:paraId="0730695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陕西西凤宝气新能源科技有限公司</w:t>
            </w:r>
            <w:r>
              <w:rPr>
                <w:rFonts w:hint="default" w:ascii="Times New Roman" w:hAnsi="Times New Roman" w:cs="Times New Roman"/>
                <w:color w:val="000000" w:themeColor="text1"/>
                <w:sz w:val="24"/>
                <w:szCs w:val="24"/>
                <w14:textFill>
                  <w14:solidFill>
                    <w14:schemeClr w14:val="tx1"/>
                  </w14:solidFill>
                </w14:textFill>
              </w:rPr>
              <w:t>成立于</w:t>
            </w:r>
            <w:r>
              <w:rPr>
                <w:rFonts w:hint="eastAsia" w:ascii="Times New Roman" w:hAnsi="Times New Roman" w:cs="Times New Roman"/>
                <w:color w:val="000000" w:themeColor="text1"/>
                <w:sz w:val="24"/>
                <w:szCs w:val="24"/>
                <w:lang w:val="en-US" w:eastAsia="zh-CN"/>
                <w14:textFill>
                  <w14:solidFill>
                    <w14:schemeClr w14:val="tx1"/>
                  </w14:solidFill>
                </w14:textFill>
              </w:rPr>
              <w:t>2025</w:t>
            </w:r>
            <w:r>
              <w:rPr>
                <w:rFonts w:hint="default"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4月</w:t>
            </w:r>
            <w:r>
              <w:rPr>
                <w:rFonts w:hint="default" w:ascii="Times New Roman" w:hAnsi="Times New Roman" w:cs="Times New Roman"/>
                <w:color w:val="000000" w:themeColor="text1"/>
                <w:sz w:val="24"/>
                <w:szCs w:val="24"/>
                <w14:textFill>
                  <w14:solidFill>
                    <w14:schemeClr w14:val="tx1"/>
                  </w14:solidFill>
                </w14:textFill>
              </w:rPr>
              <w:t>，主要经营范围为：热力生产和供应</w:t>
            </w:r>
            <w:r>
              <w:rPr>
                <w:rFonts w:hint="eastAsia" w:ascii="Times New Roman" w:hAnsi="Times New Roman" w:cs="Times New Roman"/>
                <w:color w:val="000000" w:themeColor="text1"/>
                <w:sz w:val="24"/>
                <w:szCs w:val="24"/>
                <w:lang w:val="en-US" w:eastAsia="zh-CN"/>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本项目新建蒸汽锅炉房、室外调压装置及蒸汽外送管道，主要为西凤酒10万吨优质基酒产业园和西凤酒现有厂区供应蒸汽</w:t>
            </w:r>
            <w:r>
              <w:rPr>
                <w:rFonts w:hint="eastAsia" w:ascii="Times New Roman" w:hAnsi="Times New Roman" w:cs="Times New Roman"/>
                <w:color w:val="000000" w:themeColor="text1"/>
                <w:sz w:val="24"/>
                <w:szCs w:val="24"/>
                <w:lang w:eastAsia="zh-CN"/>
                <w14:textFill>
                  <w14:solidFill>
                    <w14:schemeClr w14:val="tx1"/>
                  </w14:solidFill>
                </w14:textFill>
              </w:rPr>
              <w:t>。</w:t>
            </w:r>
          </w:p>
          <w:p w14:paraId="0D7EAB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查阅《建设项目环境影响评价分类管理名录》（2021年版）中“四十一、电力、热力生产和供应业91热力生产和供应工程（包括建设单位自建自用的供热工程）”，其属于“天然气锅炉总容量1吨/小时（0.7兆瓦）以上的”，编制报告表。</w:t>
            </w:r>
          </w:p>
          <w:p w14:paraId="23E0AF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lang w:val="en-US" w:eastAsia="zh-Hans"/>
                <w14:textFill>
                  <w14:solidFill>
                    <w14:schemeClr w14:val="tx1"/>
                  </w14:solidFill>
                </w14:textFill>
              </w:rPr>
              <w:t>项目组成</w:t>
            </w:r>
          </w:p>
          <w:p w14:paraId="696B60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w:t>
            </w:r>
            <w:r>
              <w:rPr>
                <w:rFonts w:hint="default" w:ascii="Times New Roman" w:hAnsi="Times New Roman" w:cs="Times New Roman"/>
                <w:color w:val="000000" w:themeColor="text1"/>
                <w:sz w:val="24"/>
                <w:szCs w:val="24"/>
                <w:lang w:val="en-US" w:eastAsia="zh-Hans"/>
                <w14:textFill>
                  <w14:solidFill>
                    <w14:schemeClr w14:val="tx1"/>
                  </w14:solidFill>
                </w14:textFill>
              </w:rPr>
              <w:t>新建</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Hans"/>
                <w14:textFill>
                  <w14:solidFill>
                    <w14:schemeClr w14:val="tx1"/>
                  </w14:solidFill>
                </w14:textFill>
              </w:rPr>
              <w:t>座蒸汽锅炉房、室外调压装置</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蒸汽外送管道</w:t>
            </w:r>
            <w:r>
              <w:rPr>
                <w:rFonts w:hint="eastAsia" w:ascii="Times New Roman" w:hAnsi="Times New Roman" w:cs="Times New Roman"/>
                <w:color w:val="000000" w:themeColor="text1"/>
                <w:sz w:val="24"/>
                <w:szCs w:val="24"/>
                <w:lang w:val="en-US" w:eastAsia="zh-CN"/>
                <w14:textFill>
                  <w14:solidFill>
                    <w14:schemeClr w14:val="tx1"/>
                  </w14:solidFill>
                </w14:textFill>
              </w:rPr>
              <w:t>等</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项目组成具体如下表。</w:t>
            </w:r>
          </w:p>
          <w:p w14:paraId="686768B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表2-1 </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项目组成一览表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618"/>
              <w:gridCol w:w="5218"/>
              <w:gridCol w:w="1080"/>
            </w:tblGrid>
            <w:tr w14:paraId="0878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gridSpan w:val="2"/>
                  <w:noWrap w:val="0"/>
                  <w:vAlign w:val="center"/>
                </w:tcPr>
                <w:p w14:paraId="4F35FC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项目组成</w:t>
                  </w:r>
                </w:p>
              </w:tc>
              <w:tc>
                <w:tcPr>
                  <w:tcW w:w="3031" w:type="pct"/>
                  <w:noWrap w:val="0"/>
                  <w:vAlign w:val="center"/>
                </w:tcPr>
                <w:p w14:paraId="3C0A7F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主要建设内容</w:t>
                  </w:r>
                </w:p>
              </w:tc>
              <w:tc>
                <w:tcPr>
                  <w:tcW w:w="627" w:type="pct"/>
                  <w:noWrap w:val="0"/>
                  <w:vAlign w:val="center"/>
                </w:tcPr>
                <w:p w14:paraId="3F97AB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14:paraId="18D3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407505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eastAsia="宋体" w:cs="Times New Roman"/>
                      <w:color w:val="000000" w:themeColor="text1"/>
                      <w:szCs w:val="21"/>
                      <w:lang w:val="en-US" w:eastAsia="zh-Hans"/>
                      <w14:textFill>
                        <w14:solidFill>
                          <w14:schemeClr w14:val="tx1"/>
                        </w14:solidFill>
                      </w14:textFill>
                    </w:rPr>
                    <w:t>主体工程</w:t>
                  </w:r>
                </w:p>
              </w:tc>
              <w:tc>
                <w:tcPr>
                  <w:tcW w:w="940" w:type="pct"/>
                  <w:noWrap w:val="0"/>
                  <w:vAlign w:val="center"/>
                </w:tcPr>
                <w:p w14:paraId="71C6D4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锅炉房</w:t>
                  </w:r>
                </w:p>
              </w:tc>
              <w:tc>
                <w:tcPr>
                  <w:tcW w:w="3031" w:type="pct"/>
                  <w:noWrap w:val="0"/>
                  <w:vAlign w:val="center"/>
                </w:tcPr>
                <w:p w14:paraId="2BA6EA2C">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蒸汽</w:t>
                  </w:r>
                  <w:r>
                    <w:rPr>
                      <w:rFonts w:hint="default" w:ascii="Times New Roman" w:hAnsi="Times New Roman" w:cs="Times New Roman"/>
                      <w:color w:val="000000" w:themeColor="text1"/>
                      <w:szCs w:val="21"/>
                      <w:lang w:val="en-US" w:eastAsia="zh-Hans"/>
                      <w14:textFill>
                        <w14:solidFill>
                          <w14:schemeClr w14:val="tx1"/>
                        </w14:solidFill>
                      </w14:textFill>
                    </w:rPr>
                    <w:t>锅炉房</w:t>
                  </w:r>
                  <w:r>
                    <w:rPr>
                      <w:rFonts w:hint="default" w:ascii="Times New Roman" w:hAnsi="Times New Roman" w:cs="Times New Roman"/>
                      <w:color w:val="000000" w:themeColor="text1"/>
                      <w:szCs w:val="21"/>
                      <w14:textFill>
                        <w14:solidFill>
                          <w14:schemeClr w14:val="tx1"/>
                        </w14:solidFill>
                      </w14:textFill>
                    </w:rPr>
                    <w:t>占地</w:t>
                  </w:r>
                  <w:r>
                    <w:rPr>
                      <w:rFonts w:hint="default" w:ascii="Times New Roman" w:hAnsi="Times New Roman" w:cs="Times New Roman"/>
                      <w:color w:val="000000" w:themeColor="text1"/>
                      <w:szCs w:val="21"/>
                      <w:lang w:val="en-US" w:eastAsia="zh-Hans"/>
                      <w14:textFill>
                        <w14:solidFill>
                          <w14:schemeClr w14:val="tx1"/>
                        </w14:solidFill>
                      </w14:textFill>
                    </w:rPr>
                    <w:t>总</w:t>
                  </w:r>
                  <w:r>
                    <w:rPr>
                      <w:rFonts w:hint="default" w:ascii="Times New Roman" w:hAnsi="Times New Roman" w:cs="Times New Roman"/>
                      <w:color w:val="000000" w:themeColor="text1"/>
                      <w:szCs w:val="21"/>
                      <w14:textFill>
                        <w14:solidFill>
                          <w14:schemeClr w14:val="tx1"/>
                        </w14:solidFill>
                      </w14:textFill>
                    </w:rPr>
                    <w:t>面积</w:t>
                  </w:r>
                  <w:r>
                    <w:rPr>
                      <w:rFonts w:hint="eastAsia" w:ascii="Times New Roman" w:hAnsi="Times New Roman" w:cs="Times New Roman"/>
                      <w:color w:val="000000" w:themeColor="text1"/>
                      <w:szCs w:val="21"/>
                      <w:lang w:val="en-US" w:eastAsia="zh-CN"/>
                      <w14:textFill>
                        <w14:solidFill>
                          <w14:schemeClr w14:val="tx1"/>
                        </w14:solidFill>
                      </w14:textFill>
                    </w:rPr>
                    <w:t>4527.96</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高12.8</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eastAsia" w:ascii="Times New Roman" w:hAnsi="Times New Roman" w:cs="Times New Roman"/>
                      <w:color w:val="000000" w:themeColor="text1"/>
                      <w:szCs w:val="21"/>
                      <w:lang w:val="en-US" w:eastAsia="zh-CN"/>
                      <w14:textFill>
                        <w14:solidFill>
                          <w14:schemeClr w14:val="tx1"/>
                        </w14:solidFill>
                      </w14:textFill>
                    </w:rPr>
                    <w:t>。</w:t>
                  </w:r>
                </w:p>
                <w:p w14:paraId="22BC2533">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锅炉区占地2841.08</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内置7</w:t>
                  </w:r>
                  <w:r>
                    <w:rPr>
                      <w:rFonts w:hint="default" w:ascii="Times New Roman" w:hAnsi="Times New Roman" w:cs="Times New Roman"/>
                      <w:color w:val="000000" w:themeColor="text1"/>
                      <w:szCs w:val="21"/>
                      <w:lang w:val="en-US" w:eastAsia="zh-Hans"/>
                      <w14:textFill>
                        <w14:solidFill>
                          <w14:schemeClr w14:val="tx1"/>
                        </w14:solidFill>
                      </w14:textFill>
                    </w:rPr>
                    <w:t>台</w:t>
                  </w:r>
                  <w:r>
                    <w:rPr>
                      <w:rFonts w:hint="eastAsia" w:ascii="Times New Roman" w:hAnsi="Times New Roman" w:cs="Times New Roman"/>
                      <w:color w:val="000000" w:themeColor="text1"/>
                      <w:szCs w:val="21"/>
                      <w:lang w:val="en-US" w:eastAsia="zh-CN"/>
                      <w14:textFill>
                        <w14:solidFill>
                          <w14:schemeClr w14:val="tx1"/>
                        </w14:solidFill>
                      </w14:textFill>
                    </w:rPr>
                    <w:t>50</w:t>
                  </w:r>
                  <w:r>
                    <w:rPr>
                      <w:rFonts w:hint="default" w:ascii="Times New Roman" w:hAnsi="Times New Roman" w:cs="Times New Roman"/>
                      <w:color w:val="000000" w:themeColor="text1"/>
                      <w:szCs w:val="21"/>
                      <w:lang w:val="en-US" w:eastAsia="zh-Hans"/>
                      <w14:textFill>
                        <w14:solidFill>
                          <w14:schemeClr w14:val="tx1"/>
                        </w14:solidFill>
                      </w14:textFill>
                    </w:rPr>
                    <w:t>t/h天然气</w:t>
                  </w:r>
                  <w:r>
                    <w:rPr>
                      <w:rFonts w:hint="eastAsia" w:ascii="Times New Roman" w:hAnsi="Times New Roman" w:cs="Times New Roman"/>
                      <w:color w:val="000000" w:themeColor="text1"/>
                      <w:szCs w:val="21"/>
                      <w:lang w:val="en-US" w:eastAsia="zh-CN"/>
                      <w14:textFill>
                        <w14:solidFill>
                          <w14:schemeClr w14:val="tx1"/>
                        </w14:solidFill>
                      </w14:textFill>
                    </w:rPr>
                    <w:t>蒸汽</w:t>
                  </w:r>
                  <w:r>
                    <w:rPr>
                      <w:rFonts w:hint="default" w:ascii="Times New Roman" w:hAnsi="Times New Roman" w:cs="Times New Roman"/>
                      <w:color w:val="000000" w:themeColor="text1"/>
                      <w:szCs w:val="21"/>
                      <w:lang w:val="en-US" w:eastAsia="zh-Hans"/>
                      <w14:textFill>
                        <w14:solidFill>
                          <w14:schemeClr w14:val="tx1"/>
                        </w14:solidFill>
                      </w14:textFill>
                    </w:rPr>
                    <w:t>锅炉</w:t>
                  </w:r>
                  <w:r>
                    <w:rPr>
                      <w:rFonts w:hint="eastAsia" w:ascii="Times New Roman" w:hAnsi="Times New Roman" w:cs="Times New Roman"/>
                      <w:color w:val="000000" w:themeColor="text1"/>
                      <w:szCs w:val="21"/>
                      <w:lang w:val="en-US" w:eastAsia="zh-CN"/>
                      <w14:textFill>
                        <w14:solidFill>
                          <w14:schemeClr w14:val="tx1"/>
                        </w14:solidFill>
                      </w14:textFill>
                    </w:rPr>
                    <w:t>、分汽缸等；</w:t>
                  </w:r>
                </w:p>
                <w:p w14:paraId="7610108B">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水处理间占地953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内置除氧器、全自动软水器、水泵、软水箱、蓄水箱等；</w:t>
                  </w:r>
                </w:p>
                <w:p w14:paraId="4B14CC2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其余区域为辅助用房、配电室、门卫室及过道。</w:t>
                  </w:r>
                </w:p>
              </w:tc>
              <w:tc>
                <w:tcPr>
                  <w:tcW w:w="627" w:type="pct"/>
                  <w:noWrap w:val="0"/>
                  <w:vAlign w:val="center"/>
                </w:tcPr>
                <w:p w14:paraId="5D738455">
                  <w:pPr>
                    <w:keepNext w:val="0"/>
                    <w:keepLines w:val="0"/>
                    <w:suppressLineNumbers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新建</w:t>
                  </w:r>
                </w:p>
              </w:tc>
            </w:tr>
            <w:tr w14:paraId="2418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5BC6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p>
              </w:tc>
              <w:tc>
                <w:tcPr>
                  <w:tcW w:w="940" w:type="pct"/>
                  <w:noWrap w:val="0"/>
                  <w:vAlign w:val="center"/>
                </w:tcPr>
                <w:p w14:paraId="094416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燃气管道</w:t>
                  </w:r>
                </w:p>
              </w:tc>
              <w:tc>
                <w:tcPr>
                  <w:tcW w:w="3031" w:type="pct"/>
                  <w:noWrap w:val="0"/>
                  <w:vAlign w:val="center"/>
                </w:tcPr>
                <w:p w14:paraId="49D75FC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新建调压站，燃气从园区现有燃气分输站接入，经本项目新建调压站后提供至锅炉燃烧器入口。</w:t>
                  </w:r>
                </w:p>
              </w:tc>
              <w:tc>
                <w:tcPr>
                  <w:tcW w:w="627" w:type="pct"/>
                  <w:noWrap w:val="0"/>
                  <w:vAlign w:val="center"/>
                </w:tcPr>
                <w:p w14:paraId="72004305">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新建</w:t>
                  </w:r>
                </w:p>
              </w:tc>
            </w:tr>
            <w:tr w14:paraId="0F89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2B69F5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p>
              </w:tc>
              <w:tc>
                <w:tcPr>
                  <w:tcW w:w="940" w:type="pct"/>
                  <w:noWrap w:val="0"/>
                  <w:vAlign w:val="center"/>
                </w:tcPr>
                <w:p w14:paraId="1B1771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蒸汽管道</w:t>
                  </w:r>
                </w:p>
              </w:tc>
              <w:tc>
                <w:tcPr>
                  <w:tcW w:w="3031" w:type="pct"/>
                  <w:noWrap w:val="0"/>
                  <w:vAlign w:val="center"/>
                </w:tcPr>
                <w:p w14:paraId="4408694A">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新建蒸汽输送管线5260.08m。</w:t>
                  </w:r>
                </w:p>
                <w:p w14:paraId="2AF604CF">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一根DN500管道供给西凤酒新建酿酒车间，总长863.63米，其中地沟约41m，架空管道约822.63m。</w:t>
                  </w:r>
                </w:p>
                <w:p w14:paraId="5ED1ED7E">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一根DN250管道供给本期新建7万吨制曲车间，架空敷设，总长1844.14m，其中地沟约902.84m，架空管道约941.3m。</w:t>
                  </w:r>
                </w:p>
                <w:p w14:paraId="281A15C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一支接西凤酒现有老区酒厂分汽室，蒸汽主管管径为DN600，总长2552.31m。采用桁架架空、架空敷设、通行地沟、顶管涵相结合的方式，其中财富街段采用通行地沟方式，长567.75米。</w:t>
                  </w:r>
                </w:p>
              </w:tc>
              <w:tc>
                <w:tcPr>
                  <w:tcW w:w="627" w:type="pct"/>
                  <w:noWrap w:val="0"/>
                  <w:vAlign w:val="center"/>
                </w:tcPr>
                <w:p w14:paraId="3C4757D1">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新建</w:t>
                  </w:r>
                </w:p>
              </w:tc>
            </w:tr>
            <w:tr w14:paraId="7B52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11B0705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公用</w:t>
                  </w:r>
                </w:p>
                <w:p w14:paraId="039909DE">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940" w:type="pct"/>
                  <w:noWrap w:val="0"/>
                  <w:vAlign w:val="center"/>
                </w:tcPr>
                <w:p w14:paraId="6DEF3295">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给水</w:t>
                  </w:r>
                </w:p>
              </w:tc>
              <w:tc>
                <w:tcPr>
                  <w:tcW w:w="3031" w:type="pct"/>
                  <w:noWrap w:val="0"/>
                  <w:vAlign w:val="center"/>
                </w:tcPr>
                <w:p w14:paraId="37FC21FE">
                  <w:pPr>
                    <w:keepNext w:val="0"/>
                    <w:keepLines w:val="0"/>
                    <w:suppressLineNumbers w:val="0"/>
                    <w:adjustRightInd w:val="0"/>
                    <w:snapToGrid w:val="0"/>
                    <w:spacing w:before="100" w:beforeAutospacing="1" w:after="100" w:afterAutospacing="1"/>
                    <w:ind w:left="0" w:right="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由市政供水管网供给</w:t>
                  </w:r>
                </w:p>
              </w:tc>
              <w:tc>
                <w:tcPr>
                  <w:tcW w:w="627" w:type="pct"/>
                  <w:noWrap w:val="0"/>
                  <w:vAlign w:val="center"/>
                </w:tcPr>
                <w:p w14:paraId="0529CC6F">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w:t>
                  </w:r>
                </w:p>
              </w:tc>
            </w:tr>
            <w:tr w14:paraId="5A82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BD276A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940" w:type="pct"/>
                  <w:noWrap w:val="0"/>
                  <w:vAlign w:val="center"/>
                </w:tcPr>
                <w:p w14:paraId="05BF7E9F">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排水</w:t>
                  </w:r>
                </w:p>
              </w:tc>
              <w:tc>
                <w:tcPr>
                  <w:tcW w:w="3031" w:type="pct"/>
                  <w:noWrap w:val="0"/>
                  <w:vAlign w:val="center"/>
                </w:tcPr>
                <w:p w14:paraId="1ABB9322">
                  <w:pPr>
                    <w:keepNext w:val="0"/>
                    <w:keepLines w:val="0"/>
                    <w:suppressLineNumbers w:val="0"/>
                    <w:adjustRightInd w:val="0"/>
                    <w:snapToGrid w:val="0"/>
                    <w:spacing w:before="100" w:beforeAutospacing="1" w:after="100" w:afterAutospacing="1"/>
                    <w:ind w:left="0" w:right="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排水采用雨、污分流制，生活污水经化粪池处理后</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同锅炉定期排污水和软化水系统排水</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依托陕西西凤酒基酒生产有限公司污水处理厂处理达标后排入园区市政污水管网。</w:t>
                  </w:r>
                </w:p>
              </w:tc>
              <w:tc>
                <w:tcPr>
                  <w:tcW w:w="627" w:type="pct"/>
                  <w:noWrap w:val="0"/>
                  <w:vAlign w:val="center"/>
                </w:tcPr>
                <w:p w14:paraId="5511E79E">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依托</w:t>
                  </w:r>
                </w:p>
              </w:tc>
            </w:tr>
            <w:tr w14:paraId="2670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4CAB2F6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940" w:type="pct"/>
                  <w:noWrap w:val="0"/>
                  <w:vAlign w:val="center"/>
                </w:tcPr>
                <w:p w14:paraId="24937881">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供电</w:t>
                  </w:r>
                </w:p>
              </w:tc>
              <w:tc>
                <w:tcPr>
                  <w:tcW w:w="3031" w:type="pct"/>
                  <w:noWrap w:val="0"/>
                  <w:vAlign w:val="center"/>
                </w:tcPr>
                <w:p w14:paraId="38B9E238">
                  <w:pPr>
                    <w:keepNext w:val="0"/>
                    <w:keepLines w:val="0"/>
                    <w:suppressLineNumbers w:val="0"/>
                    <w:adjustRightInd w:val="0"/>
                    <w:snapToGrid w:val="0"/>
                    <w:spacing w:before="100" w:beforeAutospacing="1" w:after="100" w:afterAutospacing="1"/>
                    <w:ind w:left="0" w:right="0"/>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由市政供电系统供给</w:t>
                  </w:r>
                </w:p>
              </w:tc>
              <w:tc>
                <w:tcPr>
                  <w:tcW w:w="627" w:type="pct"/>
                  <w:noWrap w:val="0"/>
                  <w:vAlign w:val="center"/>
                </w:tcPr>
                <w:p w14:paraId="61D3F534">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7B50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noWrap w:val="0"/>
                  <w:vAlign w:val="center"/>
                </w:tcPr>
                <w:p w14:paraId="60BEB1D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w:t>
                  </w:r>
                </w:p>
                <w:p w14:paraId="784A96C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940" w:type="pct"/>
                  <w:noWrap w:val="0"/>
                  <w:vAlign w:val="center"/>
                </w:tcPr>
                <w:p w14:paraId="55922F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3031" w:type="pct"/>
                  <w:noWrap w:val="0"/>
                  <w:vAlign w:val="center"/>
                </w:tcPr>
                <w:p w14:paraId="0265D9F0">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锅炉自带低氮燃烧器，</w:t>
                  </w:r>
                  <w:r>
                    <w:rPr>
                      <w:rFonts w:hint="eastAsia" w:ascii="Times New Roman" w:hAnsi="Times New Roman" w:cs="Times New Roman"/>
                      <w:color w:val="000000" w:themeColor="text1"/>
                      <w:szCs w:val="21"/>
                      <w:lang w:val="en-US" w:eastAsia="zh-CN"/>
                      <w14:textFill>
                        <w14:solidFill>
                          <w14:schemeClr w14:val="tx1"/>
                        </w14:solidFill>
                      </w14:textFill>
                    </w:rPr>
                    <w:t>运行</w:t>
                  </w:r>
                  <w:r>
                    <w:rPr>
                      <w:rFonts w:hint="default" w:ascii="Times New Roman" w:hAnsi="Times New Roman" w:cs="Times New Roman"/>
                      <w:color w:val="000000" w:themeColor="text1"/>
                      <w:szCs w:val="21"/>
                      <w14:textFill>
                        <w14:solidFill>
                          <w14:schemeClr w14:val="tx1"/>
                        </w14:solidFill>
                      </w14:textFill>
                    </w:rPr>
                    <w:t>锅炉废气</w:t>
                  </w:r>
                  <w:r>
                    <w:rPr>
                      <w:rFonts w:hint="eastAsia" w:ascii="Times New Roman" w:hAnsi="Times New Roman" w:cs="Times New Roman"/>
                      <w:color w:val="000000" w:themeColor="text1"/>
                      <w:szCs w:val="21"/>
                      <w:lang w:val="en-US" w:eastAsia="zh-CN"/>
                      <w14:textFill>
                        <w14:solidFill>
                          <w14:schemeClr w14:val="tx1"/>
                        </w14:solidFill>
                      </w14:textFill>
                    </w:rPr>
                    <w:t>每两台</w:t>
                  </w:r>
                  <w:r>
                    <w:rPr>
                      <w:rFonts w:hint="default" w:ascii="Times New Roman" w:hAnsi="Times New Roman" w:cs="Times New Roman"/>
                      <w:color w:val="000000" w:themeColor="text1"/>
                      <w:szCs w:val="21"/>
                      <w14:textFill>
                        <w14:solidFill>
                          <w14:schemeClr w14:val="tx1"/>
                        </w14:solidFill>
                      </w14:textFill>
                    </w:rPr>
                    <w:t>经</w:t>
                  </w:r>
                  <w:r>
                    <w:rPr>
                      <w:rFonts w:hint="eastAsia" w:ascii="Times New Roman" w:hAnsi="Times New Roman" w:cs="Times New Roman"/>
                      <w:color w:val="000000" w:themeColor="text1"/>
                      <w:szCs w:val="21"/>
                      <w:lang w:val="en-US" w:eastAsia="zh-CN"/>
                      <w14:textFill>
                        <w14:solidFill>
                          <w14:schemeClr w14:val="tx1"/>
                        </w14:solidFill>
                      </w14:textFill>
                    </w:rPr>
                    <w:t>1根20.8</w:t>
                  </w:r>
                  <w:r>
                    <w:rPr>
                      <w:rFonts w:hint="default" w:ascii="Times New Roman" w:hAnsi="Times New Roman" w:cs="Times New Roman"/>
                      <w:color w:val="000000" w:themeColor="text1"/>
                      <w:szCs w:val="21"/>
                      <w14:textFill>
                        <w14:solidFill>
                          <w14:schemeClr w14:val="tx1"/>
                        </w14:solidFill>
                      </w14:textFill>
                    </w:rPr>
                    <w:t>m高排气筒（DA001、DA002</w:t>
                  </w:r>
                  <w:r>
                    <w:rPr>
                      <w:rFonts w:hint="eastAsia" w:ascii="Times New Roman" w:hAnsi="Times New Roman" w:cs="Times New Roman"/>
                      <w:color w:val="000000" w:themeColor="text1"/>
                      <w:szCs w:val="21"/>
                      <w:lang w:eastAsia="zh-CN"/>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）排放</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备用</w:t>
                  </w:r>
                  <w:r>
                    <w:rPr>
                      <w:rFonts w:hint="eastAsia" w:ascii="Times New Roman" w:hAnsi="Times New Roman" w:cs="Times New Roman"/>
                      <w:color w:val="000000" w:themeColor="text1"/>
                      <w:szCs w:val="21"/>
                      <w:lang w:eastAsia="zh-CN"/>
                      <w14:textFill>
                        <w14:solidFill>
                          <w14:schemeClr w14:val="tx1"/>
                        </w14:solidFill>
                      </w14:textFill>
                    </w:rPr>
                    <w:t>锅炉废气经1根20.8m高排气筒（DA00</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eastAsia" w:ascii="Times New Roman" w:hAnsi="Times New Roman" w:cs="Times New Roman"/>
                      <w:color w:val="000000" w:themeColor="text1"/>
                      <w:szCs w:val="21"/>
                      <w:lang w:eastAsia="zh-CN"/>
                      <w14:textFill>
                        <w14:solidFill>
                          <w14:schemeClr w14:val="tx1"/>
                        </w14:solidFill>
                      </w14:textFill>
                    </w:rPr>
                    <w:t>）排放。</w:t>
                  </w:r>
                </w:p>
              </w:tc>
              <w:tc>
                <w:tcPr>
                  <w:tcW w:w="627" w:type="pct"/>
                  <w:noWrap w:val="0"/>
                  <w:vAlign w:val="center"/>
                </w:tcPr>
                <w:p w14:paraId="45D3AB47">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0C42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14095A2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940" w:type="pct"/>
                  <w:noWrap w:val="0"/>
                  <w:vAlign w:val="center"/>
                </w:tcPr>
                <w:p w14:paraId="3F2F1F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3031" w:type="pct"/>
                  <w:noWrap w:val="0"/>
                  <w:vAlign w:val="center"/>
                </w:tcPr>
                <w:p w14:paraId="610457FE">
                  <w:pPr>
                    <w:keepNext w:val="0"/>
                    <w:keepLines w:val="0"/>
                    <w:suppressLineNumbers w:val="0"/>
                    <w:adjustRightInd w:val="0"/>
                    <w:snapToGrid w:val="0"/>
                    <w:spacing w:before="100" w:beforeAutospacing="1" w:after="100" w:afterAutospacing="1"/>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排水采用雨、污分流制，生活污水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经化粪池处理后，同</w:t>
                  </w: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锅炉定期排污水和软化水系统排水依托陕西西凤酒基酒生产有限公司污水处理厂处理达标后排</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入</w:t>
                  </w: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园区市政污水管网</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627" w:type="pct"/>
                  <w:noWrap w:val="0"/>
                  <w:vAlign w:val="center"/>
                </w:tcPr>
                <w:p w14:paraId="38268980">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依托</w:t>
                  </w:r>
                </w:p>
              </w:tc>
            </w:tr>
            <w:tr w14:paraId="1111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55A8A01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940" w:type="pct"/>
                  <w:noWrap w:val="0"/>
                  <w:vAlign w:val="center"/>
                </w:tcPr>
                <w:p w14:paraId="3AF531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3031" w:type="pct"/>
                  <w:noWrap w:val="0"/>
                  <w:vAlign w:val="center"/>
                </w:tcPr>
                <w:p w14:paraId="145A9B25">
                  <w:pPr>
                    <w:keepNext w:val="0"/>
                    <w:keepLines w:val="0"/>
                    <w:suppressLineNumbers w:val="0"/>
                    <w:adjustRightInd w:val="0"/>
                    <w:snapToGrid w:val="0"/>
                    <w:spacing w:before="100" w:beforeAutospacing="1" w:after="100" w:afterAutospacing="1"/>
                    <w:ind w:left="0" w:right="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t>设备均选用低噪声型设备，采取基础减振、消声等降噪措施</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627" w:type="pct"/>
                  <w:noWrap w:val="0"/>
                  <w:vAlign w:val="center"/>
                </w:tcPr>
                <w:p w14:paraId="5A79811E">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新建</w:t>
                  </w:r>
                </w:p>
              </w:tc>
            </w:tr>
            <w:tr w14:paraId="6222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noWrap w:val="0"/>
                  <w:vAlign w:val="center"/>
                </w:tcPr>
                <w:p w14:paraId="6F7B3DA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p>
              </w:tc>
              <w:tc>
                <w:tcPr>
                  <w:tcW w:w="940" w:type="pct"/>
                  <w:noWrap w:val="0"/>
                  <w:vAlign w:val="center"/>
                </w:tcPr>
                <w:p w14:paraId="52C612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w:t>
                  </w:r>
                </w:p>
              </w:tc>
              <w:tc>
                <w:tcPr>
                  <w:tcW w:w="3031" w:type="pct"/>
                  <w:noWrap w:val="0"/>
                  <w:vAlign w:val="center"/>
                </w:tcPr>
                <w:p w14:paraId="02708374">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生活垃圾统一委托环卫部门处置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p w14:paraId="75257C37">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废离子交换树脂由厂家回收</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27" w:type="pct"/>
                  <w:noWrap w:val="0"/>
                  <w:vAlign w:val="center"/>
                </w:tcPr>
                <w:p w14:paraId="1A5DC0A0">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bl>
          <w:p w14:paraId="530418B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（1）蒸汽管道工程</w:t>
            </w:r>
          </w:p>
          <w:p w14:paraId="5F17FA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本项目室外蒸汽管网分为三部分：</w:t>
            </w:r>
          </w:p>
          <w:p w14:paraId="037B84F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一根DN500管道供给本期新建酿酒车间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，穿越现有燃气管道区域，采用跨越式桁架结构架空敷设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1169680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一根DN250管道供给本期新建7万吨制曲车间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，穿越现有燃气管道区域，采用跨越式桁架结构架空敷设；</w:t>
            </w:r>
          </w:p>
          <w:p w14:paraId="480B4E2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③一支接西凤酒现有老区酒厂分汽室，蒸汽主管管径为DN600。蒸汽管线从新建燃气锅炉房引至西凤现有酒厂蒸汽分汽室，设DN600蒸汽管道1根，总长度约2552.31m。</w:t>
            </w:r>
          </w:p>
          <w:p w14:paraId="67B89685">
            <w:pPr>
              <w:keepNext w:val="0"/>
              <w:keepLines w:val="0"/>
              <w:numPr>
                <w:ilvl w:val="0"/>
                <w:numId w:val="0"/>
              </w:numPr>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5.1-9 锅炉房至现有酒厂的蒸汽管道布置</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340"/>
              <w:gridCol w:w="1648"/>
              <w:gridCol w:w="1278"/>
              <w:gridCol w:w="1490"/>
              <w:gridCol w:w="1538"/>
            </w:tblGrid>
            <w:tr w14:paraId="4284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94D332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分段号</w:t>
                  </w:r>
                </w:p>
              </w:tc>
              <w:tc>
                <w:tcPr>
                  <w:tcW w:w="778" w:type="pct"/>
                  <w:noWrap w:val="0"/>
                  <w:vAlign w:val="center"/>
                </w:tcPr>
                <w:p w14:paraId="146A24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c>
                <w:tcPr>
                  <w:tcW w:w="957" w:type="pct"/>
                  <w:noWrap w:val="0"/>
                  <w:vAlign w:val="center"/>
                </w:tcPr>
                <w:p w14:paraId="38D1F7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2-3</w:t>
                  </w:r>
                </w:p>
              </w:tc>
              <w:tc>
                <w:tcPr>
                  <w:tcW w:w="742" w:type="pct"/>
                  <w:noWrap w:val="0"/>
                  <w:vAlign w:val="center"/>
                </w:tcPr>
                <w:p w14:paraId="2E287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3-4</w:t>
                  </w:r>
                </w:p>
              </w:tc>
              <w:tc>
                <w:tcPr>
                  <w:tcW w:w="865" w:type="pct"/>
                  <w:noWrap w:val="0"/>
                  <w:vAlign w:val="center"/>
                </w:tcPr>
                <w:p w14:paraId="345618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4-5</w:t>
                  </w:r>
                </w:p>
              </w:tc>
              <w:tc>
                <w:tcPr>
                  <w:tcW w:w="893" w:type="pct"/>
                  <w:noWrap w:val="0"/>
                  <w:vAlign w:val="center"/>
                </w:tcPr>
                <w:p w14:paraId="5B827B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5-6</w:t>
                  </w:r>
                </w:p>
              </w:tc>
            </w:tr>
            <w:tr w14:paraId="1D10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62" w:type="pct"/>
                  <w:noWrap w:val="0"/>
                  <w:vAlign w:val="center"/>
                </w:tcPr>
                <w:p w14:paraId="2B838C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长度（m）</w:t>
                  </w:r>
                </w:p>
              </w:tc>
              <w:tc>
                <w:tcPr>
                  <w:tcW w:w="778" w:type="pct"/>
                  <w:noWrap w:val="0"/>
                  <w:vAlign w:val="center"/>
                </w:tcPr>
                <w:p w14:paraId="5D49C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257.86</w:t>
                  </w:r>
                </w:p>
              </w:tc>
              <w:tc>
                <w:tcPr>
                  <w:tcW w:w="957" w:type="pct"/>
                  <w:noWrap w:val="0"/>
                  <w:vAlign w:val="center"/>
                </w:tcPr>
                <w:p w14:paraId="52990A6E">
                  <w:pPr>
                    <w:keepNext w:val="0"/>
                    <w:keepLines w:val="0"/>
                    <w:suppressLineNumbers w:val="0"/>
                    <w:adjustRightInd w:val="0"/>
                    <w:snapToGrid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960.8</w:t>
                  </w:r>
                </w:p>
              </w:tc>
              <w:tc>
                <w:tcPr>
                  <w:tcW w:w="742" w:type="pct"/>
                  <w:noWrap w:val="0"/>
                  <w:vAlign w:val="center"/>
                </w:tcPr>
                <w:p w14:paraId="12FEBF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184.81</w:t>
                  </w:r>
                </w:p>
              </w:tc>
              <w:tc>
                <w:tcPr>
                  <w:tcW w:w="865" w:type="pct"/>
                  <w:noWrap w:val="0"/>
                  <w:vAlign w:val="center"/>
                </w:tcPr>
                <w:p w14:paraId="0EB144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567.75</w:t>
                  </w:r>
                </w:p>
              </w:tc>
              <w:tc>
                <w:tcPr>
                  <w:tcW w:w="893" w:type="pct"/>
                  <w:noWrap w:val="0"/>
                  <w:vAlign w:val="center"/>
                </w:tcPr>
                <w:p w14:paraId="7A9085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581.09</w:t>
                  </w:r>
                </w:p>
              </w:tc>
            </w:tr>
            <w:tr w14:paraId="6542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6F025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敷设形式</w:t>
                  </w:r>
                </w:p>
              </w:tc>
              <w:tc>
                <w:tcPr>
                  <w:tcW w:w="778" w:type="pct"/>
                  <w:noWrap w:val="0"/>
                  <w:vAlign w:val="center"/>
                </w:tcPr>
                <w:p w14:paraId="01ED2BC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桁架架空</w:t>
                  </w:r>
                </w:p>
              </w:tc>
              <w:tc>
                <w:tcPr>
                  <w:tcW w:w="957" w:type="pct"/>
                  <w:noWrap w:val="0"/>
                  <w:vAlign w:val="center"/>
                </w:tcPr>
                <w:p w14:paraId="726FE28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架空敷设</w:t>
                  </w:r>
                </w:p>
              </w:tc>
              <w:tc>
                <w:tcPr>
                  <w:tcW w:w="742" w:type="pct"/>
                  <w:noWrap w:val="0"/>
                  <w:vAlign w:val="center"/>
                </w:tcPr>
                <w:p w14:paraId="21063F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通行地沟</w:t>
                  </w:r>
                </w:p>
              </w:tc>
              <w:tc>
                <w:tcPr>
                  <w:tcW w:w="865" w:type="pct"/>
                  <w:noWrap w:val="0"/>
                  <w:vAlign w:val="center"/>
                </w:tcPr>
                <w:p w14:paraId="43D3799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顶管涵</w:t>
                  </w:r>
                </w:p>
              </w:tc>
              <w:tc>
                <w:tcPr>
                  <w:tcW w:w="893" w:type="pct"/>
                  <w:noWrap w:val="0"/>
                  <w:vAlign w:val="center"/>
                </w:tcPr>
                <w:p w14:paraId="774E471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架空敷设</w:t>
                  </w:r>
                </w:p>
              </w:tc>
            </w:tr>
            <w:tr w14:paraId="1179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F57CA2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备注</w:t>
                  </w:r>
                </w:p>
              </w:tc>
              <w:tc>
                <w:tcPr>
                  <w:tcW w:w="778" w:type="pct"/>
                  <w:noWrap w:val="0"/>
                  <w:vAlign w:val="center"/>
                </w:tcPr>
                <w:p w14:paraId="3003B3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跨越现有燃气管线</w:t>
                  </w:r>
                </w:p>
              </w:tc>
              <w:tc>
                <w:tcPr>
                  <w:tcW w:w="957" w:type="pct"/>
                  <w:noWrap w:val="0"/>
                  <w:vAlign w:val="center"/>
                </w:tcPr>
                <w:p w14:paraId="07A7836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穿越新建厂区</w:t>
                  </w:r>
                </w:p>
              </w:tc>
              <w:tc>
                <w:tcPr>
                  <w:tcW w:w="742" w:type="pct"/>
                  <w:noWrap w:val="0"/>
                  <w:vAlign w:val="center"/>
                </w:tcPr>
                <w:p w14:paraId="68250DC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沿三尧路</w:t>
                  </w:r>
                </w:p>
              </w:tc>
              <w:tc>
                <w:tcPr>
                  <w:tcW w:w="865" w:type="pct"/>
                  <w:noWrap w:val="0"/>
                  <w:vAlign w:val="center"/>
                </w:tcPr>
                <w:p w14:paraId="27A6D46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沿财富街</w:t>
                  </w:r>
                </w:p>
              </w:tc>
              <w:tc>
                <w:tcPr>
                  <w:tcW w:w="893" w:type="pct"/>
                  <w:noWrap w:val="0"/>
                  <w:vAlign w:val="center"/>
                </w:tcPr>
                <w:p w14:paraId="6F2DD71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穿越现有厂区</w:t>
                  </w:r>
                </w:p>
              </w:tc>
            </w:tr>
          </w:tbl>
          <w:p w14:paraId="558E5736">
            <w:pPr>
              <w:keepNext w:val="0"/>
              <w:keepLines w:val="0"/>
              <w:suppressLineNumbers w:val="0"/>
              <w:spacing w:before="0" w:beforeAutospacing="0" w:after="0" w:afterAutospacing="0" w:line="360" w:lineRule="auto"/>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4458335" cy="3167380"/>
                  <wp:effectExtent l="0" t="0" r="6985" b="2540"/>
                  <wp:docPr id="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6"/>
                          <pic:cNvPicPr>
                            <a:picLocks noChangeAspect="1"/>
                          </pic:cNvPicPr>
                        </pic:nvPicPr>
                        <pic:blipFill>
                          <a:blip r:embed="rId11"/>
                          <a:stretch>
                            <a:fillRect/>
                          </a:stretch>
                        </pic:blipFill>
                        <pic:spPr>
                          <a:xfrm>
                            <a:off x="0" y="0"/>
                            <a:ext cx="4458335" cy="3167380"/>
                          </a:xfrm>
                          <a:prstGeom prst="rect">
                            <a:avLst/>
                          </a:prstGeom>
                          <a:noFill/>
                          <a:ln>
                            <a:noFill/>
                          </a:ln>
                        </pic:spPr>
                      </pic:pic>
                    </a:graphicData>
                  </a:graphic>
                </wp:inline>
              </w:drawing>
            </w:r>
          </w:p>
          <w:p w14:paraId="3DC1F347">
            <w:pPr>
              <w:keepNext w:val="0"/>
              <w:keepLines w:val="0"/>
              <w:numPr>
                <w:ilvl w:val="0"/>
                <w:numId w:val="0"/>
              </w:numPr>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图2-1 现有酒厂用蒸汽管线路由示意图</w:t>
            </w:r>
          </w:p>
          <w:p w14:paraId="15F9B18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管沟敷设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：蒸汽管沟布置在道路中心，覆土埋深不小于1.8m，管沟净尺寸为2000mm×1800mm（h）。财富街主路采用开挖方式敷设管沟；通过财富街和柳林大道十字时，采用顶进管涵的方式敷设管沟。管沟每隔100m设事故孔一个。</w:t>
            </w:r>
          </w:p>
          <w:p w14:paraId="2B34D468">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502275" cy="2414905"/>
                  <wp:effectExtent l="0" t="0" r="14605" b="8255"/>
                  <wp:docPr id="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8"/>
                          <pic:cNvPicPr>
                            <a:picLocks noChangeAspect="1"/>
                          </pic:cNvPicPr>
                        </pic:nvPicPr>
                        <pic:blipFill>
                          <a:blip r:embed="rId12"/>
                          <a:stretch>
                            <a:fillRect/>
                          </a:stretch>
                        </pic:blipFill>
                        <pic:spPr>
                          <a:xfrm>
                            <a:off x="0" y="0"/>
                            <a:ext cx="5502275" cy="2414905"/>
                          </a:xfrm>
                          <a:prstGeom prst="rect">
                            <a:avLst/>
                          </a:prstGeom>
                          <a:noFill/>
                          <a:ln>
                            <a:noFill/>
                          </a:ln>
                        </pic:spPr>
                      </pic:pic>
                    </a:graphicData>
                  </a:graphic>
                </wp:inline>
              </w:drawing>
            </w:r>
          </w:p>
          <w:p w14:paraId="64747E14">
            <w:pPr>
              <w:keepNext w:val="0"/>
              <w:keepLines w:val="0"/>
              <w:numPr>
                <w:ilvl w:val="0"/>
                <w:numId w:val="0"/>
              </w:numPr>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图2-</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沿财富街敷设</w:t>
            </w:r>
            <w:r>
              <w:rPr>
                <w:rFonts w:hint="eastAsia" w:ascii="Times New Roman" w:hAnsi="Times New Roman" w:eastAsia="宋体" w:cs="Times New Roman"/>
                <w:color w:val="000000" w:themeColor="text1"/>
                <w:szCs w:val="21"/>
                <w:lang w:val="en-US" w:eastAsia="zh-CN"/>
                <w14:textFill>
                  <w14:solidFill>
                    <w14:schemeClr w14:val="tx1"/>
                  </w14:solidFill>
                </w14:textFill>
              </w:rPr>
              <w:t>的</w:t>
            </w:r>
            <w:r>
              <w:rPr>
                <w:rFonts w:hint="default" w:ascii="Times New Roman" w:hAnsi="Times New Roman" w:eastAsia="宋体" w:cs="Times New Roman"/>
                <w:color w:val="000000" w:themeColor="text1"/>
                <w:szCs w:val="21"/>
                <w:lang w:val="en-US" w:eastAsia="zh-CN"/>
                <w14:textFill>
                  <w14:solidFill>
                    <w14:schemeClr w14:val="tx1"/>
                  </w14:solidFill>
                </w14:textFill>
              </w:rPr>
              <w:t>蒸汽管沟断面示意</w:t>
            </w:r>
          </w:p>
          <w:p w14:paraId="53E4D25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主要生产设施</w:t>
            </w:r>
          </w:p>
          <w:p w14:paraId="6C829CF1">
            <w:pPr>
              <w:keepNext w:val="0"/>
              <w:keepLines w:val="0"/>
              <w:numPr>
                <w:ilvl w:val="0"/>
                <w:numId w:val="0"/>
              </w:numPr>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表2-2 </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生产设施及设备参数一览表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57"/>
              <w:gridCol w:w="657"/>
              <w:gridCol w:w="1488"/>
              <w:gridCol w:w="3938"/>
              <w:gridCol w:w="960"/>
            </w:tblGrid>
            <w:tr w14:paraId="445AA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bottom w:val="single" w:color="auto" w:sz="6" w:space="0"/>
                    <w:right w:val="single" w:color="auto" w:sz="6" w:space="0"/>
                  </w:tcBorders>
                  <w:noWrap w:val="0"/>
                  <w:vAlign w:val="center"/>
                </w:tcPr>
                <w:p w14:paraId="7790B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3ADC6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数量</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244246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型号</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0CD4A3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参数</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107D5E4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备注</w:t>
                  </w:r>
                </w:p>
              </w:tc>
            </w:tr>
            <w:tr w14:paraId="1D729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05" w:type="pct"/>
                  <w:tcBorders>
                    <w:top w:val="single" w:color="auto" w:sz="6" w:space="0"/>
                    <w:left w:val="single" w:color="auto" w:sz="6" w:space="0"/>
                    <w:right w:val="single" w:color="auto" w:sz="6" w:space="0"/>
                  </w:tcBorders>
                  <w:noWrap w:val="0"/>
                  <w:vAlign w:val="center"/>
                </w:tcPr>
                <w:p w14:paraId="34ED73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低氮燃烧器</w:t>
                  </w:r>
                  <w:r>
                    <w:rPr>
                      <w:rFonts w:hint="eastAsia" w:ascii="Times New Roman" w:hAnsi="Times New Roman" w:cs="Times New Roman"/>
                      <w:color w:val="000000" w:themeColor="text1"/>
                      <w:szCs w:val="21"/>
                      <w:lang w:val="en-US" w:eastAsia="zh-CN"/>
                      <w14:textFill>
                        <w14:solidFill>
                          <w14:schemeClr w14:val="tx1"/>
                        </w14:solidFill>
                      </w14:textFill>
                    </w:rPr>
                    <w:t>蒸汽</w:t>
                  </w:r>
                  <w:r>
                    <w:rPr>
                      <w:rFonts w:hint="default" w:ascii="Times New Roman" w:hAnsi="Times New Roman" w:cs="Times New Roman"/>
                      <w:color w:val="000000" w:themeColor="text1"/>
                      <w:szCs w:val="21"/>
                      <w14:textFill>
                        <w14:solidFill>
                          <w14:schemeClr w14:val="tx1"/>
                        </w14:solidFill>
                      </w14:textFill>
                    </w:rPr>
                    <w:t>锅炉</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207402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175248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SZS50-235/</w:t>
                  </w:r>
                </w:p>
                <w:p w14:paraId="72179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1.25-QT</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LN)</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5BBD2D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0t/h超低氮燃气蒸汽锅炉，额定蒸发量50t/h，功率</w:t>
                  </w:r>
                  <w:r>
                    <w:rPr>
                      <w:rFonts w:hint="eastAsia" w:ascii="Times New Roman" w:hAnsi="Times New Roman" w:cs="Times New Roman"/>
                      <w:color w:val="000000" w:themeColor="text1"/>
                      <w:szCs w:val="21"/>
                      <w:lang w:val="en-US" w:eastAsia="zh-CN"/>
                      <w14:textFill>
                        <w14:solidFill>
                          <w14:schemeClr w14:val="tx1"/>
                        </w14:solidFill>
                      </w14:textFill>
                    </w:rPr>
                    <w:t>35</w:t>
                  </w:r>
                  <w:r>
                    <w:rPr>
                      <w:rFonts w:hint="default" w:ascii="Times New Roman" w:hAnsi="Times New Roman" w:cs="Times New Roman"/>
                      <w:color w:val="000000" w:themeColor="text1"/>
                      <w:szCs w:val="21"/>
                      <w14:textFill>
                        <w14:solidFill>
                          <w14:schemeClr w14:val="tx1"/>
                        </w14:solidFill>
                      </w14:textFill>
                    </w:rPr>
                    <w:t>MW，工作压力1</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25</w:t>
                  </w:r>
                  <w:r>
                    <w:rPr>
                      <w:rFonts w:hint="default" w:ascii="Times New Roman" w:hAnsi="Times New Roman" w:cs="Times New Roman"/>
                      <w:color w:val="000000" w:themeColor="text1"/>
                      <w:szCs w:val="21"/>
                      <w14:textFill>
                        <w14:solidFill>
                          <w14:schemeClr w14:val="tx1"/>
                        </w14:solidFill>
                      </w14:textFill>
                    </w:rPr>
                    <w:t>MPa，</w:t>
                  </w:r>
                  <w:r>
                    <w:rPr>
                      <w:rFonts w:hint="default" w:ascii="Times New Roman" w:hAnsi="Times New Roman" w:cs="Times New Roman"/>
                      <w:color w:val="000000" w:themeColor="text1"/>
                      <w:szCs w:val="21"/>
                      <w:lang w:val="en-US" w:eastAsia="zh-Hans"/>
                      <w14:textFill>
                        <w14:solidFill>
                          <w14:schemeClr w14:val="tx1"/>
                        </w14:solidFill>
                      </w14:textFill>
                    </w:rPr>
                    <w:t>额定工作温度</w:t>
                  </w:r>
                  <w:r>
                    <w:rPr>
                      <w:rFonts w:hint="default" w:ascii="Times New Roman" w:hAnsi="Times New Roman" w:cs="Times New Roman"/>
                      <w:color w:val="000000" w:themeColor="text1"/>
                      <w:szCs w:val="21"/>
                      <w:lang w:eastAsia="zh-Hans"/>
                      <w14:textFill>
                        <w14:solidFill>
                          <w14:schemeClr w14:val="tx1"/>
                        </w14:solidFill>
                      </w14:textFill>
                    </w:rPr>
                    <w:t>2</w:t>
                  </w:r>
                  <w:r>
                    <w:rPr>
                      <w:rFonts w:hint="eastAsia" w:ascii="Times New Roman" w:hAnsi="Times New Roman" w:cs="Times New Roman"/>
                      <w:color w:val="000000" w:themeColor="text1"/>
                      <w:szCs w:val="21"/>
                      <w:lang w:val="en-US" w:eastAsia="zh-CN"/>
                      <w14:textFill>
                        <w14:solidFill>
                          <w14:schemeClr w14:val="tx1"/>
                        </w14:solidFill>
                      </w14:textFill>
                    </w:rPr>
                    <w:t>35</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w:t>
                  </w:r>
                  <w:r>
                    <w:rPr>
                      <w:rFonts w:hint="default" w:ascii="Times New Roman" w:hAnsi="Times New Roman" w:cs="Times New Roman"/>
                      <w:color w:val="000000" w:themeColor="text1"/>
                      <w:szCs w:val="21"/>
                      <w:lang w:val="en-US" w:eastAsia="zh-Hans"/>
                      <w14:textFill>
                        <w14:solidFill>
                          <w14:schemeClr w14:val="tx1"/>
                        </w14:solidFill>
                      </w14:textFill>
                    </w:rPr>
                    <w:t>给水温度</w:t>
                  </w:r>
                  <w:r>
                    <w:rPr>
                      <w:rFonts w:hint="default" w:ascii="Times New Roman" w:hAnsi="Times New Roman" w:cs="Times New Roman"/>
                      <w:color w:val="000000" w:themeColor="text1"/>
                      <w:szCs w:val="21"/>
                      <w:lang w:eastAsia="zh-Hans"/>
                      <w14:textFill>
                        <w14:solidFill>
                          <w14:schemeClr w14:val="tx1"/>
                        </w14:solidFill>
                      </w14:textFill>
                    </w:rPr>
                    <w:t>104℃</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热效率≥98%，配套NOx排量泵、节能器、冷凝器等</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4B9FC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6用1备</w:t>
                  </w:r>
                </w:p>
              </w:tc>
            </w:tr>
            <w:tr w14:paraId="72E4B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737F71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锅炉给水泵</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1F16955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197A0C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CDMF32-9型</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66A081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流量200m³/h，扬程156m，功率18.5kW</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6133D01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6用1备</w:t>
                  </w:r>
                </w:p>
              </w:tc>
            </w:tr>
            <w:tr w14:paraId="1A5F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329F7B4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原水泵</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43706F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6736D6E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471E6F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400m³/h</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3F52753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1用1备</w:t>
                  </w:r>
                </w:p>
              </w:tc>
            </w:tr>
            <w:tr w14:paraId="43E2E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5765980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蓄水箱</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7792279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1个</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3F17126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116457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3000m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7D31C60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p>
              </w:tc>
            </w:tr>
            <w:tr w14:paraId="280D1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7430863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全自动软水器</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0504C6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0B426E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3A63FC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生产能力：350m³/h，制水率：80%</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17FDBFA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tc>
            </w:tr>
            <w:tr w14:paraId="0A0B2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534C1B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软水泵</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0315191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0371FB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6E6DE67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120m³/h</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6D3931F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3用1备</w:t>
                  </w:r>
                </w:p>
              </w:tc>
            </w:tr>
            <w:tr w14:paraId="5DA30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905" w:type="pct"/>
                  <w:tcBorders>
                    <w:top w:val="single" w:color="auto" w:sz="6" w:space="0"/>
                    <w:left w:val="single" w:color="auto" w:sz="6" w:space="0"/>
                    <w:right w:val="single" w:color="auto" w:sz="6" w:space="0"/>
                  </w:tcBorders>
                  <w:noWrap w:val="0"/>
                  <w:vAlign w:val="center"/>
                </w:tcPr>
                <w:p w14:paraId="17C4780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软水箱</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0EB453C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04CFFDF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759FD42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容积350m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Cs w:val="21"/>
                      <w:lang w:val="en-US" w:eastAsia="zh-CN"/>
                      <w14:textFill>
                        <w14:solidFill>
                          <w14:schemeClr w14:val="tx1"/>
                        </w14:solidFill>
                      </w14:textFill>
                    </w:rPr>
                    <w:t>，不锈钢模压水箱</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409360B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tc>
            </w:tr>
            <w:tr w14:paraId="5C356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18357B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除氧器</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196288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4D7DF8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086D4B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120t/h</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3894F657">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tc>
            </w:tr>
            <w:tr w14:paraId="21E5F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right w:val="single" w:color="auto" w:sz="6" w:space="0"/>
                  </w:tcBorders>
                  <w:noWrap w:val="0"/>
                  <w:vAlign w:val="center"/>
                </w:tcPr>
                <w:p w14:paraId="1DBFDE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蒸汽循环泵</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0B6B75CB">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2台</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127EE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432D520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11kW</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7E136D0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1用1备</w:t>
                  </w:r>
                </w:p>
              </w:tc>
            </w:tr>
            <w:tr w14:paraId="0F0A0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5" w:type="pct"/>
                  <w:tcBorders>
                    <w:top w:val="single" w:color="auto" w:sz="6" w:space="0"/>
                    <w:left w:val="single" w:color="auto" w:sz="6" w:space="0"/>
                    <w:bottom w:val="single" w:color="auto" w:sz="6" w:space="0"/>
                    <w:right w:val="single" w:color="auto" w:sz="6" w:space="0"/>
                  </w:tcBorders>
                  <w:noWrap w:val="0"/>
                  <w:vAlign w:val="center"/>
                </w:tcPr>
                <w:p w14:paraId="47DB6D36">
                  <w:pPr>
                    <w:pStyle w:val="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调压站</w:t>
                  </w:r>
                </w:p>
              </w:tc>
              <w:tc>
                <w:tcPr>
                  <w:tcW w:w="382" w:type="pct"/>
                  <w:tcBorders>
                    <w:top w:val="single" w:color="auto" w:sz="6" w:space="0"/>
                    <w:left w:val="single" w:color="auto" w:sz="6" w:space="0"/>
                    <w:bottom w:val="single" w:color="auto" w:sz="6" w:space="0"/>
                    <w:right w:val="single" w:color="auto" w:sz="6" w:space="0"/>
                  </w:tcBorders>
                  <w:noWrap w:val="0"/>
                  <w:vAlign w:val="center"/>
                </w:tcPr>
                <w:p w14:paraId="66611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1套</w:t>
                  </w:r>
                </w:p>
              </w:tc>
              <w:tc>
                <w:tcPr>
                  <w:tcW w:w="865" w:type="pct"/>
                  <w:tcBorders>
                    <w:top w:val="single" w:color="auto" w:sz="6" w:space="0"/>
                    <w:left w:val="single" w:color="auto" w:sz="6" w:space="0"/>
                    <w:bottom w:val="single" w:color="auto" w:sz="6" w:space="0"/>
                    <w:right w:val="single" w:color="auto" w:sz="6" w:space="0"/>
                  </w:tcBorders>
                  <w:noWrap w:val="0"/>
                  <w:vAlign w:val="center"/>
                </w:tcPr>
                <w:p w14:paraId="6E79DFE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2289" w:type="pct"/>
                  <w:tcBorders>
                    <w:top w:val="single" w:color="auto" w:sz="6" w:space="0"/>
                    <w:left w:val="single" w:color="auto" w:sz="6" w:space="0"/>
                    <w:bottom w:val="single" w:color="auto" w:sz="6" w:space="0"/>
                    <w:right w:val="single" w:color="auto" w:sz="4" w:space="0"/>
                  </w:tcBorders>
                  <w:noWrap w:val="0"/>
                  <w:vAlign w:val="center"/>
                </w:tcPr>
                <w:p w14:paraId="3192396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558" w:type="pct"/>
                  <w:tcBorders>
                    <w:top w:val="single" w:color="auto" w:sz="6" w:space="0"/>
                    <w:left w:val="single" w:color="auto" w:sz="6" w:space="0"/>
                    <w:bottom w:val="single" w:color="auto" w:sz="6" w:space="0"/>
                    <w:right w:val="single" w:color="auto" w:sz="4" w:space="0"/>
                  </w:tcBorders>
                  <w:noWrap w:val="0"/>
                  <w:vAlign w:val="center"/>
                </w:tcPr>
                <w:p w14:paraId="1687398F">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p>
              </w:tc>
            </w:tr>
          </w:tbl>
          <w:p w14:paraId="78A7892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left"/>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4、主要原辅材料及能源</w:t>
            </w:r>
          </w:p>
          <w:p w14:paraId="2DB383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表2-3  主要原辅材料及能源一览表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2242"/>
              <w:gridCol w:w="2226"/>
              <w:gridCol w:w="2321"/>
            </w:tblGrid>
            <w:tr w14:paraId="19FA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55" w:type="pct"/>
                  <w:tcBorders>
                    <w:top w:val="single" w:color="auto" w:sz="4" w:space="0"/>
                    <w:left w:val="single" w:color="auto" w:sz="4" w:space="0"/>
                    <w:bottom w:val="single" w:color="auto" w:sz="4" w:space="0"/>
                    <w:right w:val="single" w:color="auto" w:sz="4" w:space="0"/>
                  </w:tcBorders>
                  <w:noWrap w:val="0"/>
                  <w:vAlign w:val="center"/>
                </w:tcPr>
                <w:p w14:paraId="6AC284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1302" w:type="pct"/>
                  <w:tcBorders>
                    <w:top w:val="single" w:color="auto" w:sz="4" w:space="0"/>
                    <w:left w:val="single" w:color="auto" w:sz="4" w:space="0"/>
                    <w:bottom w:val="single" w:color="auto" w:sz="4" w:space="0"/>
                    <w:right w:val="single" w:color="auto" w:sz="4" w:space="0"/>
                  </w:tcBorders>
                  <w:noWrap w:val="0"/>
                  <w:vAlign w:val="center"/>
                </w:tcPr>
                <w:p w14:paraId="4F5C3E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单位</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6BD90F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消耗量</w:t>
                  </w:r>
                </w:p>
              </w:tc>
              <w:tc>
                <w:tcPr>
                  <w:tcW w:w="1348" w:type="pct"/>
                  <w:tcBorders>
                    <w:top w:val="single" w:color="auto" w:sz="4" w:space="0"/>
                    <w:left w:val="single" w:color="auto" w:sz="4" w:space="0"/>
                    <w:bottom w:val="single" w:color="auto" w:sz="4" w:space="0"/>
                    <w:right w:val="single" w:color="auto" w:sz="4" w:space="0"/>
                  </w:tcBorders>
                  <w:noWrap w:val="0"/>
                  <w:vAlign w:val="center"/>
                </w:tcPr>
                <w:p w14:paraId="51717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储存方式</w:t>
                  </w:r>
                </w:p>
              </w:tc>
            </w:tr>
            <w:tr w14:paraId="2EFB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55" w:type="pct"/>
                  <w:tcBorders>
                    <w:top w:val="single" w:color="auto" w:sz="4" w:space="0"/>
                    <w:left w:val="single" w:color="auto" w:sz="4" w:space="0"/>
                    <w:bottom w:val="single" w:color="auto" w:sz="4" w:space="0"/>
                    <w:right w:val="single" w:color="auto" w:sz="4" w:space="0"/>
                  </w:tcBorders>
                  <w:noWrap w:val="0"/>
                  <w:vAlign w:val="center"/>
                </w:tcPr>
                <w:p w14:paraId="4F976C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w:t>
                  </w:r>
                </w:p>
              </w:tc>
              <w:tc>
                <w:tcPr>
                  <w:tcW w:w="1302" w:type="pct"/>
                  <w:tcBorders>
                    <w:top w:val="single" w:color="auto" w:sz="4" w:space="0"/>
                    <w:left w:val="single" w:color="auto" w:sz="4" w:space="0"/>
                    <w:bottom w:val="single" w:color="auto" w:sz="4" w:space="0"/>
                    <w:right w:val="single" w:color="auto" w:sz="4" w:space="0"/>
                  </w:tcBorders>
                  <w:noWrap w:val="0"/>
                  <w:vAlign w:val="center"/>
                </w:tcPr>
                <w:p w14:paraId="2544F08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万</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/a</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3F1CBE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15012</w:t>
                  </w:r>
                </w:p>
              </w:tc>
              <w:tc>
                <w:tcPr>
                  <w:tcW w:w="1348" w:type="pct"/>
                  <w:tcBorders>
                    <w:top w:val="single" w:color="auto" w:sz="4" w:space="0"/>
                    <w:left w:val="single" w:color="auto" w:sz="4" w:space="0"/>
                    <w:bottom w:val="single" w:color="auto" w:sz="4" w:space="0"/>
                    <w:right w:val="single" w:color="auto" w:sz="4" w:space="0"/>
                  </w:tcBorders>
                  <w:noWrap w:val="0"/>
                  <w:vAlign w:val="center"/>
                </w:tcPr>
                <w:p w14:paraId="3F40B0E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管道</w:t>
                  </w:r>
                </w:p>
              </w:tc>
            </w:tr>
            <w:tr w14:paraId="5191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55" w:type="pct"/>
                  <w:tcBorders>
                    <w:top w:val="single" w:color="auto" w:sz="4" w:space="0"/>
                    <w:left w:val="single" w:color="auto" w:sz="4" w:space="0"/>
                    <w:bottom w:val="single" w:color="auto" w:sz="4" w:space="0"/>
                    <w:right w:val="single" w:color="auto" w:sz="4" w:space="0"/>
                  </w:tcBorders>
                  <w:noWrap w:val="0"/>
                  <w:vAlign w:val="center"/>
                </w:tcPr>
                <w:p w14:paraId="4A3293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水</w:t>
                  </w:r>
                </w:p>
              </w:tc>
              <w:tc>
                <w:tcPr>
                  <w:tcW w:w="1302" w:type="pct"/>
                  <w:tcBorders>
                    <w:top w:val="single" w:color="auto" w:sz="4" w:space="0"/>
                    <w:left w:val="single" w:color="auto" w:sz="4" w:space="0"/>
                    <w:bottom w:val="single" w:color="auto" w:sz="4" w:space="0"/>
                    <w:right w:val="single" w:color="auto" w:sz="4" w:space="0"/>
                  </w:tcBorders>
                  <w:noWrap w:val="0"/>
                  <w:vAlign w:val="center"/>
                </w:tcPr>
                <w:p w14:paraId="7695DD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万</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/a</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08DC6F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270</w:t>
                  </w:r>
                </w:p>
              </w:tc>
              <w:tc>
                <w:tcPr>
                  <w:tcW w:w="1348" w:type="pct"/>
                  <w:tcBorders>
                    <w:top w:val="single" w:color="auto" w:sz="4" w:space="0"/>
                    <w:left w:val="single" w:color="auto" w:sz="4" w:space="0"/>
                    <w:bottom w:val="single" w:color="auto" w:sz="4" w:space="0"/>
                    <w:right w:val="single" w:color="auto" w:sz="4" w:space="0"/>
                  </w:tcBorders>
                  <w:noWrap w:val="0"/>
                  <w:vAlign w:val="center"/>
                </w:tcPr>
                <w:p w14:paraId="51D9B1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管网供给</w:t>
                  </w:r>
                </w:p>
              </w:tc>
            </w:tr>
            <w:tr w14:paraId="3DC3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55" w:type="pct"/>
                  <w:tcBorders>
                    <w:top w:val="single" w:color="auto" w:sz="4" w:space="0"/>
                    <w:left w:val="single" w:color="auto" w:sz="4" w:space="0"/>
                    <w:bottom w:val="single" w:color="auto" w:sz="4" w:space="0"/>
                    <w:right w:val="single" w:color="auto" w:sz="4" w:space="0"/>
                  </w:tcBorders>
                  <w:noWrap w:val="0"/>
                  <w:vAlign w:val="center"/>
                </w:tcPr>
                <w:p w14:paraId="4D407D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w:t>
                  </w:r>
                </w:p>
              </w:tc>
              <w:tc>
                <w:tcPr>
                  <w:tcW w:w="1302" w:type="pct"/>
                  <w:tcBorders>
                    <w:top w:val="single" w:color="auto" w:sz="4" w:space="0"/>
                    <w:left w:val="single" w:color="auto" w:sz="4" w:space="0"/>
                    <w:bottom w:val="single" w:color="auto" w:sz="4" w:space="0"/>
                    <w:right w:val="single" w:color="auto" w:sz="4" w:space="0"/>
                  </w:tcBorders>
                  <w:noWrap w:val="0"/>
                  <w:vAlign w:val="center"/>
                </w:tcPr>
                <w:p w14:paraId="2AA9E3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万</w:t>
                  </w:r>
                  <w:r>
                    <w:rPr>
                      <w:rFonts w:hint="default" w:ascii="Times New Roman" w:hAnsi="Times New Roman" w:cs="Times New Roman"/>
                      <w:color w:val="000000" w:themeColor="text1"/>
                      <w:szCs w:val="21"/>
                      <w14:textFill>
                        <w14:solidFill>
                          <w14:schemeClr w14:val="tx1"/>
                        </w14:solidFill>
                      </w14:textFill>
                    </w:rPr>
                    <w:t>kW•h</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363473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810</w:t>
                  </w:r>
                </w:p>
              </w:tc>
              <w:tc>
                <w:tcPr>
                  <w:tcW w:w="1348" w:type="pct"/>
                  <w:tcBorders>
                    <w:top w:val="single" w:color="auto" w:sz="4" w:space="0"/>
                    <w:left w:val="single" w:color="auto" w:sz="4" w:space="0"/>
                    <w:bottom w:val="single" w:color="auto" w:sz="4" w:space="0"/>
                    <w:right w:val="single" w:color="auto" w:sz="4" w:space="0"/>
                  </w:tcBorders>
                  <w:noWrap w:val="0"/>
                  <w:vAlign w:val="center"/>
                </w:tcPr>
                <w:p w14:paraId="10CCE1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p>
              </w:tc>
            </w:tr>
          </w:tbl>
          <w:p w14:paraId="3FED2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表2-4  原辅材料相关理化性质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7715"/>
            </w:tblGrid>
            <w:tr w14:paraId="7DD3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9" w:type="pct"/>
                  <w:noWrap w:val="0"/>
                  <w:vAlign w:val="center"/>
                </w:tcPr>
                <w:p w14:paraId="67EB6B4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4480" w:type="pct"/>
                  <w:noWrap w:val="0"/>
                  <w:vAlign w:val="center"/>
                </w:tcPr>
                <w:p w14:paraId="0034B21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理化性质</w:t>
                  </w:r>
                </w:p>
              </w:tc>
            </w:tr>
            <w:tr w14:paraId="6F9C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9" w:type="pct"/>
                  <w:noWrap w:val="0"/>
                  <w:vAlign w:val="center"/>
                </w:tcPr>
                <w:p w14:paraId="4205F6B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w:t>
                  </w:r>
                </w:p>
              </w:tc>
              <w:tc>
                <w:tcPr>
                  <w:tcW w:w="4480" w:type="pct"/>
                  <w:noWrap w:val="0"/>
                  <w:vAlign w:val="center"/>
                </w:tcPr>
                <w:p w14:paraId="0452F26A">
                  <w:pPr>
                    <w:keepNext w:val="0"/>
                    <w:keepLines w:val="0"/>
                    <w:suppressLineNumbers w:val="0"/>
                    <w:spacing w:before="0" w:beforeAutospacing="0" w:after="0" w:afterAutospacing="0"/>
                    <w:ind w:left="0" w:right="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天然气：天然气是存在于地下岩石储集层中以烃为主体的混合气体的统称，比重约0.65，比空气轻，具有无色、无味之特性。天然气不溶于水，密度为0.7174kg/Nm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，相对密度（水）为约0.45（液化）。燃点</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℃）为650，爆炸极限</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V%）为5-15。在标准状况下，甲烷至丁烷以气体状态存在，戊烷以上为液体</w:t>
                  </w:r>
                </w:p>
              </w:tc>
            </w:tr>
          </w:tbl>
          <w:p w14:paraId="6C7213C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公用工程</w:t>
            </w:r>
          </w:p>
          <w:p w14:paraId="2DAF66EA">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（1）给水</w:t>
            </w:r>
          </w:p>
          <w:p w14:paraId="36C5B323">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项目供水水源为市政自来水。</w:t>
            </w:r>
          </w:p>
          <w:p w14:paraId="75E7F2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①生活用水</w:t>
            </w:r>
          </w:p>
          <w:p w14:paraId="6554B1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本项目工作人员</w:t>
            </w:r>
            <w:r>
              <w:rPr>
                <w:rFonts w:hint="eastAsia" w:ascii="Times New Roman" w:hAnsi="Times New Roman" w:eastAsia="宋体" w:cs="Times New Roman"/>
                <w:color w:val="000000" w:themeColor="text1"/>
                <w:sz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lang w:val="en-US" w:eastAsia="zh-CN"/>
                <w14:textFill>
                  <w14:solidFill>
                    <w14:schemeClr w14:val="tx1"/>
                  </w14:solidFill>
                </w14:textFill>
              </w:rPr>
              <w:t>人，根据陕西省《行业用水定额》（DB61/T943-2020），用水按</w:t>
            </w:r>
            <w:r>
              <w:rPr>
                <w:rFonts w:hint="eastAsia" w:ascii="Times New Roman" w:hAnsi="Times New Roman" w:eastAsia="宋体" w:cs="Times New Roman"/>
                <w:color w:val="000000" w:themeColor="text1"/>
                <w:sz w:val="24"/>
                <w:lang w:val="en-US" w:eastAsia="zh-CN"/>
                <w14:textFill>
                  <w14:solidFill>
                    <w14:schemeClr w14:val="tx1"/>
                  </w14:solidFill>
                </w14:textFill>
              </w:rPr>
              <w:t>10m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/人·</w:t>
            </w:r>
            <w:r>
              <w:rPr>
                <w:rFonts w:hint="eastAsia" w:ascii="Times New Roman" w:hAnsi="Times New Roman" w:eastAsia="宋体" w:cs="Times New Roman"/>
                <w:color w:val="000000" w:themeColor="text1"/>
                <w:sz w:val="24"/>
                <w:lang w:val="en-US" w:eastAsia="zh-CN"/>
                <w14:textFill>
                  <w14:solidFill>
                    <w14:schemeClr w14:val="tx1"/>
                  </w14:solidFill>
                </w14:textFill>
              </w:rPr>
              <w:t>a</w:t>
            </w:r>
            <w:r>
              <w:rPr>
                <w:rFonts w:hint="default" w:ascii="Times New Roman" w:hAnsi="Times New Roman" w:eastAsia="宋体" w:cs="Times New Roman"/>
                <w:color w:val="000000" w:themeColor="text1"/>
                <w:sz w:val="24"/>
                <w:lang w:val="en-US" w:eastAsia="zh-CN"/>
                <w14:textFill>
                  <w14:solidFill>
                    <w14:schemeClr w14:val="tx1"/>
                  </w14:solidFill>
                </w14:textFill>
              </w:rPr>
              <w:t>计，生活用水量为</w:t>
            </w:r>
            <w:r>
              <w:rPr>
                <w:rFonts w:hint="eastAsia" w:ascii="Times New Roman" w:hAnsi="Times New Roman" w:eastAsia="宋体" w:cs="Times New Roman"/>
                <w:color w:val="000000" w:themeColor="text1"/>
                <w:sz w:val="24"/>
                <w:lang w:val="en-US" w:eastAsia="zh-CN"/>
                <w14:textFill>
                  <w14:solidFill>
                    <w14:schemeClr w14:val="tx1"/>
                  </w14:solidFill>
                </w14:textFill>
              </w:rPr>
              <w:t>250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/a。</w:t>
            </w:r>
          </w:p>
          <w:p w14:paraId="1DBA0A52">
            <w:pPr>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②</w:t>
            </w:r>
            <w:r>
              <w:rPr>
                <w:rFonts w:hint="default" w:ascii="Times New Roman" w:hAnsi="Times New Roman" w:cs="Times New Roman"/>
                <w:color w:val="000000" w:themeColor="text1"/>
                <w:sz w:val="24"/>
                <w:szCs w:val="24"/>
                <w:lang w:val="en-US" w:eastAsia="zh-Hans"/>
                <w14:textFill>
                  <w14:solidFill>
                    <w14:schemeClr w14:val="tx1"/>
                  </w14:solidFill>
                </w14:textFill>
              </w:rPr>
              <w:t>软水制备用水</w:t>
            </w:r>
          </w:p>
          <w:p w14:paraId="090CE6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本项目使用7台50t/h锅炉（6用1备），软化水由离子交换树脂制备得到，制备效率约80%，锅炉软水制备量以6台满负荷运行计，则年用软水216万m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/a（运行时间7200h/a），则软水制备用水量为270万m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p>
          <w:p w14:paraId="594B9E2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排水</w:t>
            </w:r>
          </w:p>
          <w:p w14:paraId="0E833C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生产废水主要为</w:t>
            </w:r>
            <w:r>
              <w:rPr>
                <w:rFonts w:hint="eastAsia" w:ascii="Times New Roman" w:hAnsi="Times New Roman" w:cs="Times New Roman"/>
                <w:color w:val="000000" w:themeColor="text1"/>
                <w:sz w:val="24"/>
                <w:szCs w:val="24"/>
                <w:lang w:val="en-US" w:eastAsia="zh-CN"/>
                <w14:textFill>
                  <w14:solidFill>
                    <w14:schemeClr w14:val="tx1"/>
                  </w14:solidFill>
                </w14:textFill>
              </w:rPr>
              <w:t>软水制备高浓度废水和</w:t>
            </w:r>
            <w:r>
              <w:rPr>
                <w:rFonts w:hint="default" w:ascii="Times New Roman" w:hAnsi="Times New Roman" w:cs="Times New Roman"/>
                <w:color w:val="000000" w:themeColor="text1"/>
                <w:sz w:val="24"/>
                <w:szCs w:val="24"/>
                <w14:textFill>
                  <w14:solidFill>
                    <w14:schemeClr w14:val="tx1"/>
                  </w14:solidFill>
                </w14:textFill>
              </w:rPr>
              <w:t>锅炉排污水。</w:t>
            </w:r>
          </w:p>
          <w:p w14:paraId="63DFA68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生活污水</w:t>
            </w:r>
          </w:p>
          <w:p w14:paraId="0FE589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项目生活污水经化粪池处理后同锅炉定期排污水和软化水系统排水依托陕西西凤酒基酒生产有限公司污水处理厂处理达标后排入园区市政污水管网</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生活污水的产污系数按0.8计，则产生量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22AB855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软水制备高浓度废水</w:t>
            </w:r>
          </w:p>
          <w:p w14:paraId="5163A69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Hans"/>
                <w14:textFill>
                  <w14:solidFill>
                    <w14:schemeClr w14:val="tx1"/>
                  </w14:solidFill>
                </w14:textFill>
              </w:rPr>
              <w:t>软水制备用水为</w:t>
            </w:r>
            <w:r>
              <w:rPr>
                <w:rFonts w:hint="default" w:ascii="Times New Roman" w:hAnsi="Times New Roman" w:cs="Times New Roman"/>
                <w:color w:val="000000" w:themeColor="text1"/>
                <w:sz w:val="24"/>
                <w:lang w:val="en-US" w:eastAsia="zh-CN"/>
                <w14:textFill>
                  <w14:solidFill>
                    <w14:schemeClr w14:val="tx1"/>
                  </w14:solidFill>
                </w14:textFill>
              </w:rPr>
              <w:t>270万</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则高浓度废水产生量为54万</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eastAsia="zh-CN"/>
                <w14:textFill>
                  <w14:solidFill>
                    <w14:schemeClr w14:val="tx1"/>
                  </w14:solidFill>
                </w14:textFill>
              </w:rPr>
              <w:t>。</w:t>
            </w:r>
          </w:p>
          <w:p w14:paraId="555DA3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val="en-US" w:eastAsia="zh-Han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③</w:t>
            </w:r>
            <w:r>
              <w:rPr>
                <w:rFonts w:hint="default" w:ascii="Times New Roman" w:hAnsi="Times New Roman" w:cs="Times New Roman"/>
                <w:color w:val="000000" w:themeColor="text1"/>
                <w:sz w:val="24"/>
                <w:szCs w:val="24"/>
                <w:lang w:val="en-US" w:eastAsia="zh-Hans"/>
                <w14:textFill>
                  <w14:solidFill>
                    <w14:schemeClr w14:val="tx1"/>
                  </w14:solidFill>
                </w14:textFill>
              </w:rPr>
              <w:t>锅炉排污水</w:t>
            </w:r>
          </w:p>
          <w:p w14:paraId="4598E38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eastAsia" w:ascii="Times New Roman" w:hAnsi="Times New Roman" w:cs="Times New Roman"/>
                <w:color w:val="000000" w:themeColor="text1"/>
                <w:sz w:val="24"/>
                <w:lang w:val="en-US" w:eastAsia="zh-CN"/>
                <w14:textFill>
                  <w14:solidFill>
                    <w14:schemeClr w14:val="tx1"/>
                  </w14:solidFill>
                </w14:textFill>
              </w:rPr>
              <w:t>排放源统计调</w:t>
            </w:r>
            <w:r>
              <w:rPr>
                <w:rFonts w:hint="default" w:ascii="Times New Roman" w:hAnsi="Times New Roman" w:cs="Times New Roman"/>
                <w:color w:val="000000" w:themeColor="text1"/>
                <w:sz w:val="24"/>
                <w14:textFill>
                  <w14:solidFill>
                    <w14:schemeClr w14:val="tx1"/>
                  </w14:solidFill>
                </w14:textFill>
              </w:rPr>
              <w:t>查</w:t>
            </w:r>
            <w:r>
              <w:rPr>
                <w:rFonts w:hint="eastAsia" w:ascii="Times New Roman" w:hAnsi="Times New Roman" w:cs="Times New Roman"/>
                <w:color w:val="000000" w:themeColor="text1"/>
                <w:sz w:val="24"/>
                <w:lang w:val="en-US" w:eastAsia="zh-CN"/>
                <w14:textFill>
                  <w14:solidFill>
                    <w14:schemeClr w14:val="tx1"/>
                  </w14:solidFill>
                </w14:textFill>
              </w:rPr>
              <w:t>产</w:t>
            </w:r>
            <w:r>
              <w:rPr>
                <w:rFonts w:hint="default" w:ascii="Times New Roman" w:hAnsi="Times New Roman" w:cs="Times New Roman"/>
                <w:color w:val="000000" w:themeColor="text1"/>
                <w:sz w:val="24"/>
                <w14:textFill>
                  <w14:solidFill>
                    <w14:schemeClr w14:val="tx1"/>
                  </w14:solidFill>
                </w14:textFill>
              </w:rPr>
              <w:t>排污</w:t>
            </w:r>
            <w:r>
              <w:rPr>
                <w:rFonts w:hint="eastAsia" w:ascii="Times New Roman" w:hAnsi="Times New Roman" w:cs="Times New Roman"/>
                <w:color w:val="000000" w:themeColor="text1"/>
                <w:sz w:val="24"/>
                <w:lang w:val="en-US" w:eastAsia="zh-CN"/>
                <w14:textFill>
                  <w14:solidFill>
                    <w14:schemeClr w14:val="tx1"/>
                  </w14:solidFill>
                </w14:textFill>
              </w:rPr>
              <w:t>核算方法与</w:t>
            </w:r>
            <w:r>
              <w:rPr>
                <w:rFonts w:hint="default" w:ascii="Times New Roman" w:hAnsi="Times New Roman" w:cs="Times New Roman"/>
                <w:color w:val="000000" w:themeColor="text1"/>
                <w:sz w:val="24"/>
                <w14:textFill>
                  <w14:solidFill>
                    <w14:schemeClr w14:val="tx1"/>
                  </w14:solidFill>
                </w14:textFill>
              </w:rPr>
              <w:t>系数</w:t>
            </w:r>
            <w:r>
              <w:rPr>
                <w:rFonts w:hint="eastAsia" w:ascii="Times New Roman" w:hAnsi="Times New Roman" w:cs="Times New Roman"/>
                <w:color w:val="000000" w:themeColor="text1"/>
                <w:sz w:val="24"/>
                <w:lang w:val="en-US" w:eastAsia="zh-CN"/>
                <w14:textFill>
                  <w14:solidFill>
                    <w14:schemeClr w14:val="tx1"/>
                  </w14:solidFill>
                </w14:textFill>
              </w:rPr>
              <w:t>手册</w:t>
            </w:r>
            <w:r>
              <w:rPr>
                <w:rFonts w:hint="default" w:ascii="Times New Roman" w:hAnsi="Times New Roman" w:cs="Times New Roman"/>
                <w:color w:val="000000" w:themeColor="text1"/>
                <w:sz w:val="24"/>
                <w14:textFill>
                  <w14:solidFill>
                    <w14:schemeClr w14:val="tx1"/>
                  </w14:solidFill>
                </w14:textFill>
              </w:rPr>
              <w:t>》中</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4430工业锅炉（热力生产和供应行业）产排污系数表-工业废水量和化学需氧量</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燃气锅炉（锅外水处理）工业废水量产污系数为9.86吨/万立方米-原料（锅炉排污水），本项目使用天然气量为</w:t>
            </w:r>
            <w:r>
              <w:rPr>
                <w:rFonts w:hint="default" w:ascii="Times New Roman" w:hAnsi="Times New Roman" w:cs="Times New Roman"/>
                <w:color w:val="000000" w:themeColor="text1"/>
                <w:sz w:val="24"/>
                <w:lang w:val="en-US" w:eastAsia="zh-CN"/>
                <w14:textFill>
                  <w14:solidFill>
                    <w14:schemeClr w14:val="tx1"/>
                  </w14:solidFill>
                </w14:textFill>
              </w:rPr>
              <w:t>15012</w:t>
            </w:r>
            <w:r>
              <w:rPr>
                <w:rFonts w:hint="default" w:ascii="Times New Roman" w:hAnsi="Times New Roman" w:cs="Times New Roman"/>
                <w:color w:val="000000" w:themeColor="text1"/>
                <w:sz w:val="24"/>
                <w14:textFill>
                  <w14:solidFill>
                    <w14:schemeClr w14:val="tx1"/>
                  </w14:solidFill>
                </w14:textFill>
              </w:rPr>
              <w:t>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/a，则排污水产生量为</w:t>
            </w:r>
            <w:r>
              <w:rPr>
                <w:rFonts w:hint="eastAsia" w:ascii="Times New Roman" w:hAnsi="Times New Roman" w:cs="Times New Roman"/>
                <w:color w:val="000000" w:themeColor="text1"/>
                <w:sz w:val="24"/>
                <w:lang w:val="en-US" w:eastAsia="zh-CN"/>
                <w14:textFill>
                  <w14:solidFill>
                    <w14:schemeClr w14:val="tx1"/>
                  </w14:solidFill>
                </w14:textFill>
              </w:rPr>
              <w:t>14.8万</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w:t>
            </w:r>
          </w:p>
          <w:p w14:paraId="12779CF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高浓度废水和</w:t>
            </w:r>
            <w:r>
              <w:rPr>
                <w:rFonts w:hint="default" w:ascii="Times New Roman" w:hAnsi="Times New Roman" w:cs="Times New Roman"/>
                <w:color w:val="000000" w:themeColor="text1"/>
                <w:sz w:val="24"/>
                <w:lang w:val="en-US" w:eastAsia="zh-Hans"/>
                <w14:textFill>
                  <w14:solidFill>
                    <w14:schemeClr w14:val="tx1"/>
                  </w14:solidFill>
                </w14:textFill>
              </w:rPr>
              <w:t>锅炉</w:t>
            </w:r>
            <w:r>
              <w:rPr>
                <w:rFonts w:hint="default" w:ascii="Times New Roman" w:hAnsi="Times New Roman" w:cs="Times New Roman"/>
                <w:color w:val="000000" w:themeColor="text1"/>
                <w:sz w:val="24"/>
                <w14:textFill>
                  <w14:solidFill>
                    <w14:schemeClr w14:val="tx1"/>
                  </w14:solidFill>
                </w14:textFill>
              </w:rPr>
              <w:t>排污水中主要污染物为COD、SS、TDS，含较多Ca</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、Mg</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等，依托陕西西凤酒基酒生产有限公司污水处理厂处理达标后排</w:t>
            </w:r>
            <w:r>
              <w:rPr>
                <w:rFonts w:hint="eastAsia" w:ascii="Times New Roman" w:hAnsi="Times New Roman" w:cs="Times New Roman"/>
                <w:color w:val="000000" w:themeColor="text1"/>
                <w:sz w:val="24"/>
                <w:lang w:val="en-US" w:eastAsia="zh-CN"/>
                <w14:textFill>
                  <w14:solidFill>
                    <w14:schemeClr w14:val="tx1"/>
                  </w14:solidFill>
                </w14:textFill>
              </w:rPr>
              <w:t>入园区市政污水管网</w:t>
            </w:r>
            <w:r>
              <w:rPr>
                <w:rFonts w:hint="default" w:ascii="Times New Roman" w:hAnsi="Times New Roman" w:cs="Times New Roman"/>
                <w:color w:val="000000" w:themeColor="text1"/>
                <w:sz w:val="24"/>
                <w14:textFill>
                  <w14:solidFill>
                    <w14:schemeClr w14:val="tx1"/>
                  </w14:solidFill>
                </w14:textFill>
              </w:rPr>
              <w:t>。</w:t>
            </w:r>
          </w:p>
          <w:p w14:paraId="11A8BC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供电</w:t>
            </w:r>
          </w:p>
          <w:p w14:paraId="0E6DEF6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本项目的电源依托</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市政</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供电</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电</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网，年用电约为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810万</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kW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h。</w:t>
            </w:r>
          </w:p>
          <w:p w14:paraId="56944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（4）天然气</w:t>
            </w:r>
          </w:p>
          <w:p w14:paraId="486541A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本项目7台锅炉（6用1备）年运行时间按7200h计，6台锅炉同时运行，单台</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MW/h</w:t>
            </w:r>
            <w:r>
              <w:rPr>
                <w:rFonts w:hint="default" w:ascii="Times New Roman" w:hAnsi="Times New Roman" w:eastAsia="宋体" w:cs="Times New Roman"/>
                <w:color w:val="000000" w:themeColor="text1"/>
                <w:sz w:val="24"/>
                <w:szCs w:val="24"/>
                <w:highlight w:val="none"/>
                <w14:textFill>
                  <w14:solidFill>
                    <w14:schemeClr w14:val="tx1"/>
                  </w14:solidFill>
                </w14:textFill>
              </w:rPr>
              <w:t>天然气</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锅炉最大小时耗气量为35×3600÷37÷0.98=3475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本项目天然气年用量约为15012万m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，由园区现有燃气分输站接入，经本项目新建调压站后提供至锅炉燃烧器入口。</w:t>
            </w:r>
          </w:p>
          <w:p w14:paraId="370BBF0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i w:val="0"/>
                <w:iCs w:val="0"/>
                <w:color w:val="000000" w:themeColor="text1"/>
                <w:sz w:val="24"/>
                <w:szCs w:val="24"/>
                <w:highlight w:val="none"/>
                <w14:textFill>
                  <w14:solidFill>
                    <w14:schemeClr w14:val="tx1"/>
                  </w14:solidFill>
                </w14:textFill>
              </w:rPr>
            </w:pPr>
            <w:r>
              <w:rPr>
                <w:rFonts w:hint="default" w:ascii="Times New Roman" w:hAnsi="Times New Roman" w:cs="Times New Roman"/>
                <w:i w:val="0"/>
                <w:iCs w:val="0"/>
                <w:color w:val="000000" w:themeColor="text1"/>
                <w:sz w:val="24"/>
                <w:szCs w:val="24"/>
                <w:highlight w:val="none"/>
                <w14:textFill>
                  <w14:solidFill>
                    <w14:schemeClr w14:val="tx1"/>
                  </w14:solidFill>
                </w14:textFill>
              </w:rPr>
              <w:t>6、劳动定员及工作制度</w:t>
            </w:r>
          </w:p>
          <w:p w14:paraId="1E36F77E">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公司职工人数25人，</w:t>
            </w:r>
            <w:r>
              <w:rPr>
                <w:rFonts w:hint="default" w:ascii="Times New Roman" w:hAnsi="Times New Roman" w:cs="Times New Roman"/>
                <w:color w:val="000000" w:themeColor="text1"/>
                <w:sz w:val="24"/>
                <w:szCs w:val="24"/>
                <w14:textFill>
                  <w14:solidFill>
                    <w14:schemeClr w14:val="tx1"/>
                  </w14:solidFill>
                </w14:textFill>
              </w:rPr>
              <w:t>年工作</w:t>
            </w:r>
            <w:r>
              <w:rPr>
                <w:rFonts w:hint="eastAsia"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天，</w:t>
            </w:r>
            <w:r>
              <w:rPr>
                <w:rFonts w:hint="default" w:ascii="Times New Roman" w:hAnsi="Times New Roman" w:cs="Times New Roman"/>
                <w:color w:val="000000" w:themeColor="text1"/>
                <w:sz w:val="24"/>
                <w:szCs w:val="24"/>
                <w:lang w:val="en-US" w:eastAsia="zh-Hans"/>
                <w14:textFill>
                  <w14:solidFill>
                    <w14:schemeClr w14:val="tx1"/>
                  </w14:solidFill>
                </w14:textFill>
              </w:rPr>
              <w:t>每天运行</w:t>
            </w:r>
            <w:r>
              <w:rPr>
                <w:rFonts w:hint="default"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14:textFill>
                  <w14:solidFill>
                    <w14:schemeClr w14:val="tx1"/>
                  </w14:solidFill>
                </w14:textFill>
              </w:rPr>
              <w:t>小时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三班制，</w:t>
            </w:r>
            <w:r>
              <w:rPr>
                <w:rFonts w:hint="default" w:ascii="Times New Roman" w:hAnsi="Times New Roman" w:cs="Times New Roman"/>
                <w:color w:val="000000" w:themeColor="text1"/>
                <w:sz w:val="24"/>
                <w:szCs w:val="24"/>
                <w14:textFill>
                  <w14:solidFill>
                    <w14:schemeClr w14:val="tx1"/>
                  </w14:solidFill>
                </w14:textFill>
              </w:rPr>
              <w:t>锅炉年运行时间</w:t>
            </w:r>
            <w:r>
              <w:rPr>
                <w:rFonts w:hint="eastAsia" w:ascii="Times New Roman" w:hAnsi="Times New Roman" w:cs="Times New Roman"/>
                <w:color w:val="000000" w:themeColor="text1"/>
                <w:sz w:val="24"/>
                <w:szCs w:val="24"/>
                <w:lang w:val="en-US" w:eastAsia="zh-CN"/>
                <w14:textFill>
                  <w14:solidFill>
                    <w14:schemeClr w14:val="tx1"/>
                  </w14:solidFill>
                </w14:textFill>
              </w:rPr>
              <w:t>720</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h。</w:t>
            </w:r>
          </w:p>
          <w:p w14:paraId="5F47153D">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7、厂区平面布置</w:t>
            </w:r>
          </w:p>
          <w:p w14:paraId="7B5596D6">
            <w:pPr>
              <w:pStyle w:val="72"/>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锅炉房位于厂区西北侧，内置7台天然气</w:t>
            </w:r>
            <w:r>
              <w:rPr>
                <w:rFonts w:hint="default" w:ascii="Times New Roman" w:hAnsi="Times New Roman" w:cs="Times New Roman"/>
                <w:color w:val="000000" w:themeColor="text1"/>
                <w:sz w:val="24"/>
                <w:szCs w:val="24"/>
                <w:lang w:val="en-US" w:eastAsia="zh-Hans"/>
                <w14:textFill>
                  <w14:solidFill>
                    <w14:schemeClr w14:val="tx1"/>
                  </w14:solidFill>
                </w14:textFill>
              </w:rPr>
              <w:t>锅炉</w:t>
            </w:r>
            <w:r>
              <w:rPr>
                <w:rFonts w:hint="eastAsia" w:ascii="Times New Roman" w:hAnsi="Times New Roman" w:cs="Times New Roman"/>
                <w:color w:val="000000" w:themeColor="text1"/>
                <w:sz w:val="24"/>
                <w:szCs w:val="24"/>
                <w:lang w:val="en-US" w:eastAsia="zh-CN"/>
                <w14:textFill>
                  <w14:solidFill>
                    <w14:schemeClr w14:val="tx1"/>
                  </w14:solidFill>
                </w14:textFill>
              </w:rPr>
              <w:t>东西并排</w:t>
            </w:r>
            <w:r>
              <w:rPr>
                <w:rFonts w:hint="default" w:ascii="Times New Roman" w:hAnsi="Times New Roman" w:cs="Times New Roman"/>
                <w:color w:val="000000" w:themeColor="text1"/>
                <w:sz w:val="24"/>
                <w:szCs w:val="24"/>
                <w:lang w:val="en-US" w:eastAsia="zh-Hans"/>
                <w14:textFill>
                  <w14:solidFill>
                    <w14:schemeClr w14:val="tx1"/>
                  </w14:solidFill>
                </w14:textFill>
              </w:rPr>
              <w:t>安置</w:t>
            </w:r>
            <w:r>
              <w:rPr>
                <w:rFonts w:hint="eastAsia" w:ascii="Times New Roman" w:hAnsi="Times New Roman" w:cs="Times New Roman"/>
                <w:color w:val="000000" w:themeColor="text1"/>
                <w:sz w:val="24"/>
                <w:szCs w:val="24"/>
                <w:lang w:val="en-US" w:eastAsia="zh-CN"/>
                <w14:textFill>
                  <w14:solidFill>
                    <w14:schemeClr w14:val="tx1"/>
                  </w14:solidFill>
                </w14:textFill>
              </w:rPr>
              <w:t>在锅炉房内南侧，水处理间位于锅炉房内北侧。调压站位于</w:t>
            </w:r>
            <w:r>
              <w:rPr>
                <w:rFonts w:hint="default" w:ascii="Times New Roman" w:hAnsi="Times New Roman" w:cs="Times New Roman"/>
                <w:color w:val="000000" w:themeColor="text1"/>
                <w:sz w:val="24"/>
                <w:szCs w:val="24"/>
                <w:lang w:val="en-US" w:eastAsia="zh-Hans"/>
                <w14:textFill>
                  <w14:solidFill>
                    <w14:schemeClr w14:val="tx1"/>
                  </w14:solidFill>
                </w14:textFill>
              </w:rPr>
              <w:t>厂区</w:t>
            </w:r>
            <w:r>
              <w:rPr>
                <w:rFonts w:hint="eastAsia" w:ascii="Times New Roman" w:hAnsi="Times New Roman" w:cs="Times New Roman"/>
                <w:color w:val="000000" w:themeColor="text1"/>
                <w:sz w:val="24"/>
                <w:szCs w:val="24"/>
                <w:lang w:val="en-US" w:eastAsia="zh-CN"/>
                <w14:textFill>
                  <w14:solidFill>
                    <w14:schemeClr w14:val="tx1"/>
                  </w14:solidFill>
                </w14:textFill>
              </w:rPr>
              <w:t>东侧</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位于园区燃气分输站东侧，位于放空管安全限制区外</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厂区平面布置</w:t>
            </w:r>
            <w:r>
              <w:rPr>
                <w:rFonts w:hint="default" w:ascii="Times New Roman" w:hAnsi="Times New Roman" w:cs="Times New Roman"/>
                <w:color w:val="000000" w:themeColor="text1"/>
                <w:sz w:val="24"/>
                <w:szCs w:val="24"/>
                <w:lang w:val="en-US" w:eastAsia="zh-Hans"/>
                <w14:textFill>
                  <w14:solidFill>
                    <w14:schemeClr w14:val="tx1"/>
                  </w14:solidFill>
                </w14:textFill>
              </w:rPr>
              <w:t>合理</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企业厂区平面图详见附图2。</w:t>
            </w:r>
          </w:p>
          <w:p w14:paraId="374144CB">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eastAsia="宋体" w:cs="Times New Roman"/>
                <w:color w:val="000000" w:themeColor="text1"/>
                <w:sz w:val="24"/>
                <w:szCs w:val="24"/>
                <w:lang w:eastAsia="zh-Han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依托工程</w:t>
            </w:r>
          </w:p>
          <w:p w14:paraId="6EBA0099">
            <w:pPr>
              <w:pStyle w:val="72"/>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lang w:eastAsia="zh-Han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生活污水、锅炉定期排污水和软化水系统排水依托陕西西凤酒基酒生产有限公司污水处理厂处理达标后排入园区市政污水管网</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陕西西凤酒基酒生产有限公司污水处理厂一期处理规模为500m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/d，二期建成后处理规模为14000m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/d，处理工艺</w:t>
            </w:r>
            <w:r>
              <w:rPr>
                <w:rFonts w:hint="default" w:ascii="Times New Roman" w:hAnsi="Times New Roman" w:cs="Times New Roman"/>
                <w:color w:val="000000" w:themeColor="text1"/>
                <w:sz w:val="24"/>
                <w:szCs w:val="24"/>
                <w:lang w:val="en-US" w:eastAsia="zh-Hans"/>
                <w14:textFill>
                  <w14:solidFill>
                    <w14:schemeClr w14:val="tx1"/>
                  </w14:solidFill>
                </w14:textFill>
              </w:rPr>
              <w:t>采用</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预处理</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/O生物池+二沉池+高效沉淀池+臭氧氧化池+曝气生物滤池+反硝化滤池+消毒池”工艺。</w:t>
            </w:r>
            <w:r>
              <w:rPr>
                <w:rFonts w:hint="default" w:ascii="Times New Roman" w:hAnsi="Times New Roman" w:cs="Times New Roman"/>
                <w:color w:val="000000" w:themeColor="text1"/>
                <w:sz w:val="24"/>
                <w:szCs w:val="24"/>
                <w:lang w:val="en-US" w:eastAsia="zh-Hans"/>
                <w14:textFill>
                  <w14:solidFill>
                    <w14:schemeClr w14:val="tx1"/>
                  </w14:solidFill>
                </w14:textFill>
              </w:rPr>
              <w:t>目前</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该污水处理厂</w:t>
            </w:r>
            <w:r>
              <w:rPr>
                <w:rFonts w:hint="eastAsia" w:ascii="Times New Roman" w:hAnsi="Times New Roman" w:cs="Times New Roman"/>
                <w:color w:val="000000" w:themeColor="text1"/>
                <w:sz w:val="24"/>
                <w:szCs w:val="24"/>
                <w:lang w:val="en-US" w:eastAsia="zh-CN"/>
                <w14:textFill>
                  <w14:solidFill>
                    <w14:schemeClr w14:val="tx1"/>
                  </w14:solidFill>
                </w14:textFill>
              </w:rPr>
              <w:t>主体工程已建成，预计2025年8月投用</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排放污水</w:t>
            </w:r>
            <w:r>
              <w:rPr>
                <w:rFonts w:hint="eastAsia" w:ascii="Times New Roman" w:hAnsi="Times New Roman" w:cs="Times New Roman"/>
                <w:color w:val="000000" w:themeColor="text1"/>
                <w:sz w:val="24"/>
                <w:szCs w:val="24"/>
                <w:lang w:val="en-US" w:eastAsia="zh-CN"/>
                <w14:textFill>
                  <w14:solidFill>
                    <w14:schemeClr w14:val="tx1"/>
                  </w14:solidFill>
                </w14:textFill>
              </w:rPr>
              <w:t>经</w:t>
            </w:r>
            <w:r>
              <w:rPr>
                <w:rFonts w:hint="default" w:ascii="Times New Roman" w:hAnsi="Times New Roman" w:cs="Times New Roman"/>
                <w:color w:val="000000" w:themeColor="text1"/>
                <w:sz w:val="24"/>
                <w:szCs w:val="24"/>
                <w14:textFill>
                  <w14:solidFill>
                    <w14:schemeClr w14:val="tx1"/>
                  </w14:solidFill>
                </w14:textFill>
              </w:rPr>
              <w:t>处理后达到《污水综合排放标准》（GB8978-1996）三级标准要求</w:t>
            </w:r>
            <w:r>
              <w:rPr>
                <w:rFonts w:hint="eastAsia" w:ascii="Times New Roman" w:hAnsi="Times New Roman" w:cs="Times New Roman"/>
                <w:color w:val="000000" w:themeColor="text1"/>
                <w:sz w:val="24"/>
                <w:szCs w:val="24"/>
                <w:lang w:val="en-US" w:eastAsia="zh-CN"/>
                <w14:textFill>
                  <w14:solidFill>
                    <w14:schemeClr w14:val="tx1"/>
                  </w14:solidFill>
                </w14:textFill>
              </w:rPr>
              <w:t>后排入凤翔高新污水处理厂</w:t>
            </w:r>
            <w:r>
              <w:rPr>
                <w:rFonts w:hint="default" w:ascii="Times New Roman" w:hAnsi="Times New Roman" w:cs="Times New Roman"/>
                <w:color w:val="000000" w:themeColor="text1"/>
                <w:sz w:val="24"/>
                <w:szCs w:val="24"/>
                <w14:textFill>
                  <w14:solidFill>
                    <w14:schemeClr w14:val="tx1"/>
                  </w14:solidFill>
                </w14:textFill>
              </w:rPr>
              <w:t>。</w:t>
            </w:r>
          </w:p>
        </w:tc>
      </w:tr>
      <w:tr w14:paraId="7E58A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90" w:type="dxa"/>
            <w:noWrap w:val="0"/>
            <w:vAlign w:val="center"/>
          </w:tcPr>
          <w:p w14:paraId="51C7ACA0">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工艺流程和产排污环节</w:t>
            </w:r>
          </w:p>
        </w:tc>
        <w:tc>
          <w:tcPr>
            <w:tcW w:w="8898" w:type="dxa"/>
            <w:gridSpan w:val="2"/>
            <w:noWrap w:val="0"/>
            <w:vAlign w:val="top"/>
          </w:tcPr>
          <w:p w14:paraId="088A545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14:textFill>
                  <w14:solidFill>
                    <w14:schemeClr w14:val="tx1"/>
                  </w14:solidFill>
                </w14:textFill>
              </w:rPr>
              <w:t>施工期工艺流程及产污环节</w:t>
            </w:r>
          </w:p>
          <w:p w14:paraId="5F5FABF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根据建设单位提供资料，项目施工期工程内容主要包括锅炉房建设工程及天然气、蒸汽管线建设工程。</w:t>
            </w:r>
          </w:p>
          <w:p w14:paraId="393CD47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锅炉房</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施工工艺</w:t>
            </w:r>
          </w:p>
          <w:p w14:paraId="3ABD883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施工期工艺及产污节点示意图如下。</w:t>
            </w:r>
          </w:p>
          <w:p w14:paraId="51049AEC">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drawing>
                <wp:inline distT="0" distB="0" distL="114300" distR="114300">
                  <wp:extent cx="3916045" cy="1019175"/>
                  <wp:effectExtent l="0" t="0" r="0" b="0"/>
                  <wp:docPr id="4"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wps"/>
                          <pic:cNvPicPr>
                            <a:picLocks noChangeAspect="1"/>
                          </pic:cNvPicPr>
                        </pic:nvPicPr>
                        <pic:blipFill>
                          <a:blip r:embed="rId13"/>
                          <a:srcRect l="2962" t="65591" r="2603" b="2373"/>
                          <a:stretch>
                            <a:fillRect/>
                          </a:stretch>
                        </pic:blipFill>
                        <pic:spPr>
                          <a:xfrm>
                            <a:off x="0" y="0"/>
                            <a:ext cx="3916045" cy="1019175"/>
                          </a:xfrm>
                          <a:prstGeom prst="rect">
                            <a:avLst/>
                          </a:prstGeom>
                          <a:noFill/>
                          <a:ln>
                            <a:noFill/>
                          </a:ln>
                        </pic:spPr>
                      </pic:pic>
                    </a:graphicData>
                  </a:graphic>
                </wp:inline>
              </w:drawing>
            </w:r>
          </w:p>
          <w:p w14:paraId="486942A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 xml:space="preserve">   施工期</w:t>
            </w:r>
            <w:r>
              <w:rPr>
                <w:rFonts w:hint="eastAsia" w:ascii="Times New Roman" w:hAnsi="Times New Roman" w:eastAsia="宋体" w:cs="Times New Roman"/>
                <w:bCs/>
                <w:color w:val="000000" w:themeColor="text1"/>
                <w:szCs w:val="21"/>
                <w:lang w:val="en-US" w:eastAsia="zh-CN"/>
                <w14:textFill>
                  <w14:solidFill>
                    <w14:schemeClr w14:val="tx1"/>
                  </w14:solidFill>
                </w14:textFill>
              </w:rPr>
              <w:t>构筑物建设</w:t>
            </w:r>
            <w:r>
              <w:rPr>
                <w:rFonts w:hint="default" w:ascii="Times New Roman" w:hAnsi="Times New Roman" w:eastAsia="宋体" w:cs="Times New Roman"/>
                <w:bCs/>
                <w:color w:val="000000" w:themeColor="text1"/>
                <w:szCs w:val="21"/>
                <w14:textFill>
                  <w14:solidFill>
                    <w14:schemeClr w14:val="tx1"/>
                  </w14:solidFill>
                </w14:textFill>
              </w:rPr>
              <w:t>工艺流程及产污环节图</w:t>
            </w:r>
          </w:p>
          <w:p w14:paraId="2284DAD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工艺简介：</w:t>
            </w:r>
          </w:p>
          <w:p w14:paraId="4544028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①</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基础工程</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：主要为施工场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地平整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工程</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、放线</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等，在此过程将产生施工扬尘、施工废水、施工噪声、建筑垃圾等</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57E0911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②主体工程：主要为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锅炉房</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建设阶段，在此过程</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将产生施工扬尘、施工废水、施工噪声</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建筑垃圾等</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490A361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③</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装饰工程：主要为墙体粉刷、门窗安装等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，在此过程</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将产生施工扬尘、施工废水、施工噪声、建筑垃圾等</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14:paraId="70B6834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设备安装：指</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锅炉、水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泵、风机、自动控制以及电缆线等工程</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在此过程</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将产生施工扬尘、施工废水、施工噪声及建筑垃圾等。</w:t>
            </w:r>
          </w:p>
          <w:p w14:paraId="4BED75A2">
            <w:pPr>
              <w:keepNext w:val="0"/>
              <w:keepLines w:val="0"/>
              <w:suppressLineNumbers w:val="0"/>
              <w:adjustRightInd w:val="0"/>
              <w:snapToGrid w:val="0"/>
              <w:spacing w:before="0" w:beforeAutospacing="0" w:after="0" w:afterAutospacing="0" w:line="360" w:lineRule="auto"/>
              <w:ind w:left="0" w:right="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drawing>
                <wp:inline distT="0" distB="0" distL="114300" distR="114300">
                  <wp:extent cx="3048635" cy="4097020"/>
                  <wp:effectExtent l="0" t="0" r="14605" b="2540"/>
                  <wp:docPr id="5" name="图片 95" descr="管线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5" descr="管线工艺流程"/>
                          <pic:cNvPicPr>
                            <a:picLocks noChangeAspect="1"/>
                          </pic:cNvPicPr>
                        </pic:nvPicPr>
                        <pic:blipFill>
                          <a:blip r:embed="rId14"/>
                          <a:stretch>
                            <a:fillRect/>
                          </a:stretch>
                        </pic:blipFill>
                        <pic:spPr>
                          <a:xfrm>
                            <a:off x="0" y="0"/>
                            <a:ext cx="3048635" cy="4097020"/>
                          </a:xfrm>
                          <a:prstGeom prst="rect">
                            <a:avLst/>
                          </a:prstGeom>
                          <a:noFill/>
                          <a:ln>
                            <a:noFill/>
                          </a:ln>
                        </pic:spPr>
                      </pic:pic>
                    </a:graphicData>
                  </a:graphic>
                </wp:inline>
              </w:drawing>
            </w:r>
          </w:p>
          <w:p w14:paraId="2A75DD0C">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图2-</w:t>
            </w:r>
            <w:r>
              <w:rPr>
                <w:rFonts w:hint="eastAsia" w:ascii="Times New Roman" w:hAnsi="Times New Roman" w:eastAsia="宋体" w:cs="Times New Roman"/>
                <w:bCs/>
                <w:color w:val="000000" w:themeColor="text1"/>
                <w:szCs w:val="21"/>
                <w:lang w:val="en-US" w:eastAsia="zh-CN"/>
                <w14:textFill>
                  <w14:solidFill>
                    <w14:schemeClr w14:val="tx1"/>
                  </w14:solidFill>
                </w14:textFill>
              </w:rPr>
              <w:t>4</w:t>
            </w:r>
            <w:r>
              <w:rPr>
                <w:rFonts w:hint="default" w:ascii="Times New Roman" w:hAnsi="Times New Roman" w:eastAsia="宋体" w:cs="Times New Roman"/>
                <w:bCs/>
                <w:color w:val="000000" w:themeColor="text1"/>
                <w:szCs w:val="21"/>
                <w14:textFill>
                  <w14:solidFill>
                    <w14:schemeClr w14:val="tx1"/>
                  </w14:solidFill>
                </w14:textFill>
              </w:rPr>
              <w:t xml:space="preserve">   施工期</w:t>
            </w:r>
            <w:r>
              <w:rPr>
                <w:rFonts w:hint="eastAsia" w:ascii="Times New Roman" w:hAnsi="Times New Roman" w:eastAsia="宋体" w:cs="Times New Roman"/>
                <w:bCs/>
                <w:color w:val="000000" w:themeColor="text1"/>
                <w:szCs w:val="21"/>
                <w:lang w:val="en-US" w:eastAsia="zh-CN"/>
                <w14:textFill>
                  <w14:solidFill>
                    <w14:schemeClr w14:val="tx1"/>
                  </w14:solidFill>
                </w14:textFill>
              </w:rPr>
              <w:t>管线建设</w:t>
            </w:r>
            <w:r>
              <w:rPr>
                <w:rFonts w:hint="default" w:ascii="Times New Roman" w:hAnsi="Times New Roman" w:eastAsia="宋体" w:cs="Times New Roman"/>
                <w:bCs/>
                <w:color w:val="000000" w:themeColor="text1"/>
                <w:szCs w:val="21"/>
                <w14:textFill>
                  <w14:solidFill>
                    <w14:schemeClr w14:val="tx1"/>
                  </w14:solidFill>
                </w14:textFill>
              </w:rPr>
              <w:t>工艺流程及产污环节图</w:t>
            </w:r>
          </w:p>
          <w:p w14:paraId="47DD6A6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工艺简介：</w:t>
            </w:r>
          </w:p>
          <w:p w14:paraId="75EF0853">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①作业线路、场地清理：根据施工设计图，标注管道坐标并进行放线，场地清理，此过程产生施工扬尘、噪声。</w:t>
            </w:r>
          </w:p>
          <w:p w14:paraId="3634C3E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②开挖管线：本项目部分蒸汽管道采用管沟敷设，蒸汽管沟布置在道路中心，覆土埋深不小于1.8m，管沟净尺寸为2000mmx1800mm（h)。沿财富路主街采用开挖方式敷设管沟；通过财富街和柳林大道十字时，采用顶进管涵的方式敷设管沟。管沟每隔100m设事故人孔一个。此过程同市政道路建设同步施工建设，此过程产生施工扬尘、噪声。</w:t>
            </w:r>
          </w:p>
          <w:p w14:paraId="4E4AEF6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③跨越工程：本项目主要以架空方式敷设，此过程产生少量施工扬尘、噪声。</w:t>
            </w:r>
          </w:p>
          <w:p w14:paraId="763BC9C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④管道连接：本项目管道采取嵌套、焊接方式连接，此过程主要产生焊接烟尘。</w:t>
            </w:r>
          </w:p>
          <w:p w14:paraId="770AC25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⑤下管入沟、覆土回填：管道敷设完成后，管道试压，覆土回填。市政道路建设单位负责道路路基、路面建设及道路绿化等。此过程产生施工扬尘、噪声、废水、废渣。</w:t>
            </w:r>
          </w:p>
          <w:p w14:paraId="34F4CE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jc w:val="left"/>
              <w:textAlignment w:val="auto"/>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cs="Times New Roman"/>
                <w:bCs/>
                <w:color w:val="000000" w:themeColor="text1"/>
                <w:sz w:val="24"/>
                <w:szCs w:val="24"/>
                <w14:textFill>
                  <w14:solidFill>
                    <w14:schemeClr w14:val="tx1"/>
                  </w14:solidFill>
                </w14:textFill>
              </w:rPr>
              <w:t>运营期工艺流程及产污环节</w:t>
            </w:r>
          </w:p>
          <w:p w14:paraId="1991E26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drawing>
                <wp:inline distT="0" distB="0" distL="114300" distR="114300">
                  <wp:extent cx="4815840" cy="1607185"/>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5"/>
                          <a:srcRect l="2567" t="4164" r="9349" b="52289"/>
                          <a:stretch>
                            <a:fillRect/>
                          </a:stretch>
                        </pic:blipFill>
                        <pic:spPr>
                          <a:xfrm>
                            <a:off x="0" y="0"/>
                            <a:ext cx="4815840" cy="1607185"/>
                          </a:xfrm>
                          <a:prstGeom prst="rect">
                            <a:avLst/>
                          </a:prstGeom>
                          <a:noFill/>
                          <a:ln>
                            <a:noFill/>
                          </a:ln>
                        </pic:spPr>
                      </pic:pic>
                    </a:graphicData>
                  </a:graphic>
                </wp:inline>
              </w:drawing>
            </w:r>
          </w:p>
          <w:p w14:paraId="3FCDE61D">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图2-</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运营期</w:t>
            </w:r>
            <w:r>
              <w:rPr>
                <w:rFonts w:hint="default" w:ascii="Times New Roman" w:hAnsi="Times New Roman" w:cs="Times New Roman"/>
                <w:bCs/>
                <w:color w:val="000000" w:themeColor="text1"/>
                <w:szCs w:val="21"/>
                <w14:textFill>
                  <w14:solidFill>
                    <w14:schemeClr w14:val="tx1"/>
                  </w14:solidFill>
                </w14:textFill>
              </w:rPr>
              <w:t>工艺流程及产排污环节图</w:t>
            </w:r>
          </w:p>
          <w:p w14:paraId="554DEFB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（1）生产工艺简述：</w:t>
            </w:r>
          </w:p>
          <w:p w14:paraId="7752452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自来水由软水制备系统处理后</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经除氧器除氧后</w:t>
            </w:r>
            <w:r>
              <w:rPr>
                <w:rFonts w:hint="default" w:ascii="Times New Roman" w:hAnsi="Times New Roman" w:cs="Times New Roman"/>
                <w:bCs/>
                <w:color w:val="000000" w:themeColor="text1"/>
                <w:sz w:val="24"/>
                <w:szCs w:val="24"/>
                <w14:textFill>
                  <w14:solidFill>
                    <w14:schemeClr w14:val="tx1"/>
                  </w14:solidFill>
                </w14:textFill>
              </w:rPr>
              <w:t>供给燃气锅炉，锅炉燃料为管道天然气，经管道输送至燃气锅炉，通过天然气燃烧加热锅炉内软水，使其蒸发为水蒸气，然后通过</w:t>
            </w:r>
            <w:r>
              <w:rPr>
                <w:rFonts w:hint="eastAsia" w:ascii="Times New Roman" w:hAnsi="Times New Roman" w:cs="Times New Roman"/>
                <w:bCs/>
                <w:color w:val="000000" w:themeColor="text1"/>
                <w:sz w:val="24"/>
                <w:szCs w:val="24"/>
                <w:lang w:val="en-US" w:eastAsia="zh-CN"/>
                <w14:textFill>
                  <w14:solidFill>
                    <w14:schemeClr w14:val="tx1"/>
                  </w14:solidFill>
                </w14:textFill>
              </w:rPr>
              <w:t>蒸汽</w:t>
            </w:r>
            <w:r>
              <w:rPr>
                <w:rFonts w:hint="default" w:ascii="Times New Roman" w:hAnsi="Times New Roman" w:cs="Times New Roman"/>
                <w:bCs/>
                <w:color w:val="000000" w:themeColor="text1"/>
                <w:sz w:val="24"/>
                <w:szCs w:val="24"/>
                <w14:textFill>
                  <w14:solidFill>
                    <w14:schemeClr w14:val="tx1"/>
                  </w14:solidFill>
                </w14:textFill>
              </w:rPr>
              <w:t>管道输送至西凤酒10万吨优质基酒产业园和西凤酒现有厂区，用于</w:t>
            </w:r>
            <w:r>
              <w:rPr>
                <w:rFonts w:hint="eastAsia" w:ascii="Times New Roman" w:hAnsi="Times New Roman" w:cs="Times New Roman"/>
                <w:bCs/>
                <w:color w:val="000000" w:themeColor="text1"/>
                <w:sz w:val="24"/>
                <w:szCs w:val="24"/>
                <w:lang w:val="en-US" w:eastAsia="zh-CN"/>
                <w14:textFill>
                  <w14:solidFill>
                    <w14:schemeClr w14:val="tx1"/>
                  </w14:solidFill>
                </w14:textFill>
              </w:rPr>
              <w:t>生产</w:t>
            </w:r>
            <w:r>
              <w:rPr>
                <w:rFonts w:hint="default" w:ascii="Times New Roman" w:hAnsi="Times New Roman" w:cs="Times New Roman"/>
                <w:bCs/>
                <w:color w:val="000000" w:themeColor="text1"/>
                <w:sz w:val="24"/>
                <w:szCs w:val="24"/>
                <w14:textFill>
                  <w14:solidFill>
                    <w14:schemeClr w14:val="tx1"/>
                  </w14:solidFill>
                </w14:textFill>
              </w:rPr>
              <w:t>。本项目燃气锅炉采用低氮燃烧器，燃烧废气通过1根</w:t>
            </w:r>
            <w:r>
              <w:rPr>
                <w:rFonts w:hint="eastAsia" w:ascii="Times New Roman" w:hAnsi="Times New Roman" w:cs="Times New Roman"/>
                <w:bCs/>
                <w:color w:val="000000" w:themeColor="text1"/>
                <w:sz w:val="24"/>
                <w:szCs w:val="24"/>
                <w:lang w:val="en-US" w:eastAsia="zh-CN"/>
                <w14:textFill>
                  <w14:solidFill>
                    <w14:schemeClr w14:val="tx1"/>
                  </w14:solidFill>
                </w14:textFill>
              </w:rPr>
              <w:t>20.8</w:t>
            </w:r>
            <w:r>
              <w:rPr>
                <w:rFonts w:hint="default" w:ascii="Times New Roman" w:hAnsi="Times New Roman" w:cs="Times New Roman"/>
                <w:bCs/>
                <w:color w:val="000000" w:themeColor="text1"/>
                <w:sz w:val="24"/>
                <w:szCs w:val="24"/>
                <w14:textFill>
                  <w14:solidFill>
                    <w14:schemeClr w14:val="tx1"/>
                  </w14:solidFill>
                </w14:textFill>
              </w:rPr>
              <w:t>m高排气筒排放。</w:t>
            </w:r>
          </w:p>
          <w:p w14:paraId="7F888ED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（2）产污环节：</w:t>
            </w:r>
          </w:p>
          <w:p w14:paraId="17A6D80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燃气锅炉风机及相应辅助设备等运行时产生的设备噪声；天然气燃烧产生的锅炉废气；锅炉运行过程产生定期外排水和软化尾水；软水制备过程产生废离子交换树脂。</w:t>
            </w:r>
          </w:p>
          <w:p w14:paraId="18A7F21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表2-</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default" w:ascii="Times New Roman" w:hAnsi="Times New Roman" w:cs="Times New Roman"/>
                <w:bCs/>
                <w:color w:val="000000" w:themeColor="text1"/>
                <w:szCs w:val="21"/>
                <w14:textFill>
                  <w14:solidFill>
                    <w14:schemeClr w14:val="tx1"/>
                  </w14:solidFill>
                </w14:textFill>
              </w:rPr>
              <w:t xml:space="preserve"> 本项目运营期产污汇总一览表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6"/>
              <w:gridCol w:w="1093"/>
              <w:gridCol w:w="1755"/>
              <w:gridCol w:w="3081"/>
              <w:gridCol w:w="1314"/>
            </w:tblGrid>
            <w:tr w14:paraId="3DD6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noWrap w:val="0"/>
                  <w:vAlign w:val="center"/>
                </w:tcPr>
                <w:p w14:paraId="36969B04">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时段</w:t>
                  </w:r>
                </w:p>
              </w:tc>
              <w:tc>
                <w:tcPr>
                  <w:tcW w:w="550" w:type="pct"/>
                  <w:noWrap w:val="0"/>
                  <w:vAlign w:val="center"/>
                </w:tcPr>
                <w:p w14:paraId="440C89C5">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类别</w:t>
                  </w:r>
                </w:p>
              </w:tc>
              <w:tc>
                <w:tcPr>
                  <w:tcW w:w="641" w:type="pct"/>
                  <w:noWrap w:val="0"/>
                  <w:vAlign w:val="center"/>
                </w:tcPr>
                <w:p w14:paraId="6E35FC34">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产排污环节</w:t>
                  </w:r>
                </w:p>
              </w:tc>
              <w:tc>
                <w:tcPr>
                  <w:tcW w:w="1026" w:type="pct"/>
                  <w:noWrap w:val="0"/>
                  <w:vAlign w:val="center"/>
                </w:tcPr>
                <w:p w14:paraId="219BECA9">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污染源名称</w:t>
                  </w:r>
                </w:p>
              </w:tc>
              <w:tc>
                <w:tcPr>
                  <w:tcW w:w="1796" w:type="pct"/>
                  <w:noWrap w:val="0"/>
                  <w:vAlign w:val="center"/>
                </w:tcPr>
                <w:p w14:paraId="77C2BAD7">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污染物种类</w:t>
                  </w:r>
                </w:p>
              </w:tc>
              <w:tc>
                <w:tcPr>
                  <w:tcW w:w="769" w:type="pct"/>
                  <w:noWrap w:val="0"/>
                  <w:vAlign w:val="center"/>
                </w:tcPr>
                <w:p w14:paraId="6FAA7313">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排放规律</w:t>
                  </w:r>
                </w:p>
              </w:tc>
            </w:tr>
            <w:tr w14:paraId="3937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restart"/>
                  <w:noWrap w:val="0"/>
                  <w:vAlign w:val="center"/>
                </w:tcPr>
                <w:p w14:paraId="19BB464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运营期</w:t>
                  </w:r>
                </w:p>
              </w:tc>
              <w:tc>
                <w:tcPr>
                  <w:tcW w:w="550" w:type="pct"/>
                  <w:noWrap w:val="0"/>
                  <w:vAlign w:val="center"/>
                </w:tcPr>
                <w:p w14:paraId="6166B5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w:t>
                  </w:r>
                </w:p>
              </w:tc>
              <w:tc>
                <w:tcPr>
                  <w:tcW w:w="641" w:type="pct"/>
                  <w:noWrap w:val="0"/>
                  <w:vAlign w:val="center"/>
                </w:tcPr>
                <w:p w14:paraId="026B4F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锅炉燃烧</w:t>
                  </w:r>
                </w:p>
              </w:tc>
              <w:tc>
                <w:tcPr>
                  <w:tcW w:w="1026" w:type="pct"/>
                  <w:noWrap w:val="0"/>
                  <w:vAlign w:val="center"/>
                </w:tcPr>
                <w:p w14:paraId="469491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天然气燃烧废气</w:t>
                  </w:r>
                </w:p>
              </w:tc>
              <w:tc>
                <w:tcPr>
                  <w:tcW w:w="1796" w:type="pct"/>
                  <w:noWrap w:val="0"/>
                  <w:vAlign w:val="center"/>
                </w:tcPr>
                <w:p w14:paraId="6063E27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颗粒物、氮氧化物</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二氧化硫</w:t>
                  </w:r>
                </w:p>
              </w:tc>
              <w:tc>
                <w:tcPr>
                  <w:tcW w:w="769" w:type="pct"/>
                  <w:noWrap w:val="0"/>
                  <w:vAlign w:val="center"/>
                </w:tcPr>
                <w:p w14:paraId="0BA63E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间断排放</w:t>
                  </w:r>
                </w:p>
              </w:tc>
            </w:tr>
            <w:tr w14:paraId="6DC2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4AC5E5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50" w:type="pct"/>
                  <w:vMerge w:val="restart"/>
                  <w:noWrap w:val="0"/>
                  <w:vAlign w:val="center"/>
                </w:tcPr>
                <w:p w14:paraId="0D375D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641" w:type="pct"/>
                  <w:noWrap w:val="0"/>
                  <w:vAlign w:val="center"/>
                </w:tcPr>
                <w:p w14:paraId="30414104">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锅炉供</w:t>
                  </w:r>
                  <w:r>
                    <w:rPr>
                      <w:rFonts w:hint="default" w:ascii="Times New Roman" w:hAnsi="Times New Roman" w:cs="Times New Roman"/>
                      <w:color w:val="000000" w:themeColor="text1"/>
                      <w:szCs w:val="21"/>
                      <w:lang w:val="en-US" w:eastAsia="zh-Hans"/>
                      <w14:textFill>
                        <w14:solidFill>
                          <w14:schemeClr w14:val="tx1"/>
                        </w14:solidFill>
                      </w14:textFill>
                    </w:rPr>
                    <w:t>汽</w:t>
                  </w:r>
                </w:p>
              </w:tc>
              <w:tc>
                <w:tcPr>
                  <w:tcW w:w="1026" w:type="pct"/>
                  <w:noWrap w:val="0"/>
                  <w:vAlign w:val="center"/>
                </w:tcPr>
                <w:p w14:paraId="439C0D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w:t>
                  </w:r>
                  <w:r>
                    <w:rPr>
                      <w:rFonts w:hint="eastAsia" w:ascii="Times New Roman" w:hAnsi="Times New Roman" w:cs="Times New Roman"/>
                      <w:color w:val="000000" w:themeColor="text1"/>
                      <w:szCs w:val="21"/>
                      <w:lang w:val="en-US" w:eastAsia="zh-CN"/>
                      <w14:textFill>
                        <w14:solidFill>
                          <w14:schemeClr w14:val="tx1"/>
                        </w14:solidFill>
                      </w14:textFill>
                    </w:rPr>
                    <w:t>排污水</w:t>
                  </w:r>
                </w:p>
              </w:tc>
              <w:tc>
                <w:tcPr>
                  <w:tcW w:w="1796" w:type="pct"/>
                  <w:vMerge w:val="restart"/>
                  <w:noWrap w:val="0"/>
                  <w:vAlign w:val="center"/>
                </w:tcPr>
                <w:p w14:paraId="6848DC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r>
                    <w:rPr>
                      <w:rFonts w:hint="default" w:ascii="Times New Roman" w:hAnsi="Times New Roman" w:cs="Times New Roman"/>
                      <w:color w:val="000000" w:themeColor="text1"/>
                      <w:kern w:val="0"/>
                      <w:szCs w:val="21"/>
                      <w14:textFill>
                        <w14:solidFill>
                          <w14:schemeClr w14:val="tx1"/>
                        </w14:solidFill>
                      </w14:textFill>
                    </w:rPr>
                    <w:t>COD</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SS</w:t>
                  </w:r>
                  <w:r>
                    <w:rPr>
                      <w:rFonts w:hint="default" w:ascii="Times New Roman" w:hAnsi="Times New Roman" w:cs="Times New Roman"/>
                      <w:color w:val="000000" w:themeColor="text1"/>
                      <w:szCs w:val="21"/>
                      <w14:textFill>
                        <w14:solidFill>
                          <w14:schemeClr w14:val="tx1"/>
                        </w14:solidFill>
                      </w14:textFill>
                    </w:rPr>
                    <w:t>等</w:t>
                  </w:r>
                </w:p>
              </w:tc>
              <w:tc>
                <w:tcPr>
                  <w:tcW w:w="769" w:type="pct"/>
                  <w:noWrap w:val="0"/>
                  <w:vAlign w:val="center"/>
                </w:tcPr>
                <w:p w14:paraId="4A8113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间断排放</w:t>
                  </w:r>
                </w:p>
              </w:tc>
            </w:tr>
            <w:tr w14:paraId="700B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2D9824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50" w:type="pct"/>
                  <w:vMerge w:val="continue"/>
                  <w:noWrap w:val="0"/>
                  <w:vAlign w:val="center"/>
                </w:tcPr>
                <w:p w14:paraId="79E87A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641" w:type="pct"/>
                  <w:noWrap w:val="0"/>
                  <w:vAlign w:val="center"/>
                </w:tcPr>
                <w:p w14:paraId="72AD5B1E">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软水制备</w:t>
                  </w:r>
                </w:p>
              </w:tc>
              <w:tc>
                <w:tcPr>
                  <w:tcW w:w="1026" w:type="pct"/>
                  <w:noWrap w:val="0"/>
                  <w:vAlign w:val="center"/>
                </w:tcPr>
                <w:p w14:paraId="3E53FC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高浓度废水</w:t>
                  </w:r>
                </w:p>
              </w:tc>
              <w:tc>
                <w:tcPr>
                  <w:tcW w:w="1796" w:type="pct"/>
                  <w:vMerge w:val="continue"/>
                  <w:noWrap w:val="0"/>
                  <w:vAlign w:val="center"/>
                </w:tcPr>
                <w:p w14:paraId="68749A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769" w:type="pct"/>
                  <w:noWrap w:val="0"/>
                  <w:vAlign w:val="center"/>
                </w:tcPr>
                <w:p w14:paraId="047760E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连续排放</w:t>
                  </w:r>
                </w:p>
              </w:tc>
            </w:tr>
            <w:tr w14:paraId="450F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376274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50" w:type="pct"/>
                  <w:vMerge w:val="restart"/>
                  <w:noWrap w:val="0"/>
                  <w:vAlign w:val="center"/>
                </w:tcPr>
                <w:p w14:paraId="149D68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641" w:type="pct"/>
                  <w:noWrap w:val="0"/>
                  <w:vAlign w:val="center"/>
                </w:tcPr>
                <w:p w14:paraId="3DBE28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锅炉燃烧</w:t>
                  </w:r>
                </w:p>
              </w:tc>
              <w:tc>
                <w:tcPr>
                  <w:tcW w:w="1026" w:type="pct"/>
                  <w:noWrap w:val="0"/>
                  <w:vAlign w:val="center"/>
                </w:tcPr>
                <w:p w14:paraId="113119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配套鼓风机</w:t>
                  </w:r>
                </w:p>
              </w:tc>
              <w:tc>
                <w:tcPr>
                  <w:tcW w:w="1796" w:type="pct"/>
                  <w:noWrap w:val="0"/>
                  <w:vAlign w:val="center"/>
                </w:tcPr>
                <w:p w14:paraId="36C79D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等效A声级</w:t>
                  </w:r>
                </w:p>
              </w:tc>
              <w:tc>
                <w:tcPr>
                  <w:tcW w:w="769" w:type="pct"/>
                  <w:noWrap w:val="0"/>
                  <w:vAlign w:val="center"/>
                </w:tcPr>
                <w:p w14:paraId="3AC727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连续、室内</w:t>
                  </w:r>
                </w:p>
              </w:tc>
            </w:tr>
            <w:tr w14:paraId="4207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74456A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50" w:type="pct"/>
                  <w:vMerge w:val="continue"/>
                  <w:noWrap w:val="0"/>
                  <w:vAlign w:val="center"/>
                </w:tcPr>
                <w:p w14:paraId="28974A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641" w:type="pct"/>
                  <w:noWrap w:val="0"/>
                  <w:vAlign w:val="center"/>
                </w:tcPr>
                <w:p w14:paraId="2A8B24E2">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锅炉供热</w:t>
                  </w:r>
                </w:p>
              </w:tc>
              <w:tc>
                <w:tcPr>
                  <w:tcW w:w="1026" w:type="pct"/>
                  <w:noWrap w:val="0"/>
                  <w:vAlign w:val="center"/>
                </w:tcPr>
                <w:p w14:paraId="124C9C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w:t>
                  </w:r>
                  <w:r>
                    <w:rPr>
                      <w:rFonts w:hint="default" w:ascii="Times New Roman" w:hAnsi="Times New Roman" w:cs="Times New Roman"/>
                      <w:color w:val="000000" w:themeColor="text1"/>
                      <w:lang w:val="en-US" w:eastAsia="zh-Hans"/>
                      <w14:textFill>
                        <w14:solidFill>
                          <w14:schemeClr w14:val="tx1"/>
                        </w14:solidFill>
                      </w14:textFill>
                    </w:rPr>
                    <w:t>汽</w:t>
                  </w:r>
                  <w:r>
                    <w:rPr>
                      <w:rFonts w:hint="default" w:ascii="Times New Roman" w:hAnsi="Times New Roman" w:cs="Times New Roman"/>
                      <w:color w:val="000000" w:themeColor="text1"/>
                      <w14:textFill>
                        <w14:solidFill>
                          <w14:schemeClr w14:val="tx1"/>
                        </w14:solidFill>
                      </w14:textFill>
                    </w:rPr>
                    <w:t>循环水泵</w:t>
                  </w:r>
                </w:p>
              </w:tc>
              <w:tc>
                <w:tcPr>
                  <w:tcW w:w="1796" w:type="pct"/>
                  <w:noWrap w:val="0"/>
                  <w:vAlign w:val="center"/>
                </w:tcPr>
                <w:p w14:paraId="02A841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等效A声级</w:t>
                  </w:r>
                </w:p>
              </w:tc>
              <w:tc>
                <w:tcPr>
                  <w:tcW w:w="769" w:type="pct"/>
                  <w:noWrap w:val="0"/>
                  <w:vAlign w:val="center"/>
                </w:tcPr>
                <w:p w14:paraId="35474F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连续、室内</w:t>
                  </w:r>
                </w:p>
              </w:tc>
            </w:tr>
            <w:tr w14:paraId="29CE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305D45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550" w:type="pct"/>
                  <w:vMerge w:val="continue"/>
                  <w:noWrap w:val="0"/>
                  <w:vAlign w:val="center"/>
                </w:tcPr>
                <w:p w14:paraId="5A3386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641" w:type="pct"/>
                  <w:noWrap w:val="0"/>
                  <w:vAlign w:val="center"/>
                </w:tcPr>
                <w:p w14:paraId="5038BC77">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软水制备</w:t>
                  </w:r>
                </w:p>
              </w:tc>
              <w:tc>
                <w:tcPr>
                  <w:tcW w:w="1026" w:type="pct"/>
                  <w:noWrap w:val="0"/>
                  <w:vAlign w:val="center"/>
                </w:tcPr>
                <w:p w14:paraId="088BFB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水泵</w:t>
                  </w:r>
                </w:p>
              </w:tc>
              <w:tc>
                <w:tcPr>
                  <w:tcW w:w="1796" w:type="pct"/>
                  <w:noWrap w:val="0"/>
                  <w:vAlign w:val="center"/>
                </w:tcPr>
                <w:p w14:paraId="480FF6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等效A声级</w:t>
                  </w:r>
                </w:p>
              </w:tc>
              <w:tc>
                <w:tcPr>
                  <w:tcW w:w="769" w:type="pct"/>
                  <w:noWrap w:val="0"/>
                  <w:vAlign w:val="center"/>
                </w:tcPr>
                <w:p w14:paraId="3AE87F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连续、室内</w:t>
                  </w:r>
                </w:p>
              </w:tc>
            </w:tr>
            <w:tr w14:paraId="2CE8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 w:type="pct"/>
                  <w:vMerge w:val="continue"/>
                  <w:noWrap w:val="0"/>
                  <w:vAlign w:val="center"/>
                </w:tcPr>
                <w:p w14:paraId="488BAA6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Cs w:val="21"/>
                      <w:lang w:val="en-US" w:eastAsia="zh-CN"/>
                      <w14:textFill>
                        <w14:solidFill>
                          <w14:schemeClr w14:val="tx1"/>
                        </w14:solidFill>
                      </w14:textFill>
                    </w:rPr>
                  </w:pPr>
                </w:p>
              </w:tc>
              <w:tc>
                <w:tcPr>
                  <w:tcW w:w="550" w:type="pct"/>
                  <w:noWrap w:val="0"/>
                  <w:vAlign w:val="center"/>
                </w:tcPr>
                <w:p w14:paraId="5DD8F1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固废</w:t>
                  </w:r>
                </w:p>
              </w:tc>
              <w:tc>
                <w:tcPr>
                  <w:tcW w:w="641" w:type="pct"/>
                  <w:noWrap w:val="0"/>
                  <w:vAlign w:val="center"/>
                </w:tcPr>
                <w:p w14:paraId="796C7364">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软水制备</w:t>
                  </w:r>
                </w:p>
              </w:tc>
              <w:tc>
                <w:tcPr>
                  <w:tcW w:w="1026" w:type="pct"/>
                  <w:noWrap w:val="0"/>
                  <w:vAlign w:val="center"/>
                </w:tcPr>
                <w:p w14:paraId="1F04EA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废离子交换树脂</w:t>
                  </w:r>
                </w:p>
              </w:tc>
              <w:tc>
                <w:tcPr>
                  <w:tcW w:w="1796" w:type="pct"/>
                  <w:noWrap w:val="0"/>
                  <w:vAlign w:val="center"/>
                </w:tcPr>
                <w:p w14:paraId="6DE733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769" w:type="pct"/>
                  <w:noWrap w:val="0"/>
                  <w:vAlign w:val="center"/>
                </w:tcPr>
                <w:p w14:paraId="56B7A5E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r>
          </w:tbl>
          <w:p w14:paraId="7522D8F5">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Cs/>
                <w:color w:val="000000" w:themeColor="text1"/>
                <w:szCs w:val="21"/>
                <w14:textFill>
                  <w14:solidFill>
                    <w14:schemeClr w14:val="tx1"/>
                  </w14:solidFill>
                </w14:textFill>
              </w:rPr>
            </w:pPr>
          </w:p>
        </w:tc>
      </w:tr>
      <w:tr w14:paraId="29A35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0" w:hRule="atLeast"/>
          <w:jc w:val="center"/>
        </w:trPr>
        <w:tc>
          <w:tcPr>
            <w:tcW w:w="879" w:type="dxa"/>
            <w:gridSpan w:val="2"/>
            <w:noWrap w:val="0"/>
            <w:vAlign w:val="center"/>
          </w:tcPr>
          <w:p w14:paraId="1487BA4C">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2"/>
                <w:sz w:val="24"/>
                <w:szCs w:val="24"/>
                <w14:textFill>
                  <w14:solidFill>
                    <w14:schemeClr w14:val="tx1"/>
                  </w14:solidFill>
                </w14:textFill>
              </w:rPr>
              <w:t>与项目有关的原有环境污染问题</w:t>
            </w:r>
          </w:p>
        </w:tc>
        <w:tc>
          <w:tcPr>
            <w:tcW w:w="8409" w:type="dxa"/>
            <w:noWrap w:val="0"/>
            <w:vAlign w:val="center"/>
          </w:tcPr>
          <w:p w14:paraId="4E1B5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p>
          <w:p w14:paraId="68412AE2">
            <w:pPr>
              <w:pStyle w:val="5"/>
              <w:suppressLineNumbers w:val="0"/>
              <w:spacing w:beforeAutospacing="0" w:afterAutospacing="0"/>
              <w:ind w:left="0" w:right="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w:t>
            </w:r>
          </w:p>
        </w:tc>
      </w:tr>
    </w:tbl>
    <w:p w14:paraId="20B3D77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3" w:name="_Toc75955704"/>
      <w:r>
        <w:rPr>
          <w:rFonts w:hint="default" w:ascii="Times New Roman" w:hAnsi="宋体" w:eastAsia="宋体"/>
          <w:b/>
          <w:bCs/>
          <w:snapToGrid w:val="0"/>
          <w:color w:val="000000" w:themeColor="text1"/>
          <w:sz w:val="30"/>
          <w:szCs w:val="30"/>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三、区域环境质量现状、环境保护目标及评价标准</w:t>
      </w:r>
      <w:bookmarkEnd w:id="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0A499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47A692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区域</w:t>
            </w:r>
          </w:p>
          <w:p w14:paraId="4DBD01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环境</w:t>
            </w:r>
          </w:p>
          <w:p w14:paraId="684D65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质量</w:t>
            </w:r>
          </w:p>
          <w:p w14:paraId="76F830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现状</w:t>
            </w:r>
          </w:p>
        </w:tc>
        <w:tc>
          <w:tcPr>
            <w:tcW w:w="8190" w:type="dxa"/>
            <w:noWrap w:val="0"/>
            <w:vAlign w:val="center"/>
          </w:tcPr>
          <w:p w14:paraId="0A351BE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1、环境空气质量现状</w:t>
            </w:r>
          </w:p>
          <w:p w14:paraId="3481983B">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Hans"/>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GB2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⑴</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Hans"/>
                <w14:textFill>
                  <w14:solidFill>
                    <w14:schemeClr w14:val="tx1"/>
                  </w14:solidFill>
                </w14:textFill>
              </w:rPr>
              <w:t>常规污染物</w:t>
            </w:r>
          </w:p>
          <w:p w14:paraId="362D5CDA">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根据大气功能区划分，项目所在地为二类功能区。根据工程特点和区域地形地貌特征，按照《建设项目环境影响报告表编制技术指南》（污染影响类）的规定</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“常规污染物引用与建设项目距离近的有效数据，包括近3年的规划环境影响评价的监测数据，国家、地方环境空气质量监测网数据或生态环境主管部门公开发布的质量数据等”。项目常规污染物SO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default" w:ascii="Times New Roman" w:hAnsi="Times New Roman" w:cs="Times New Roman"/>
                <w:color w:val="000000" w:themeColor="text1"/>
                <w:sz w:val="24"/>
                <w:szCs w:val="24"/>
                <w14:textFill>
                  <w14:solidFill>
                    <w14:schemeClr w14:val="tx1"/>
                  </w14:solidFill>
                </w14:textFill>
              </w:rPr>
              <w:t>、CO和O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监测数据引用宝鸡市生态环境局发布的《202</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年宝鸡市环境质量公报》中</w:t>
            </w:r>
            <w:r>
              <w:rPr>
                <w:rFonts w:hint="eastAsia" w:ascii="Times New Roman" w:hAnsi="Times New Roman" w:cs="Times New Roman"/>
                <w:color w:val="000000" w:themeColor="text1"/>
                <w:sz w:val="24"/>
                <w:szCs w:val="24"/>
                <w:lang w:val="en-US" w:eastAsia="zh-CN"/>
                <w14:textFill>
                  <w14:solidFill>
                    <w14:schemeClr w14:val="tx1"/>
                  </w14:solidFill>
                </w14:textFill>
              </w:rPr>
              <w:t>凤翔区</w:t>
            </w:r>
            <w:r>
              <w:rPr>
                <w:rFonts w:hint="default" w:ascii="Times New Roman" w:hAnsi="Times New Roman" w:cs="Times New Roman"/>
                <w:color w:val="000000" w:themeColor="text1"/>
                <w:sz w:val="24"/>
                <w:szCs w:val="24"/>
                <w14:textFill>
                  <w14:solidFill>
                    <w14:schemeClr w14:val="tx1"/>
                  </w14:solidFill>
                </w14:textFill>
              </w:rPr>
              <w:t>空气质量统计表，具体见下表。</w:t>
            </w:r>
          </w:p>
          <w:p w14:paraId="3E4DA15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vertAlign w:val="super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表3-1项目</w:t>
            </w:r>
            <w:r>
              <w:rPr>
                <w:rFonts w:hint="eastAsia" w:ascii="Times New Roman" w:hAnsi="Times New Roman" w:cs="Times New Roman"/>
                <w:color w:val="000000" w:themeColor="text1"/>
                <w:szCs w:val="21"/>
                <w:lang w:val="en-US" w:eastAsia="zh-CN"/>
                <w14:textFill>
                  <w14:solidFill>
                    <w14:schemeClr w14:val="tx1"/>
                  </w14:solidFill>
                </w14:textFill>
              </w:rPr>
              <w:t>区域</w:t>
            </w:r>
            <w:r>
              <w:rPr>
                <w:rFonts w:hint="default" w:ascii="Times New Roman" w:hAnsi="Times New Roman" w:cs="Times New Roman"/>
                <w:color w:val="000000" w:themeColor="text1"/>
                <w:szCs w:val="21"/>
                <w14:textFill>
                  <w14:solidFill>
                    <w14:schemeClr w14:val="tx1"/>
                  </w14:solidFill>
                </w14:textFill>
              </w:rPr>
              <w:t xml:space="preserve">常规污染物监测结果统计表 </w:t>
            </w:r>
            <w:r>
              <w:rPr>
                <w:rFonts w:hint="default" w:ascii="Times New Roman" w:hAnsi="Times New Roman" w:cs="Times New Roman"/>
                <w:bCs/>
                <w:color w:val="000000" w:themeColor="text1"/>
                <w:szCs w:val="21"/>
                <w14:textFill>
                  <w14:solidFill>
                    <w14:schemeClr w14:val="tx1"/>
                  </w14:solidFill>
                </w14:textFill>
              </w:rPr>
              <w:t>单位：</w:t>
            </w:r>
            <w:r>
              <w:rPr>
                <w:rFonts w:hint="eastAsia" w:ascii="Times New Roman" w:hAnsi="Times New Roman" w:cs="Times New Roman"/>
                <w:bCs/>
                <w:color w:val="000000" w:themeColor="text1"/>
                <w:szCs w:val="21"/>
                <w:lang w:eastAsia="zh-CN"/>
                <w14:textFill>
                  <w14:solidFill>
                    <w14:schemeClr w14:val="tx1"/>
                  </w14:solidFill>
                </w14:textFill>
              </w:rPr>
              <w:t>μg/m3</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975"/>
              <w:gridCol w:w="1085"/>
              <w:gridCol w:w="1064"/>
              <w:gridCol w:w="1019"/>
              <w:gridCol w:w="1210"/>
              <w:gridCol w:w="1187"/>
            </w:tblGrid>
            <w:tr w14:paraId="3C72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3523FE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县区名称</w:t>
                  </w:r>
                </w:p>
              </w:tc>
              <w:tc>
                <w:tcPr>
                  <w:tcW w:w="623" w:type="pct"/>
                  <w:noWrap w:val="0"/>
                  <w:vAlign w:val="center"/>
                </w:tcPr>
                <w:p w14:paraId="4108B981">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92" w:type="pct"/>
                  <w:noWrap w:val="0"/>
                  <w:vAlign w:val="center"/>
                </w:tcPr>
                <w:p w14:paraId="2BD9DA55">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78" w:type="pct"/>
                  <w:noWrap w:val="0"/>
                  <w:vAlign w:val="center"/>
                </w:tcPr>
                <w:p w14:paraId="23EC27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650" w:type="pct"/>
                  <w:noWrap w:val="0"/>
                  <w:vAlign w:val="center"/>
                </w:tcPr>
                <w:p w14:paraId="1C01689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均值</w:t>
                  </w:r>
                </w:p>
              </w:tc>
              <w:tc>
                <w:tcPr>
                  <w:tcW w:w="770" w:type="pct"/>
                  <w:noWrap w:val="0"/>
                  <w:vAlign w:val="center"/>
                </w:tcPr>
                <w:p w14:paraId="27826682">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CO第95百分位浓度</w:t>
                  </w:r>
                </w:p>
              </w:tc>
              <w:tc>
                <w:tcPr>
                  <w:tcW w:w="755" w:type="pct"/>
                  <w:noWrap w:val="0"/>
                  <w:vAlign w:val="center"/>
                </w:tcPr>
                <w:p w14:paraId="4618CF04">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第90百分位浓度</w:t>
                  </w:r>
                </w:p>
              </w:tc>
            </w:tr>
            <w:tr w14:paraId="084C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77AA823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凤翔区</w:t>
                  </w:r>
                </w:p>
              </w:tc>
              <w:tc>
                <w:tcPr>
                  <w:tcW w:w="993" w:type="dxa"/>
                  <w:noWrap w:val="0"/>
                  <w:vAlign w:val="center"/>
                </w:tcPr>
                <w:p w14:paraId="6C74238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102" w:type="dxa"/>
                  <w:noWrap w:val="0"/>
                  <w:vAlign w:val="center"/>
                </w:tcPr>
                <w:p w14:paraId="2D89549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1080" w:type="dxa"/>
                  <w:noWrap w:val="0"/>
                  <w:vAlign w:val="center"/>
                </w:tcPr>
                <w:p w14:paraId="0F645A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036" w:type="dxa"/>
                  <w:noWrap w:val="0"/>
                  <w:vAlign w:val="center"/>
                </w:tcPr>
                <w:p w14:paraId="693E4E0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227" w:type="dxa"/>
                  <w:noWrap w:val="0"/>
                  <w:vAlign w:val="center"/>
                </w:tcPr>
                <w:p w14:paraId="767568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202" w:type="dxa"/>
                  <w:noWrap w:val="0"/>
                  <w:vAlign w:val="center"/>
                </w:tcPr>
                <w:p w14:paraId="34AE771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140</w:t>
                  </w:r>
                </w:p>
              </w:tc>
            </w:tr>
            <w:tr w14:paraId="0DE0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06654B3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GB3095-2012二级标准</w:t>
                  </w:r>
                </w:p>
              </w:tc>
              <w:tc>
                <w:tcPr>
                  <w:tcW w:w="993" w:type="dxa"/>
                  <w:noWrap w:val="0"/>
                  <w:vAlign w:val="center"/>
                </w:tcPr>
                <w:p w14:paraId="38E3C1F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1102" w:type="dxa"/>
                  <w:noWrap w:val="0"/>
                  <w:vAlign w:val="center"/>
                </w:tcPr>
                <w:p w14:paraId="07ECD7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1080" w:type="dxa"/>
                  <w:noWrap w:val="0"/>
                  <w:vAlign w:val="center"/>
                </w:tcPr>
                <w:p w14:paraId="6EF236E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036" w:type="dxa"/>
                  <w:noWrap w:val="0"/>
                  <w:vAlign w:val="center"/>
                </w:tcPr>
                <w:p w14:paraId="119BC15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1227" w:type="dxa"/>
                  <w:noWrap w:val="0"/>
                  <w:vAlign w:val="center"/>
                </w:tcPr>
                <w:p w14:paraId="7E0DBB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202" w:type="dxa"/>
                  <w:noWrap w:val="0"/>
                  <w:vAlign w:val="center"/>
                </w:tcPr>
                <w:p w14:paraId="750CDC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160</w:t>
                  </w:r>
                </w:p>
              </w:tc>
            </w:tr>
            <w:tr w14:paraId="5C0F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8" w:type="pct"/>
                  <w:noWrap w:val="0"/>
                  <w:vAlign w:val="center"/>
                </w:tcPr>
                <w:p w14:paraId="2AEEAF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tc>
              <w:tc>
                <w:tcPr>
                  <w:tcW w:w="993" w:type="dxa"/>
                  <w:noWrap w:val="0"/>
                  <w:vAlign w:val="center"/>
                </w:tcPr>
                <w:p w14:paraId="31EB82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85.71 </w:t>
                  </w:r>
                </w:p>
              </w:tc>
              <w:tc>
                <w:tcPr>
                  <w:tcW w:w="1102" w:type="dxa"/>
                  <w:noWrap w:val="0"/>
                  <w:vAlign w:val="center"/>
                </w:tcPr>
                <w:p w14:paraId="0A98F1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100.00 </w:t>
                  </w:r>
                </w:p>
              </w:tc>
              <w:tc>
                <w:tcPr>
                  <w:tcW w:w="1080" w:type="dxa"/>
                  <w:noWrap w:val="0"/>
                  <w:vAlign w:val="center"/>
                </w:tcPr>
                <w:p w14:paraId="20F75D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11.67 </w:t>
                  </w:r>
                </w:p>
              </w:tc>
              <w:tc>
                <w:tcPr>
                  <w:tcW w:w="1036" w:type="dxa"/>
                  <w:noWrap w:val="0"/>
                  <w:vAlign w:val="center"/>
                </w:tcPr>
                <w:p w14:paraId="7B3BE2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42.50 </w:t>
                  </w:r>
                </w:p>
              </w:tc>
              <w:tc>
                <w:tcPr>
                  <w:tcW w:w="1227" w:type="dxa"/>
                  <w:noWrap w:val="0"/>
                  <w:vAlign w:val="center"/>
                </w:tcPr>
                <w:p w14:paraId="253764F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27.50 </w:t>
                  </w:r>
                </w:p>
              </w:tc>
              <w:tc>
                <w:tcPr>
                  <w:tcW w:w="1202" w:type="dxa"/>
                  <w:noWrap w:val="0"/>
                  <w:vAlign w:val="center"/>
                </w:tcPr>
                <w:p w14:paraId="02A80A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87.50 </w:t>
                  </w:r>
                </w:p>
              </w:tc>
            </w:tr>
          </w:tbl>
          <w:p w14:paraId="5F0B4C9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由上表可知，项目所在地环境空气中</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年平均质量浓度、CO第95百分位数日平均质量浓度、O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第90百分位数日最大8小时平均质量浓度均可达到《环境空气质量标准》（GB3095-2012）及其修改单中二级标准要求，因此</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项目所在区域为达标区域</w:t>
            </w:r>
            <w:r>
              <w:rPr>
                <w:rFonts w:hint="default" w:ascii="Times New Roman" w:hAnsi="Times New Roman" w:cs="Times New Roman"/>
                <w:color w:val="000000" w:themeColor="text1"/>
                <w:kern w:val="0"/>
                <w:sz w:val="24"/>
                <w:szCs w:val="24"/>
                <w14:textFill>
                  <w14:solidFill>
                    <w14:schemeClr w14:val="tx1"/>
                  </w14:solidFill>
                </w14:textFill>
              </w:rPr>
              <w:t>。</w:t>
            </w:r>
          </w:p>
          <w:p w14:paraId="78E8EA1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⑵</w:t>
            </w:r>
            <w:r>
              <w:rPr>
                <w:rFonts w:hint="default" w:ascii="Times New Roman" w:hAnsi="Times New Roman" w:cs="Times New Roman"/>
                <w:bCs/>
                <w:color w:val="000000" w:themeColor="text1"/>
                <w:sz w:val="24"/>
                <w:szCs w:val="24"/>
                <w:lang w:val="en-US" w:eastAsia="zh-Hans"/>
                <w14:textFill>
                  <w14:solidFill>
                    <w14:schemeClr w14:val="tx1"/>
                  </w14:solidFill>
                </w14:textFill>
              </w:rPr>
              <w:t>其他</w:t>
            </w:r>
            <w:r>
              <w:rPr>
                <w:rFonts w:hint="default" w:ascii="Times New Roman" w:hAnsi="Times New Roman" w:cs="Times New Roman"/>
                <w:bCs/>
                <w:color w:val="000000" w:themeColor="text1"/>
                <w:sz w:val="24"/>
                <w:szCs w:val="24"/>
                <w14:textFill>
                  <w14:solidFill>
                    <w14:schemeClr w14:val="tx1"/>
                  </w14:solidFill>
                </w14:textFill>
              </w:rPr>
              <w:t>污染物</w:t>
            </w:r>
          </w:p>
          <w:p w14:paraId="37D3C65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为了解项目所在地区环境空气中特征因子TSP、氮氧化物现状，引用《陕西西凤酒基酒生产有限公司西凤酒10万吨优质基酒及配套生产项目环境影响报告</w:t>
            </w:r>
            <w:r>
              <w:rPr>
                <w:rFonts w:hint="eastAsia" w:ascii="Times New Roman" w:hAnsi="Times New Roman" w:cs="Times New Roman"/>
                <w:color w:val="000000" w:themeColor="text1"/>
                <w:sz w:val="24"/>
                <w:szCs w:val="24"/>
                <w:lang w:val="en-US" w:eastAsia="zh-CN"/>
                <w14:textFill>
                  <w14:solidFill>
                    <w14:schemeClr w14:val="tx1"/>
                  </w14:solidFill>
                </w14:textFill>
              </w:rPr>
              <w:t>书</w:t>
            </w:r>
            <w:r>
              <w:rPr>
                <w:rFonts w:hint="default" w:ascii="Times New Roman" w:hAnsi="Times New Roman" w:cs="Times New Roman"/>
                <w:color w:val="000000" w:themeColor="text1"/>
                <w:sz w:val="24"/>
                <w:szCs w:val="24"/>
                <w14:textFill>
                  <w14:solidFill>
                    <w14:schemeClr w14:val="tx1"/>
                  </w14:solidFill>
                </w14:textFill>
              </w:rPr>
              <w:t>》中大气环境质量现状的监测资料</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监测单位是</w:t>
            </w:r>
            <w:r>
              <w:rPr>
                <w:rFonts w:hint="eastAsia" w:ascii="Times New Roman" w:hAnsi="Times New Roman" w:cs="Times New Roman"/>
                <w:color w:val="000000" w:themeColor="text1"/>
                <w:sz w:val="24"/>
                <w:szCs w:val="24"/>
                <w:lang w:val="en-US" w:eastAsia="zh-CN"/>
                <w14:textFill>
                  <w14:solidFill>
                    <w14:schemeClr w14:val="tx1"/>
                  </w14:solidFill>
                </w14:textFill>
              </w:rPr>
              <w:t>陕西中研华亿环境检测有限公司</w:t>
            </w:r>
            <w:r>
              <w:rPr>
                <w:rFonts w:hint="default" w:ascii="Times New Roman" w:hAnsi="Times New Roman" w:cs="Times New Roman"/>
                <w:color w:val="000000" w:themeColor="text1"/>
                <w:sz w:val="24"/>
                <w:szCs w:val="24"/>
                <w14:textFill>
                  <w14:solidFill>
                    <w14:schemeClr w14:val="tx1"/>
                  </w14:solidFill>
                </w14:textFill>
              </w:rPr>
              <w:t>，监测时间2023年</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19日至2023年10月25日</w:t>
            </w:r>
            <w:r>
              <w:rPr>
                <w:rFonts w:hint="default" w:ascii="Times New Roman" w:hAnsi="Times New Roman" w:cs="Times New Roman"/>
                <w:color w:val="000000" w:themeColor="text1"/>
                <w:sz w:val="24"/>
                <w:szCs w:val="24"/>
                <w14:textFill>
                  <w14:solidFill>
                    <w14:schemeClr w14:val="tx1"/>
                  </w14:solidFill>
                </w14:textFill>
              </w:rPr>
              <w:t>，监测点位</w:t>
            </w:r>
            <w:r>
              <w:rPr>
                <w:rFonts w:hint="default" w:ascii="Times New Roman" w:hAnsi="Times New Roman" w:cs="Times New Roman"/>
                <w:b w:val="0"/>
                <w:bCs w:val="0"/>
                <w:color w:val="000000" w:themeColor="text1"/>
                <w:sz w:val="24"/>
                <w:szCs w:val="24"/>
                <w14:textFill>
                  <w14:solidFill>
                    <w14:schemeClr w14:val="tx1"/>
                  </w14:solidFill>
                </w14:textFill>
              </w:rPr>
              <w:t>（韩家庄村）位于项目西侧，相距700m，</w:t>
            </w:r>
            <w:r>
              <w:rPr>
                <w:rFonts w:hint="default" w:ascii="Times New Roman" w:hAnsi="Times New Roman" w:cs="Times New Roman"/>
                <w:color w:val="000000" w:themeColor="text1"/>
                <w:sz w:val="24"/>
                <w:szCs w:val="24"/>
                <w14:textFill>
                  <w14:solidFill>
                    <w14:schemeClr w14:val="tx1"/>
                  </w14:solidFill>
                </w14:textFill>
              </w:rPr>
              <w:t>监测报告详见附件，监测结果如下表。</w:t>
            </w:r>
          </w:p>
          <w:p w14:paraId="48A89C9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vertAlign w:val="superscript"/>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表3-2</w:t>
            </w:r>
            <w:r>
              <w:rPr>
                <w:rFonts w:hint="default" w:ascii="Times New Roman" w:hAnsi="Times New Roman" w:cs="Times New Roman"/>
                <w:bCs/>
                <w:color w:val="000000" w:themeColor="text1"/>
                <w:szCs w:val="21"/>
                <w:lang w:val="en-US" w:eastAsia="zh-Hans"/>
                <w14:textFill>
                  <w14:solidFill>
                    <w14:schemeClr w14:val="tx1"/>
                  </w14:solidFill>
                </w14:textFill>
              </w:rPr>
              <w:t>其他</w:t>
            </w:r>
            <w:r>
              <w:rPr>
                <w:rFonts w:hint="default" w:ascii="Times New Roman" w:hAnsi="Times New Roman" w:cs="Times New Roman"/>
                <w:bCs/>
                <w:color w:val="000000" w:themeColor="text1"/>
                <w:szCs w:val="21"/>
                <w14:textFill>
                  <w14:solidFill>
                    <w14:schemeClr w14:val="tx1"/>
                  </w14:solidFill>
                </w14:textFill>
              </w:rPr>
              <w:t>污染物环境质量现状表</w:t>
            </w:r>
            <w:r>
              <w:rPr>
                <w:rFonts w:hint="default" w:ascii="Times New Roman" w:hAnsi="Times New Roman" w:cs="Times New Roman"/>
                <w:bCs/>
                <w:color w:val="000000" w:themeColor="text1"/>
                <w:szCs w:val="21"/>
                <w:lang w:val="en-US" w:eastAsia="zh-CN"/>
                <w14:textFill>
                  <w14:solidFill>
                    <w14:schemeClr w14:val="tx1"/>
                  </w14:solidFill>
                </w14:textFill>
              </w:rPr>
              <w:t xml:space="preserve">  </w:t>
            </w:r>
            <w:r>
              <w:rPr>
                <w:rFonts w:hint="default" w:ascii="Times New Roman" w:hAnsi="Times New Roman" w:cs="Times New Roman"/>
                <w:bCs/>
                <w:color w:val="000000" w:themeColor="text1"/>
                <w:szCs w:val="21"/>
                <w14:textFill>
                  <w14:solidFill>
                    <w14:schemeClr w14:val="tx1"/>
                  </w14:solidFill>
                </w14:textFill>
              </w:rPr>
              <w:t>单位μg/m</w:t>
            </w:r>
            <w:r>
              <w:rPr>
                <w:rFonts w:hint="default" w:ascii="Times New Roman" w:hAnsi="Times New Roman" w:cs="Times New Roman"/>
                <w:bCs/>
                <w:color w:val="000000" w:themeColor="text1"/>
                <w:szCs w:val="21"/>
                <w:vertAlign w:val="superscript"/>
                <w14:textFill>
                  <w14:solidFill>
                    <w14:schemeClr w14:val="tx1"/>
                  </w14:solidFill>
                </w14:textFill>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44"/>
              <w:gridCol w:w="1686"/>
              <w:gridCol w:w="709"/>
              <w:gridCol w:w="823"/>
              <w:gridCol w:w="948"/>
              <w:gridCol w:w="1124"/>
              <w:gridCol w:w="906"/>
            </w:tblGrid>
            <w:tr w14:paraId="10AF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pct"/>
                  <w:noWrap w:val="0"/>
                  <w:vAlign w:val="center"/>
                </w:tcPr>
                <w:p w14:paraId="7F7E717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监测点位</w:t>
                  </w:r>
                </w:p>
              </w:tc>
              <w:tc>
                <w:tcPr>
                  <w:tcW w:w="404" w:type="pct"/>
                  <w:noWrap w:val="0"/>
                  <w:vAlign w:val="center"/>
                </w:tcPr>
                <w:p w14:paraId="2903656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监测日期</w:t>
                  </w:r>
                </w:p>
              </w:tc>
              <w:tc>
                <w:tcPr>
                  <w:tcW w:w="1058" w:type="pct"/>
                  <w:noWrap w:val="0"/>
                  <w:vAlign w:val="center"/>
                </w:tcPr>
                <w:p w14:paraId="1A247C0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监测时间</w:t>
                  </w:r>
                </w:p>
              </w:tc>
              <w:tc>
                <w:tcPr>
                  <w:tcW w:w="445" w:type="pct"/>
                  <w:noWrap w:val="0"/>
                  <w:vAlign w:val="center"/>
                </w:tcPr>
                <w:p w14:paraId="2C57C45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监测因子</w:t>
                  </w:r>
                </w:p>
              </w:tc>
              <w:tc>
                <w:tcPr>
                  <w:tcW w:w="516" w:type="pct"/>
                  <w:noWrap w:val="0"/>
                  <w:vAlign w:val="center"/>
                </w:tcPr>
                <w:p w14:paraId="3F89B00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监测结果</w:t>
                  </w:r>
                </w:p>
              </w:tc>
              <w:tc>
                <w:tcPr>
                  <w:tcW w:w="595" w:type="pct"/>
                  <w:noWrap w:val="0"/>
                  <w:vAlign w:val="center"/>
                </w:tcPr>
                <w:p w14:paraId="6732C44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kern w:val="2"/>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浓度限值（24h平均）</w:t>
                  </w:r>
                </w:p>
              </w:tc>
              <w:tc>
                <w:tcPr>
                  <w:tcW w:w="705" w:type="pct"/>
                  <w:noWrap w:val="0"/>
                  <w:vAlign w:val="center"/>
                </w:tcPr>
                <w:p w14:paraId="3536242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1h平均浓度</w:t>
                  </w:r>
                </w:p>
              </w:tc>
              <w:tc>
                <w:tcPr>
                  <w:tcW w:w="568" w:type="pct"/>
                  <w:noWrap w:val="0"/>
                  <w:vAlign w:val="center"/>
                </w:tcPr>
                <w:p w14:paraId="7A94C1F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sz w:val="21"/>
                      <w:szCs w:val="21"/>
                      <w:highlight w:val="none"/>
                      <w:vertAlign w:val="baseline"/>
                      <w:lang w:val="en-US" w:eastAsia="zh-CN" w:bidi="zh-CN"/>
                      <w14:textFill>
                        <w14:solidFill>
                          <w14:schemeClr w14:val="tx1"/>
                        </w14:solidFill>
                      </w14:textFill>
                    </w:rPr>
                    <w:t>占标率（%）</w:t>
                  </w:r>
                </w:p>
              </w:tc>
            </w:tr>
            <w:tr w14:paraId="7E58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restart"/>
                  <w:noWrap w:val="0"/>
                  <w:vAlign w:val="center"/>
                </w:tcPr>
                <w:p w14:paraId="2DAAADC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项目所在地环境空气质量现状监测点位</w:t>
                  </w:r>
                  <w:r>
                    <w:rPr>
                      <w:rFonts w:hint="default" w:ascii="Times New Roman" w:hAnsi="Times New Roman"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韩家庄村</w:t>
                  </w:r>
                  <w:r>
                    <w:rPr>
                      <w:rFonts w:hint="default" w:ascii="Times New Roman" w:hAnsi="Times New Roman"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404" w:type="pct"/>
                  <w:vMerge w:val="restart"/>
                  <w:noWrap w:val="0"/>
                  <w:vAlign w:val="center"/>
                </w:tcPr>
                <w:p w14:paraId="5D08959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19</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1B127DA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13515E7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5974947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0.140</w:t>
                  </w:r>
                </w:p>
              </w:tc>
              <w:tc>
                <w:tcPr>
                  <w:tcW w:w="595" w:type="pct"/>
                  <w:noWrap w:val="0"/>
                  <w:vAlign w:val="center"/>
                </w:tcPr>
                <w:p w14:paraId="3F4C5E7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705" w:type="pct"/>
                  <w:noWrap w:val="0"/>
                  <w:vAlign w:val="center"/>
                </w:tcPr>
                <w:p w14:paraId="41964D9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3E85AE3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46.67</w:t>
                  </w:r>
                </w:p>
              </w:tc>
            </w:tr>
            <w:tr w14:paraId="7A27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0703903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5D3C45D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DF49CD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66EC808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1DEE003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0.025</w:t>
                  </w:r>
                </w:p>
              </w:tc>
              <w:tc>
                <w:tcPr>
                  <w:tcW w:w="595" w:type="pct"/>
                  <w:vMerge w:val="restart"/>
                  <w:noWrap w:val="0"/>
                  <w:vAlign w:val="center"/>
                </w:tcPr>
                <w:p w14:paraId="11A5684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705" w:type="pct"/>
                  <w:vMerge w:val="restart"/>
                  <w:noWrap w:val="0"/>
                  <w:vAlign w:val="center"/>
                </w:tcPr>
                <w:p w14:paraId="6B9A36D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75EE62F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w:t>
                  </w:r>
                </w:p>
              </w:tc>
            </w:tr>
            <w:tr w14:paraId="40D9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40BA934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7E85CD1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0077F9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2442892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12FAD7C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0.028</w:t>
                  </w:r>
                </w:p>
              </w:tc>
              <w:tc>
                <w:tcPr>
                  <w:tcW w:w="595" w:type="pct"/>
                  <w:vMerge w:val="continue"/>
                  <w:noWrap w:val="0"/>
                  <w:vAlign w:val="center"/>
                </w:tcPr>
                <w:p w14:paraId="567BF50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702061E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6C784E8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11.2</w:t>
                  </w:r>
                </w:p>
              </w:tc>
            </w:tr>
            <w:tr w14:paraId="7829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pct"/>
                  <w:vMerge w:val="continue"/>
                  <w:noWrap w:val="0"/>
                  <w:vAlign w:val="center"/>
                </w:tcPr>
                <w:p w14:paraId="6D6CC9A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355434E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11E4E3C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6193FBB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0854844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0.025</w:t>
                  </w:r>
                </w:p>
              </w:tc>
              <w:tc>
                <w:tcPr>
                  <w:tcW w:w="595" w:type="pct"/>
                  <w:vMerge w:val="continue"/>
                  <w:noWrap w:val="0"/>
                  <w:vAlign w:val="center"/>
                </w:tcPr>
                <w:p w14:paraId="3C96928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0BC10FB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19BF414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w:t>
                  </w:r>
                </w:p>
              </w:tc>
            </w:tr>
            <w:tr w14:paraId="49E2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277EFA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7322C18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600EB6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62C52CB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66B968C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0.026</w:t>
                  </w:r>
                </w:p>
              </w:tc>
              <w:tc>
                <w:tcPr>
                  <w:tcW w:w="595" w:type="pct"/>
                  <w:vMerge w:val="continue"/>
                  <w:noWrap w:val="0"/>
                  <w:vAlign w:val="center"/>
                </w:tcPr>
                <w:p w14:paraId="03F072F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0AFECD6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10503B3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10.4</w:t>
                  </w:r>
                </w:p>
              </w:tc>
            </w:tr>
            <w:tr w14:paraId="2817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46979C6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1EBF296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25E17B9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10DEA30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4FED858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0.132</w:t>
                  </w:r>
                </w:p>
              </w:tc>
              <w:tc>
                <w:tcPr>
                  <w:tcW w:w="949" w:type="dxa"/>
                  <w:noWrap w:val="0"/>
                  <w:vAlign w:val="center"/>
                </w:tcPr>
                <w:p w14:paraId="4221CF8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64E23FB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67E0A68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44</w:t>
                  </w:r>
                </w:p>
              </w:tc>
            </w:tr>
            <w:tr w14:paraId="2231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336A09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08DF1FA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3E98612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271A569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681AECF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0.030</w:t>
                  </w:r>
                </w:p>
              </w:tc>
              <w:tc>
                <w:tcPr>
                  <w:tcW w:w="949" w:type="dxa"/>
                  <w:vMerge w:val="restart"/>
                  <w:noWrap w:val="0"/>
                  <w:vAlign w:val="center"/>
                </w:tcPr>
                <w:p w14:paraId="15638E6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253A20E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6099AA0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w:t>
                  </w:r>
                </w:p>
              </w:tc>
            </w:tr>
            <w:tr w14:paraId="4403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236F898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3073106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790151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51CCC6F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6771FEF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0.031</w:t>
                  </w:r>
                </w:p>
              </w:tc>
              <w:tc>
                <w:tcPr>
                  <w:tcW w:w="595" w:type="pct"/>
                  <w:vMerge w:val="continue"/>
                  <w:noWrap w:val="0"/>
                  <w:vAlign w:val="center"/>
                </w:tcPr>
                <w:p w14:paraId="43BFCD5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33D9239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5BE4B98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12.4</w:t>
                  </w:r>
                </w:p>
              </w:tc>
            </w:tr>
            <w:tr w14:paraId="0676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pct"/>
                  <w:vMerge w:val="continue"/>
                  <w:noWrap w:val="0"/>
                  <w:vAlign w:val="center"/>
                </w:tcPr>
                <w:p w14:paraId="1641B3D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441F659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60534D9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0839D88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04D55D6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0.032</w:t>
                  </w:r>
                </w:p>
              </w:tc>
              <w:tc>
                <w:tcPr>
                  <w:tcW w:w="595" w:type="pct"/>
                  <w:vMerge w:val="continue"/>
                  <w:noWrap w:val="0"/>
                  <w:vAlign w:val="center"/>
                </w:tcPr>
                <w:p w14:paraId="51F5E20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0B8190F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022FC4B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12.8</w:t>
                  </w:r>
                </w:p>
              </w:tc>
            </w:tr>
            <w:tr w14:paraId="19BF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6CAA1F6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B7D8A3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1710037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2ED0883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4E081FA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0.030</w:t>
                  </w:r>
                </w:p>
              </w:tc>
              <w:tc>
                <w:tcPr>
                  <w:tcW w:w="595" w:type="pct"/>
                  <w:vMerge w:val="continue"/>
                  <w:noWrap w:val="0"/>
                  <w:vAlign w:val="center"/>
                </w:tcPr>
                <w:p w14:paraId="7B38F5F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537033C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32028FB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w:t>
                  </w:r>
                </w:p>
              </w:tc>
            </w:tr>
            <w:tr w14:paraId="2E49F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E6D8A6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0BD2CF0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21</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33860D4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6DE8B4A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126BAD1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0.136</w:t>
                  </w:r>
                </w:p>
              </w:tc>
              <w:tc>
                <w:tcPr>
                  <w:tcW w:w="949" w:type="dxa"/>
                  <w:noWrap w:val="0"/>
                  <w:vAlign w:val="center"/>
                </w:tcPr>
                <w:p w14:paraId="6004FBD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7014B5A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4B06C59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45.33</w:t>
                  </w:r>
                </w:p>
              </w:tc>
            </w:tr>
            <w:tr w14:paraId="60CF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58EE004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0E9990C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CBB7BE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6216D4A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06056AD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0.032</w:t>
                  </w:r>
                </w:p>
              </w:tc>
              <w:tc>
                <w:tcPr>
                  <w:tcW w:w="949" w:type="dxa"/>
                  <w:vMerge w:val="restart"/>
                  <w:noWrap w:val="0"/>
                  <w:vAlign w:val="center"/>
                </w:tcPr>
                <w:p w14:paraId="66BC14A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00F0EFC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6068E95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12.8</w:t>
                  </w:r>
                </w:p>
              </w:tc>
            </w:tr>
            <w:tr w14:paraId="0C37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pct"/>
                  <w:vMerge w:val="continue"/>
                  <w:noWrap w:val="0"/>
                  <w:vAlign w:val="center"/>
                </w:tcPr>
                <w:p w14:paraId="5B69128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513B990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905792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41E272A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3565AF5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1BFEF81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0FF3A9B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7763D5F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06B9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035746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08E2DA3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5FACDDC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6A91E49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26603CC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0.027</w:t>
                  </w:r>
                </w:p>
              </w:tc>
              <w:tc>
                <w:tcPr>
                  <w:tcW w:w="595" w:type="pct"/>
                  <w:vMerge w:val="continue"/>
                  <w:noWrap w:val="0"/>
                  <w:vAlign w:val="center"/>
                </w:tcPr>
                <w:p w14:paraId="2E2A669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66EDC17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2DC7579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10.8</w:t>
                  </w:r>
                </w:p>
              </w:tc>
            </w:tr>
            <w:tr w14:paraId="463F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56CA917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2920DA0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06A8CF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7A0E257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06112FC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0.032</w:t>
                  </w:r>
                </w:p>
              </w:tc>
              <w:tc>
                <w:tcPr>
                  <w:tcW w:w="595" w:type="pct"/>
                  <w:vMerge w:val="continue"/>
                  <w:noWrap w:val="0"/>
                  <w:vAlign w:val="center"/>
                </w:tcPr>
                <w:p w14:paraId="6C1CF48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36CB14D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46F736B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12.8</w:t>
                  </w:r>
                </w:p>
              </w:tc>
            </w:tr>
            <w:tr w14:paraId="1C31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52D3C0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24784CA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22</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12AB35C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1E67314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753FDB3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0.141</w:t>
                  </w:r>
                </w:p>
              </w:tc>
              <w:tc>
                <w:tcPr>
                  <w:tcW w:w="949" w:type="dxa"/>
                  <w:noWrap w:val="0"/>
                  <w:vAlign w:val="center"/>
                </w:tcPr>
                <w:p w14:paraId="6E11CB8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67B6465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4A9CA51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47</w:t>
                  </w:r>
                </w:p>
              </w:tc>
            </w:tr>
            <w:tr w14:paraId="2A20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4219FC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5FCE9AF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5AF8034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486D2B4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1763D00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0.028</w:t>
                  </w:r>
                </w:p>
              </w:tc>
              <w:tc>
                <w:tcPr>
                  <w:tcW w:w="949" w:type="dxa"/>
                  <w:vMerge w:val="restart"/>
                  <w:noWrap w:val="0"/>
                  <w:vAlign w:val="center"/>
                </w:tcPr>
                <w:p w14:paraId="7E1EC0F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238C781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4A0057D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11.2</w:t>
                  </w:r>
                </w:p>
              </w:tc>
            </w:tr>
            <w:tr w14:paraId="71D7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B31C82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E47CE8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996AC0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4329149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4FBD831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0.030</w:t>
                  </w:r>
                </w:p>
              </w:tc>
              <w:tc>
                <w:tcPr>
                  <w:tcW w:w="595" w:type="pct"/>
                  <w:vMerge w:val="continue"/>
                  <w:noWrap w:val="0"/>
                  <w:vAlign w:val="center"/>
                </w:tcPr>
                <w:p w14:paraId="50EB31F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2FDFA46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2DC2EDA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w:t>
                  </w:r>
                </w:p>
              </w:tc>
            </w:tr>
            <w:tr w14:paraId="6138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806838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03D67D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1CBE58C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17D33F7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7F10C01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0.031</w:t>
                  </w:r>
                </w:p>
              </w:tc>
              <w:tc>
                <w:tcPr>
                  <w:tcW w:w="595" w:type="pct"/>
                  <w:vMerge w:val="continue"/>
                  <w:noWrap w:val="0"/>
                  <w:vAlign w:val="center"/>
                </w:tcPr>
                <w:p w14:paraId="49E3965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5F644DD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42014AF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12.4</w:t>
                  </w:r>
                </w:p>
              </w:tc>
            </w:tr>
            <w:tr w14:paraId="4470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04466F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1CBE96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7F6F3E9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329691F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163C2BE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67D1A81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6F8795D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6744444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3D26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4F0743C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5A8269F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23</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44C2739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1211C35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67AD81D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0.136</w:t>
                  </w:r>
                </w:p>
              </w:tc>
              <w:tc>
                <w:tcPr>
                  <w:tcW w:w="949" w:type="dxa"/>
                  <w:noWrap w:val="0"/>
                  <w:vAlign w:val="center"/>
                </w:tcPr>
                <w:p w14:paraId="2AC611A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506E4EA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34749FC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45.33</w:t>
                  </w:r>
                </w:p>
              </w:tc>
            </w:tr>
            <w:tr w14:paraId="2AA2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48B2AFB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7797E40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2D8964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6B1869F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1350591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0.027</w:t>
                  </w:r>
                </w:p>
              </w:tc>
              <w:tc>
                <w:tcPr>
                  <w:tcW w:w="949" w:type="dxa"/>
                  <w:vMerge w:val="restart"/>
                  <w:noWrap w:val="0"/>
                  <w:vAlign w:val="center"/>
                </w:tcPr>
                <w:p w14:paraId="3A932EB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7B6C356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5C77E4D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10.8</w:t>
                  </w:r>
                </w:p>
              </w:tc>
            </w:tr>
            <w:tr w14:paraId="5ED5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06B9A3E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00EF74D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59573E6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3E0EFC3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6CFA82A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5295BBE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6C368C5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3618435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1E63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687CDBD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228EBEB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15FF458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211736D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429F799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2D68D79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190E781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2495338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0815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39F05A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A96E62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65A107E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171B833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05F701E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0.026</w:t>
                  </w:r>
                </w:p>
              </w:tc>
              <w:tc>
                <w:tcPr>
                  <w:tcW w:w="595" w:type="pct"/>
                  <w:vMerge w:val="continue"/>
                  <w:noWrap w:val="0"/>
                  <w:vAlign w:val="center"/>
                </w:tcPr>
                <w:p w14:paraId="72CDD7A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6769057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62444A1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10.4</w:t>
                  </w:r>
                </w:p>
              </w:tc>
            </w:tr>
            <w:tr w14:paraId="6584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616536C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3955EEA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24</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4797B29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44BFF53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0ACEC13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0.141</w:t>
                  </w:r>
                </w:p>
              </w:tc>
              <w:tc>
                <w:tcPr>
                  <w:tcW w:w="949" w:type="dxa"/>
                  <w:noWrap w:val="0"/>
                  <w:vAlign w:val="center"/>
                </w:tcPr>
                <w:p w14:paraId="5C2F932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3C34782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458D66E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47</w:t>
                  </w:r>
                </w:p>
              </w:tc>
            </w:tr>
            <w:tr w14:paraId="5E6A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6130755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5559723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0139405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28C4119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653D5E7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949" w:type="dxa"/>
                  <w:vMerge w:val="restart"/>
                  <w:noWrap w:val="0"/>
                  <w:vAlign w:val="center"/>
                </w:tcPr>
                <w:p w14:paraId="2E6A3E5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47808C5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339C1DE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0B9C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29E786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120F61A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1A4DB43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2494A4B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0A51761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0.030</w:t>
                  </w:r>
                </w:p>
              </w:tc>
              <w:tc>
                <w:tcPr>
                  <w:tcW w:w="595" w:type="pct"/>
                  <w:vMerge w:val="continue"/>
                  <w:noWrap w:val="0"/>
                  <w:vAlign w:val="center"/>
                </w:tcPr>
                <w:p w14:paraId="393E73E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366EA71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1DF62E9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w:t>
                  </w:r>
                </w:p>
              </w:tc>
            </w:tr>
            <w:tr w14:paraId="53A4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AE5C2A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5387981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B49334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1CFEADE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586DB89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0.026</w:t>
                  </w:r>
                </w:p>
              </w:tc>
              <w:tc>
                <w:tcPr>
                  <w:tcW w:w="595" w:type="pct"/>
                  <w:vMerge w:val="continue"/>
                  <w:noWrap w:val="0"/>
                  <w:vAlign w:val="center"/>
                </w:tcPr>
                <w:p w14:paraId="5445164C">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15E5E85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28EDA93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10.4</w:t>
                  </w:r>
                </w:p>
              </w:tc>
            </w:tr>
            <w:tr w14:paraId="11E8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4470314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3D918FB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58CD702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41D74F3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5B7AF17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3868D7A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3153A6E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155221B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30ED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0037966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restart"/>
                  <w:noWrap w:val="0"/>
                  <w:vAlign w:val="center"/>
                </w:tcPr>
                <w:p w14:paraId="1BDE59E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1</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月</w:t>
                  </w:r>
                  <w:r>
                    <w:rPr>
                      <w:rFonts w:hint="default" w:ascii="Times New Roman" w:hAnsi="Times New Roman"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25</w:t>
                  </w:r>
                  <w:r>
                    <w:rPr>
                      <w:rFonts w:hint="default" w:ascii="Times New Roman" w:hAnsi="Times New Roman" w:eastAsia="宋体" w:cs="Times New Roman"/>
                      <w:caps w:val="0"/>
                      <w:smallCaps w:val="0"/>
                      <w:color w:val="000000" w:themeColor="text1"/>
                      <w:spacing w:val="0"/>
                      <w:sz w:val="21"/>
                      <w:szCs w:val="21"/>
                      <w:highlight w:val="none"/>
                      <w:vertAlign w:val="baseline"/>
                      <w:lang w:val="en-US" w:eastAsia="zh-CN" w:bidi="zh-CN"/>
                      <w14:textFill>
                        <w14:solidFill>
                          <w14:schemeClr w14:val="tx1"/>
                        </w14:solidFill>
                      </w14:textFill>
                    </w:rPr>
                    <w:t>日</w:t>
                  </w:r>
                </w:p>
              </w:tc>
              <w:tc>
                <w:tcPr>
                  <w:tcW w:w="1058" w:type="pct"/>
                  <w:noWrap w:val="0"/>
                  <w:vAlign w:val="center"/>
                </w:tcPr>
                <w:p w14:paraId="31DDD0B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02:00～次日02:00</w:t>
                  </w:r>
                </w:p>
              </w:tc>
              <w:tc>
                <w:tcPr>
                  <w:tcW w:w="445" w:type="pct"/>
                  <w:noWrap w:val="0"/>
                  <w:vAlign w:val="center"/>
                </w:tcPr>
                <w:p w14:paraId="46DD5BAB">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TSP</w:t>
                  </w:r>
                </w:p>
              </w:tc>
              <w:tc>
                <w:tcPr>
                  <w:tcW w:w="516" w:type="pct"/>
                  <w:noWrap w:val="0"/>
                  <w:vAlign w:val="center"/>
                </w:tcPr>
                <w:p w14:paraId="71B8E7A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0.134</w:t>
                  </w:r>
                </w:p>
              </w:tc>
              <w:tc>
                <w:tcPr>
                  <w:tcW w:w="949" w:type="dxa"/>
                  <w:noWrap w:val="0"/>
                  <w:vAlign w:val="center"/>
                </w:tcPr>
                <w:p w14:paraId="607CCE1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0.3</w:t>
                  </w:r>
                </w:p>
              </w:tc>
              <w:tc>
                <w:tcPr>
                  <w:tcW w:w="1124" w:type="dxa"/>
                  <w:noWrap w:val="0"/>
                  <w:vAlign w:val="center"/>
                </w:tcPr>
                <w:p w14:paraId="248CE96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568" w:type="pct"/>
                  <w:noWrap w:val="0"/>
                  <w:vAlign w:val="center"/>
                </w:tcPr>
                <w:p w14:paraId="035EE59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14.89</w:t>
                  </w:r>
                </w:p>
              </w:tc>
            </w:tr>
            <w:tr w14:paraId="6CAD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2958D2C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2CD43F6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602DD5C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02:00～03:00</w:t>
                  </w:r>
                </w:p>
              </w:tc>
              <w:tc>
                <w:tcPr>
                  <w:tcW w:w="445" w:type="pct"/>
                  <w:vMerge w:val="restart"/>
                  <w:noWrap w:val="0"/>
                  <w:vAlign w:val="center"/>
                </w:tcPr>
                <w:p w14:paraId="21D3FA5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氮氧化物</w:t>
                  </w:r>
                </w:p>
              </w:tc>
              <w:tc>
                <w:tcPr>
                  <w:tcW w:w="516" w:type="pct"/>
                  <w:noWrap w:val="0"/>
                  <w:vAlign w:val="center"/>
                </w:tcPr>
                <w:p w14:paraId="10FE300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0.026</w:t>
                  </w:r>
                </w:p>
              </w:tc>
              <w:tc>
                <w:tcPr>
                  <w:tcW w:w="949" w:type="dxa"/>
                  <w:vMerge w:val="restart"/>
                  <w:noWrap w:val="0"/>
                  <w:vAlign w:val="center"/>
                </w:tcPr>
                <w:p w14:paraId="29BBD6A9">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w:t>
                  </w:r>
                </w:p>
              </w:tc>
              <w:tc>
                <w:tcPr>
                  <w:tcW w:w="1124" w:type="dxa"/>
                  <w:vMerge w:val="restart"/>
                  <w:noWrap w:val="0"/>
                  <w:vAlign w:val="center"/>
                </w:tcPr>
                <w:p w14:paraId="2172E64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0.25</w:t>
                  </w:r>
                </w:p>
              </w:tc>
              <w:tc>
                <w:tcPr>
                  <w:tcW w:w="568" w:type="pct"/>
                  <w:noWrap w:val="0"/>
                  <w:vAlign w:val="center"/>
                </w:tcPr>
                <w:p w14:paraId="3EA75BD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12.8</w:t>
                  </w:r>
                </w:p>
              </w:tc>
            </w:tr>
            <w:tr w14:paraId="376B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524AE64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105FD1EA">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6AF7CB2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08:00～09:00</w:t>
                  </w:r>
                </w:p>
              </w:tc>
              <w:tc>
                <w:tcPr>
                  <w:tcW w:w="445" w:type="pct"/>
                  <w:vMerge w:val="continue"/>
                  <w:noWrap w:val="0"/>
                  <w:vAlign w:val="center"/>
                </w:tcPr>
                <w:p w14:paraId="12B2F85E">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1EB753F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0.029</w:t>
                  </w:r>
                </w:p>
              </w:tc>
              <w:tc>
                <w:tcPr>
                  <w:tcW w:w="595" w:type="pct"/>
                  <w:vMerge w:val="continue"/>
                  <w:noWrap w:val="0"/>
                  <w:vAlign w:val="center"/>
                </w:tcPr>
                <w:p w14:paraId="6431548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1AA4284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6745FE6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11.6</w:t>
                  </w:r>
                </w:p>
              </w:tc>
            </w:tr>
            <w:tr w14:paraId="1FE2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380EA5F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1618387F">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36CAFCF6">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14:10～15:10</w:t>
                  </w:r>
                </w:p>
              </w:tc>
              <w:tc>
                <w:tcPr>
                  <w:tcW w:w="445" w:type="pct"/>
                  <w:vMerge w:val="continue"/>
                  <w:noWrap w:val="0"/>
                  <w:vAlign w:val="center"/>
                </w:tcPr>
                <w:p w14:paraId="2B809790">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26881424">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0.028</w:t>
                  </w:r>
                </w:p>
              </w:tc>
              <w:tc>
                <w:tcPr>
                  <w:tcW w:w="595" w:type="pct"/>
                  <w:vMerge w:val="continue"/>
                  <w:noWrap w:val="0"/>
                  <w:vAlign w:val="center"/>
                </w:tcPr>
                <w:p w14:paraId="056ABCF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11C81021">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63CD1E0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10.8</w:t>
                  </w:r>
                </w:p>
              </w:tc>
            </w:tr>
            <w:tr w14:paraId="5D8E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pct"/>
                  <w:vMerge w:val="continue"/>
                  <w:noWrap w:val="0"/>
                  <w:vAlign w:val="center"/>
                </w:tcPr>
                <w:p w14:paraId="75DA9E6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404" w:type="pct"/>
                  <w:vMerge w:val="continue"/>
                  <w:noWrap w:val="0"/>
                  <w:vAlign w:val="center"/>
                </w:tcPr>
                <w:p w14:paraId="648F177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sz w:val="21"/>
                      <w:szCs w:val="21"/>
                      <w:highlight w:val="none"/>
                      <w:vertAlign w:val="baseline"/>
                      <w:lang w:val="zh-CN" w:eastAsia="zh-CN" w:bidi="zh-CN"/>
                      <w14:textFill>
                        <w14:solidFill>
                          <w14:schemeClr w14:val="tx1"/>
                        </w14:solidFill>
                      </w14:textFill>
                    </w:rPr>
                  </w:pPr>
                </w:p>
              </w:tc>
              <w:tc>
                <w:tcPr>
                  <w:tcW w:w="1058" w:type="pct"/>
                  <w:noWrap w:val="0"/>
                  <w:vAlign w:val="center"/>
                </w:tcPr>
                <w:p w14:paraId="22DFC607">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20:00～21:00</w:t>
                  </w:r>
                </w:p>
              </w:tc>
              <w:tc>
                <w:tcPr>
                  <w:tcW w:w="445" w:type="pct"/>
                  <w:vMerge w:val="continue"/>
                  <w:noWrap w:val="0"/>
                  <w:vAlign w:val="center"/>
                </w:tcPr>
                <w:p w14:paraId="6A81A448">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16" w:type="pct"/>
                  <w:noWrap w:val="0"/>
                  <w:vAlign w:val="center"/>
                </w:tcPr>
                <w:p w14:paraId="59C8991D">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0.030</w:t>
                  </w:r>
                </w:p>
              </w:tc>
              <w:tc>
                <w:tcPr>
                  <w:tcW w:w="595" w:type="pct"/>
                  <w:vMerge w:val="continue"/>
                  <w:noWrap w:val="0"/>
                  <w:vAlign w:val="center"/>
                </w:tcPr>
                <w:p w14:paraId="1D2C5985">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p>
              </w:tc>
              <w:tc>
                <w:tcPr>
                  <w:tcW w:w="705" w:type="pct"/>
                  <w:vMerge w:val="continue"/>
                  <w:noWrap w:val="0"/>
                  <w:vAlign w:val="center"/>
                </w:tcPr>
                <w:p w14:paraId="65B16C73">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zh-CN" w:eastAsia="zh-CN" w:bidi="zh-CN"/>
                      <w14:textFill>
                        <w14:solidFill>
                          <w14:schemeClr w14:val="tx1"/>
                        </w14:solidFill>
                      </w14:textFill>
                    </w:rPr>
                  </w:pPr>
                </w:p>
              </w:tc>
              <w:tc>
                <w:tcPr>
                  <w:tcW w:w="568" w:type="pct"/>
                  <w:noWrap w:val="0"/>
                  <w:vAlign w:val="center"/>
                </w:tcPr>
                <w:p w14:paraId="2FE8B832">
                  <w:pPr>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0"/>
                      <w:position w:val="2"/>
                      <w:sz w:val="21"/>
                      <w:szCs w:val="21"/>
                      <w:highlight w:val="none"/>
                      <w:lang w:val="en-US" w:eastAsia="zh-CN" w:bidi="zh-CN"/>
                      <w14:textFill>
                        <w14:solidFill>
                          <w14:schemeClr w14:val="tx1"/>
                        </w14:solidFill>
                      </w14:textFill>
                    </w:rPr>
                    <w:t>44.67</w:t>
                  </w:r>
                </w:p>
              </w:tc>
            </w:tr>
          </w:tbl>
          <w:p w14:paraId="2DD4036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监测统计结果可以看出，评价区域氮氧化物</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TSP</w:t>
            </w:r>
            <w:r>
              <w:rPr>
                <w:rFonts w:hint="eastAsia" w:ascii="Times New Roman" w:hAnsi="Times New Roman" w:cs="Times New Roman"/>
                <w:color w:val="000000" w:themeColor="text1"/>
                <w:sz w:val="24"/>
                <w:szCs w:val="24"/>
                <w:lang w:val="en-US" w:eastAsia="zh-CN"/>
                <w14:textFill>
                  <w14:solidFill>
                    <w14:schemeClr w14:val="tx1"/>
                  </w14:solidFill>
                </w14:textFill>
              </w:rPr>
              <w:t>检测结果均</w:t>
            </w:r>
            <w:r>
              <w:rPr>
                <w:rFonts w:hint="default" w:ascii="Times New Roman" w:hAnsi="Times New Roman" w:cs="Times New Roman"/>
                <w:color w:val="000000" w:themeColor="text1"/>
                <w:sz w:val="24"/>
                <w:szCs w:val="24"/>
                <w14:textFill>
                  <w14:solidFill>
                    <w14:schemeClr w14:val="tx1"/>
                  </w14:solidFill>
                </w14:textFill>
              </w:rPr>
              <w:t>满足《环境空气质量标准》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GB3095-2012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二级标准限值。</w:t>
            </w:r>
          </w:p>
          <w:p w14:paraId="17607DA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2、地表水环境</w:t>
            </w:r>
          </w:p>
          <w:p w14:paraId="58241D7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废水依托</w:t>
            </w:r>
            <w:r>
              <w:rPr>
                <w:rFonts w:hint="default" w:ascii="Times New Roman" w:hAnsi="Times New Roman" w:cs="Times New Roman"/>
                <w:color w:val="000000" w:themeColor="text1"/>
                <w:kern w:val="0"/>
                <w:sz w:val="24"/>
                <w:szCs w:val="24"/>
                <w14:textFill>
                  <w14:solidFill>
                    <w14:schemeClr w14:val="tx1"/>
                  </w14:solidFill>
                </w14:textFill>
              </w:rPr>
              <w:t>处理后陕西西凤酒基酒生产有限公司污水处理厂处理达标后排入园区市政污水管网</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经</w:t>
            </w:r>
            <w:r>
              <w:rPr>
                <w:rFonts w:hint="eastAsia" w:ascii="Times New Roman" w:hAnsi="Times New Roman" w:cs="Times New Roman"/>
                <w:color w:val="000000" w:themeColor="text1"/>
                <w:kern w:val="0"/>
                <w:sz w:val="24"/>
                <w:szCs w:val="24"/>
                <w:lang w:eastAsia="zh-CN"/>
                <w14:textFill>
                  <w14:solidFill>
                    <w14:schemeClr w14:val="tx1"/>
                  </w14:solidFill>
                </w14:textFill>
              </w:rPr>
              <w:t>凤翔高新污水处理厂进一步处理后排入西干河</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本次评价数据引用《陕西华山论剑科工贸有限公司华山论剑酒庄项目（一期）环境影响评价报告书》中</w:t>
            </w:r>
            <w:r>
              <w:rPr>
                <w:rFonts w:hint="eastAsia"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cs="Times New Roman"/>
                <w:color w:val="000000" w:themeColor="text1"/>
                <w:sz w:val="24"/>
                <w:szCs w:val="24"/>
                <w14:textFill>
                  <w14:solidFill>
                    <w14:schemeClr w14:val="tx1"/>
                  </w14:solidFill>
                </w14:textFill>
              </w:rPr>
              <w:t>环境质量现状的监测资料，监测时间202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10日</w:t>
            </w:r>
            <w:r>
              <w:rPr>
                <w:rFonts w:hint="default" w:ascii="Times New Roman" w:hAnsi="Times New Roman" w:cs="Times New Roman"/>
                <w:color w:val="000000" w:themeColor="text1"/>
                <w:sz w:val="24"/>
                <w:szCs w:val="24"/>
                <w14:textFill>
                  <w14:solidFill>
                    <w14:schemeClr w14:val="tx1"/>
                  </w14:solidFill>
                </w14:textFill>
              </w:rPr>
              <w:t>至20</w:t>
            </w:r>
            <w:r>
              <w:rPr>
                <w:rFonts w:hint="eastAsia" w:ascii="Times New Roman" w:hAnsi="Times New Roman" w:cs="Times New Roman"/>
                <w:color w:val="000000" w:themeColor="text1"/>
                <w:sz w:val="24"/>
                <w:szCs w:val="24"/>
                <w:lang w:val="en-US" w:eastAsia="zh-CN"/>
                <w14:textFill>
                  <w14:solidFill>
                    <w14:schemeClr w14:val="tx1"/>
                  </w14:solidFill>
                </w14:textFill>
              </w:rPr>
              <w:t>22</w:t>
            </w:r>
            <w:r>
              <w:rPr>
                <w:rFonts w:hint="default"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12</w:t>
            </w:r>
            <w:r>
              <w:rPr>
                <w:rFonts w:hint="default" w:ascii="Times New Roman" w:hAnsi="Times New Roman" w:cs="Times New Roman"/>
                <w:color w:val="000000" w:themeColor="text1"/>
                <w:sz w:val="24"/>
                <w:szCs w:val="24"/>
                <w14:textFill>
                  <w14:solidFill>
                    <w14:schemeClr w14:val="tx1"/>
                  </w14:solidFill>
                </w14:textFill>
              </w:rPr>
              <w:t>日，监测点位</w:t>
            </w:r>
            <w:r>
              <w:rPr>
                <w:rFonts w:hint="eastAsia" w:ascii="Times New Roman" w:hAnsi="Times New Roman"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14:textFill>
                  <w14:solidFill>
                    <w14:schemeClr w14:val="tx1"/>
                  </w14:solidFill>
                </w14:textFill>
              </w:rPr>
              <w:t>上海中耀环保实业陕西有限公司（西凤污水处理厂）排污口位置西干河上游500m、下游1000m水域各1个监测点位，监测结果如下表。</w:t>
            </w:r>
          </w:p>
          <w:p w14:paraId="4033240E">
            <w:pPr>
              <w:keepNext w:val="0"/>
              <w:keepLines w:val="0"/>
              <w:suppressLineNumbers w:val="0"/>
              <w:spacing w:before="0" w:beforeAutospacing="0" w:after="0" w:afterAutospacing="0"/>
              <w:ind w:left="0" w:right="0" w:firstLine="6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表3-3  地表水环境</w:t>
            </w:r>
            <w:r>
              <w:rPr>
                <w:rFonts w:hint="eastAsia" w:ascii="Times New Roman" w:hAnsi="Times New Roman" w:cs="Times New Roman"/>
                <w:color w:val="000000" w:themeColor="text1"/>
                <w:szCs w:val="21"/>
                <w:lang w:val="en-US" w:eastAsia="zh-CN"/>
                <w14:textFill>
                  <w14:solidFill>
                    <w14:schemeClr w14:val="tx1"/>
                  </w14:solidFill>
                </w14:textFill>
              </w:rPr>
              <w:t>现状监测结果</w:t>
            </w:r>
          </w:p>
          <w:tbl>
            <w:tblPr>
              <w:tblStyle w:val="83"/>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9"/>
              <w:gridCol w:w="1415"/>
              <w:gridCol w:w="819"/>
              <w:gridCol w:w="1669"/>
              <w:gridCol w:w="1611"/>
              <w:gridCol w:w="813"/>
              <w:gridCol w:w="732"/>
            </w:tblGrid>
            <w:tr w14:paraId="3F89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603" w:type="pct"/>
                  <w:vMerge w:val="restart"/>
                  <w:noWrap w:val="0"/>
                  <w:vAlign w:val="center"/>
                </w:tcPr>
                <w:p w14:paraId="3B46EA85">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采样日期</w:t>
                  </w:r>
                </w:p>
              </w:tc>
              <w:tc>
                <w:tcPr>
                  <w:tcW w:w="881" w:type="pct"/>
                  <w:vMerge w:val="restart"/>
                  <w:noWrap w:val="0"/>
                  <w:vAlign w:val="center"/>
                </w:tcPr>
                <w:p w14:paraId="214EB847">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检测因子</w:t>
                  </w:r>
                </w:p>
              </w:tc>
              <w:tc>
                <w:tcPr>
                  <w:tcW w:w="510" w:type="pct"/>
                  <w:vMerge w:val="restart"/>
                  <w:noWrap w:val="0"/>
                  <w:vAlign w:val="center"/>
                </w:tcPr>
                <w:p w14:paraId="70B3272F">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单位</w:t>
                  </w:r>
                </w:p>
              </w:tc>
              <w:tc>
                <w:tcPr>
                  <w:tcW w:w="2042" w:type="pct"/>
                  <w:gridSpan w:val="2"/>
                  <w:noWrap w:val="0"/>
                  <w:vAlign w:val="center"/>
                </w:tcPr>
                <w:p w14:paraId="6208F79A">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采样点位</w:t>
                  </w:r>
                </w:p>
              </w:tc>
              <w:tc>
                <w:tcPr>
                  <w:tcW w:w="506" w:type="pct"/>
                  <w:vMerge w:val="restart"/>
                  <w:noWrap w:val="0"/>
                  <w:vAlign w:val="center"/>
                </w:tcPr>
                <w:p w14:paraId="5A5134A0">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地表水</w:t>
                  </w:r>
                </w:p>
                <w:p w14:paraId="6A099F1E">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Ⅲ类标</w:t>
                  </w:r>
                </w:p>
                <w:p w14:paraId="6160A864">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准</w:t>
                  </w:r>
                </w:p>
              </w:tc>
              <w:tc>
                <w:tcPr>
                  <w:tcW w:w="455" w:type="pct"/>
                  <w:vMerge w:val="restart"/>
                  <w:noWrap w:val="0"/>
                  <w:vAlign w:val="center"/>
                </w:tcPr>
                <w:p w14:paraId="2A863A70">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最大超标 倍数</w:t>
                  </w:r>
                </w:p>
              </w:tc>
            </w:tr>
            <w:tr w14:paraId="49E4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3" w:type="pct"/>
                  <w:vMerge w:val="continue"/>
                  <w:noWrap w:val="0"/>
                  <w:vAlign w:val="center"/>
                </w:tcPr>
                <w:p w14:paraId="2D137745">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c>
                <w:tcPr>
                  <w:tcW w:w="881" w:type="pct"/>
                  <w:vMerge w:val="continue"/>
                  <w:noWrap w:val="0"/>
                  <w:vAlign w:val="center"/>
                </w:tcPr>
                <w:p w14:paraId="16DD57A4">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c>
                <w:tcPr>
                  <w:tcW w:w="510" w:type="pct"/>
                  <w:vMerge w:val="continue"/>
                  <w:noWrap w:val="0"/>
                  <w:vAlign w:val="center"/>
                </w:tcPr>
                <w:p w14:paraId="59E02FFF">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c>
                <w:tcPr>
                  <w:tcW w:w="1039" w:type="pct"/>
                  <w:noWrap w:val="0"/>
                  <w:vAlign w:val="center"/>
                </w:tcPr>
                <w:p w14:paraId="00594ABF">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西凤污水处理厂排污口位置西干河上游500m</w:t>
                  </w:r>
                </w:p>
              </w:tc>
              <w:tc>
                <w:tcPr>
                  <w:tcW w:w="1002" w:type="pct"/>
                  <w:noWrap w:val="0"/>
                  <w:vAlign w:val="center"/>
                </w:tcPr>
                <w:p w14:paraId="250B986E">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西凤污水处理厂排污口位置西干河下游1000m</w:t>
                  </w:r>
                </w:p>
              </w:tc>
              <w:tc>
                <w:tcPr>
                  <w:tcW w:w="506" w:type="pct"/>
                  <w:vMerge w:val="continue"/>
                  <w:noWrap w:val="0"/>
                  <w:vAlign w:val="center"/>
                </w:tcPr>
                <w:p w14:paraId="35E3566B">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c>
                <w:tcPr>
                  <w:tcW w:w="455" w:type="pct"/>
                  <w:vMerge w:val="continue"/>
                  <w:noWrap w:val="0"/>
                  <w:vAlign w:val="center"/>
                </w:tcPr>
                <w:p w14:paraId="3E9A2E6D">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r>
            <w:tr w14:paraId="5913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603" w:type="pct"/>
                  <w:vMerge w:val="restart"/>
                  <w:noWrap w:val="0"/>
                  <w:vAlign w:val="center"/>
                </w:tcPr>
                <w:p w14:paraId="672A497F">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2022.06.10</w:t>
                  </w:r>
                </w:p>
              </w:tc>
              <w:tc>
                <w:tcPr>
                  <w:tcW w:w="881" w:type="pct"/>
                  <w:noWrap w:val="0"/>
                  <w:vAlign w:val="center"/>
                </w:tcPr>
                <w:p w14:paraId="55B348FE">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化学需氧量</w:t>
                  </w:r>
                </w:p>
              </w:tc>
              <w:tc>
                <w:tcPr>
                  <w:tcW w:w="510" w:type="pct"/>
                  <w:noWrap w:val="0"/>
                  <w:vAlign w:val="center"/>
                </w:tcPr>
                <w:p w14:paraId="2030C076">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mg/L</w:t>
                  </w:r>
                </w:p>
              </w:tc>
              <w:tc>
                <w:tcPr>
                  <w:tcW w:w="1039" w:type="pct"/>
                  <w:noWrap w:val="0"/>
                  <w:vAlign w:val="center"/>
                </w:tcPr>
                <w:p w14:paraId="5CE12C80">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15</w:t>
                  </w:r>
                </w:p>
              </w:tc>
              <w:tc>
                <w:tcPr>
                  <w:tcW w:w="1002" w:type="pct"/>
                  <w:noWrap w:val="0"/>
                  <w:vAlign w:val="center"/>
                </w:tcPr>
                <w:p w14:paraId="124FFE53">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18</w:t>
                  </w:r>
                </w:p>
              </w:tc>
              <w:tc>
                <w:tcPr>
                  <w:tcW w:w="506" w:type="pct"/>
                  <w:noWrap w:val="0"/>
                  <w:vAlign w:val="center"/>
                </w:tcPr>
                <w:p w14:paraId="0BE2DAE7">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20</w:t>
                  </w:r>
                </w:p>
              </w:tc>
              <w:tc>
                <w:tcPr>
                  <w:tcW w:w="455" w:type="pct"/>
                  <w:noWrap w:val="0"/>
                  <w:vAlign w:val="center"/>
                </w:tcPr>
                <w:p w14:paraId="64EF968D">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0</w:t>
                  </w:r>
                </w:p>
              </w:tc>
            </w:tr>
            <w:tr w14:paraId="7134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603" w:type="pct"/>
                  <w:vMerge w:val="continue"/>
                  <w:noWrap w:val="0"/>
                  <w:vAlign w:val="center"/>
                </w:tcPr>
                <w:p w14:paraId="5C9F632B">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p>
              </w:tc>
              <w:tc>
                <w:tcPr>
                  <w:tcW w:w="881" w:type="pct"/>
                  <w:noWrap w:val="0"/>
                  <w:vAlign w:val="center"/>
                </w:tcPr>
                <w:p w14:paraId="21E8E813">
                  <w:pPr>
                    <w:pStyle w:val="82"/>
                    <w:bidi w:val="0"/>
                    <w:rPr>
                      <w:rFonts w:hint="default" w:ascii="Times New Roman" w:hAnsi="Times New Roman" w:cs="Times New Roman"/>
                      <w:b w:val="0"/>
                      <w:bCs w:val="0"/>
                      <w:color w:val="000000" w:themeColor="text1"/>
                      <w:highlight w:val="none"/>
                      <w:lang w:val="en-US" w:eastAsia="en-US"/>
                      <w14:textFill>
                        <w14:solidFill>
                          <w14:schemeClr w14:val="tx1"/>
                        </w14:solidFill>
                      </w14:textFill>
                    </w:rPr>
                  </w:pPr>
                  <w:r>
                    <w:rPr>
                      <w:rFonts w:hint="default" w:ascii="Times New Roman" w:hAnsi="Times New Roman" w:cs="Times New Roman"/>
                      <w:b w:val="0"/>
                      <w:bCs w:val="0"/>
                      <w:color w:val="000000" w:themeColor="text1"/>
                      <w:highlight w:val="none"/>
                      <w:lang w:val="en-US" w:eastAsia="en-US"/>
                      <w14:textFill>
                        <w14:solidFill>
                          <w14:schemeClr w14:val="tx1"/>
                        </w14:solidFill>
                      </w14:textFill>
                    </w:rPr>
                    <w:t>五日生化需氧量</w:t>
                  </w:r>
                </w:p>
              </w:tc>
              <w:tc>
                <w:tcPr>
                  <w:tcW w:w="510" w:type="pct"/>
                  <w:noWrap w:val="0"/>
                  <w:vAlign w:val="center"/>
                </w:tcPr>
                <w:p w14:paraId="2DFAA11B">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mg/L</w:t>
                  </w:r>
                </w:p>
              </w:tc>
              <w:tc>
                <w:tcPr>
                  <w:tcW w:w="1039" w:type="pct"/>
                  <w:noWrap w:val="0"/>
                  <w:vAlign w:val="center"/>
                </w:tcPr>
                <w:p w14:paraId="18CB7426">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3.4</w:t>
                  </w:r>
                </w:p>
              </w:tc>
              <w:tc>
                <w:tcPr>
                  <w:tcW w:w="1002" w:type="pct"/>
                  <w:noWrap w:val="0"/>
                  <w:vAlign w:val="center"/>
                </w:tcPr>
                <w:p w14:paraId="3806688B">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3.8</w:t>
                  </w:r>
                </w:p>
              </w:tc>
              <w:tc>
                <w:tcPr>
                  <w:tcW w:w="506" w:type="pct"/>
                  <w:noWrap w:val="0"/>
                  <w:vAlign w:val="center"/>
                </w:tcPr>
                <w:p w14:paraId="5DD56643">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4</w:t>
                  </w:r>
                </w:p>
              </w:tc>
              <w:tc>
                <w:tcPr>
                  <w:tcW w:w="455" w:type="pct"/>
                  <w:noWrap w:val="0"/>
                  <w:vAlign w:val="center"/>
                </w:tcPr>
                <w:p w14:paraId="483B7996">
                  <w:pPr>
                    <w:pStyle w:val="82"/>
                    <w:bidi w:val="0"/>
                    <w:rPr>
                      <w:rFonts w:hint="default" w:ascii="Times New Roman" w:hAnsi="Times New Roman" w:cs="Times New Roman"/>
                      <w:b w:val="0"/>
                      <w:bCs w:val="0"/>
                      <w:color w:val="000000" w:themeColor="text1"/>
                      <w:highlight w:val="none"/>
                      <w14:textFill>
                        <w14:solidFill>
                          <w14:schemeClr w14:val="tx1"/>
                        </w14:solidFill>
                      </w14:textFill>
                    </w:rPr>
                  </w:pPr>
                  <w:r>
                    <w:rPr>
                      <w:rFonts w:hint="default" w:ascii="Times New Roman" w:hAnsi="Times New Roman" w:cs="Times New Roman"/>
                      <w:b w:val="0"/>
                      <w:bCs w:val="0"/>
                      <w:color w:val="000000" w:themeColor="text1"/>
                      <w:highlight w:val="none"/>
                      <w14:textFill>
                        <w14:solidFill>
                          <w14:schemeClr w14:val="tx1"/>
                        </w14:solidFill>
                      </w14:textFill>
                    </w:rPr>
                    <w:t>0</w:t>
                  </w:r>
                </w:p>
              </w:tc>
            </w:tr>
            <w:tr w14:paraId="2E73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603" w:type="pct"/>
                  <w:vMerge w:val="continue"/>
                  <w:noWrap w:val="0"/>
                  <w:vAlign w:val="center"/>
                </w:tcPr>
                <w:p w14:paraId="3A438D96">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635BEEAB">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氨氮</w:t>
                  </w:r>
                </w:p>
              </w:tc>
              <w:tc>
                <w:tcPr>
                  <w:tcW w:w="510" w:type="pct"/>
                  <w:noWrap w:val="0"/>
                  <w:vAlign w:val="center"/>
                </w:tcPr>
                <w:p w14:paraId="3B4FB951">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7F539989">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0.151</w:t>
                  </w:r>
                </w:p>
              </w:tc>
              <w:tc>
                <w:tcPr>
                  <w:tcW w:w="1002" w:type="pct"/>
                  <w:noWrap w:val="0"/>
                  <w:vAlign w:val="center"/>
                </w:tcPr>
                <w:p w14:paraId="28307371">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0.186</w:t>
                  </w:r>
                </w:p>
              </w:tc>
              <w:tc>
                <w:tcPr>
                  <w:tcW w:w="506" w:type="pct"/>
                  <w:noWrap w:val="0"/>
                  <w:vAlign w:val="center"/>
                </w:tcPr>
                <w:p w14:paraId="3471F612">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5F2F2113">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49A8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603" w:type="pct"/>
                  <w:vMerge w:val="continue"/>
                  <w:noWrap w:val="0"/>
                  <w:vAlign w:val="center"/>
                </w:tcPr>
                <w:p w14:paraId="2DDC0CC4">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1BBF7DCB">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总氮</w:t>
                  </w:r>
                </w:p>
              </w:tc>
              <w:tc>
                <w:tcPr>
                  <w:tcW w:w="510" w:type="pct"/>
                  <w:noWrap w:val="0"/>
                  <w:vAlign w:val="center"/>
                </w:tcPr>
                <w:p w14:paraId="414CF24A">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4F9C0EAF">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1.57</w:t>
                  </w:r>
                </w:p>
              </w:tc>
              <w:tc>
                <w:tcPr>
                  <w:tcW w:w="1002" w:type="pct"/>
                  <w:noWrap w:val="0"/>
                  <w:vAlign w:val="center"/>
                </w:tcPr>
                <w:p w14:paraId="2E9F32A9">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1.77</w:t>
                  </w:r>
                </w:p>
              </w:tc>
              <w:tc>
                <w:tcPr>
                  <w:tcW w:w="506" w:type="pct"/>
                  <w:noWrap w:val="0"/>
                  <w:vAlign w:val="center"/>
                </w:tcPr>
                <w:p w14:paraId="48D5A936">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4D6F6EEA">
                  <w:pPr>
                    <w:pStyle w:val="8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.77</w:t>
                  </w:r>
                </w:p>
              </w:tc>
            </w:tr>
            <w:tr w14:paraId="4933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603" w:type="pct"/>
                  <w:vMerge w:val="continue"/>
                  <w:noWrap w:val="0"/>
                  <w:vAlign w:val="center"/>
                </w:tcPr>
                <w:p w14:paraId="1ADC072B">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5781B5CD">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总磷</w:t>
                  </w:r>
                </w:p>
              </w:tc>
              <w:tc>
                <w:tcPr>
                  <w:tcW w:w="510" w:type="pct"/>
                  <w:noWrap w:val="0"/>
                  <w:vAlign w:val="center"/>
                </w:tcPr>
                <w:p w14:paraId="10D42665">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3D021FCA">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0.05</w:t>
                  </w:r>
                </w:p>
              </w:tc>
              <w:tc>
                <w:tcPr>
                  <w:tcW w:w="1002" w:type="pct"/>
                  <w:noWrap w:val="0"/>
                  <w:vAlign w:val="center"/>
                </w:tcPr>
                <w:p w14:paraId="279D69D4">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0.08</w:t>
                  </w:r>
                </w:p>
              </w:tc>
              <w:tc>
                <w:tcPr>
                  <w:tcW w:w="506" w:type="pct"/>
                  <w:noWrap w:val="0"/>
                  <w:vAlign w:val="center"/>
                </w:tcPr>
                <w:p w14:paraId="3E56F875">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0.2</w:t>
                  </w:r>
                </w:p>
              </w:tc>
              <w:tc>
                <w:tcPr>
                  <w:tcW w:w="455" w:type="pct"/>
                  <w:noWrap w:val="0"/>
                  <w:vAlign w:val="center"/>
                </w:tcPr>
                <w:p w14:paraId="6491D1BC">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4CC8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603" w:type="pct"/>
                  <w:vMerge w:val="restart"/>
                  <w:noWrap w:val="0"/>
                  <w:vAlign w:val="center"/>
                </w:tcPr>
                <w:p w14:paraId="34BC0970">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2022.06.11</w:t>
                  </w:r>
                </w:p>
              </w:tc>
              <w:tc>
                <w:tcPr>
                  <w:tcW w:w="881" w:type="pct"/>
                  <w:noWrap w:val="0"/>
                  <w:vAlign w:val="center"/>
                </w:tcPr>
                <w:p w14:paraId="20E38BF5">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化学需氧量</w:t>
                  </w:r>
                </w:p>
              </w:tc>
              <w:tc>
                <w:tcPr>
                  <w:tcW w:w="510" w:type="pct"/>
                  <w:noWrap w:val="0"/>
                  <w:vAlign w:val="center"/>
                </w:tcPr>
                <w:p w14:paraId="410647D9">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65672C2B">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16</w:t>
                  </w:r>
                </w:p>
              </w:tc>
              <w:tc>
                <w:tcPr>
                  <w:tcW w:w="1002" w:type="pct"/>
                  <w:noWrap w:val="0"/>
                  <w:vAlign w:val="center"/>
                </w:tcPr>
                <w:p w14:paraId="746CC4D4">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19</w:t>
                  </w:r>
                </w:p>
              </w:tc>
              <w:tc>
                <w:tcPr>
                  <w:tcW w:w="506" w:type="pct"/>
                  <w:noWrap w:val="0"/>
                  <w:vAlign w:val="center"/>
                </w:tcPr>
                <w:p w14:paraId="7448F3DE">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455" w:type="pct"/>
                  <w:noWrap w:val="0"/>
                  <w:vAlign w:val="center"/>
                </w:tcPr>
                <w:p w14:paraId="6C32A83D">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5AE2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2B09A2D7">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58408936">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五日生化需氧量</w:t>
                  </w:r>
                </w:p>
              </w:tc>
              <w:tc>
                <w:tcPr>
                  <w:tcW w:w="510" w:type="pct"/>
                  <w:noWrap w:val="0"/>
                  <w:vAlign w:val="center"/>
                </w:tcPr>
                <w:p w14:paraId="248F195F">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2992F1AA">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w:t>
                  </w:r>
                </w:p>
              </w:tc>
              <w:tc>
                <w:tcPr>
                  <w:tcW w:w="1002" w:type="pct"/>
                  <w:noWrap w:val="0"/>
                  <w:vAlign w:val="center"/>
                </w:tcPr>
                <w:p w14:paraId="0FE0D6A9">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3.2</w:t>
                  </w:r>
                </w:p>
              </w:tc>
              <w:tc>
                <w:tcPr>
                  <w:tcW w:w="506" w:type="pct"/>
                  <w:noWrap w:val="0"/>
                  <w:vAlign w:val="center"/>
                </w:tcPr>
                <w:p w14:paraId="77E86DC5">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455" w:type="pct"/>
                  <w:noWrap w:val="0"/>
                  <w:vAlign w:val="center"/>
                </w:tcPr>
                <w:p w14:paraId="629AE855">
                  <w:pPr>
                    <w:pStyle w:val="82"/>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2806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333E786C">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881" w:type="pct"/>
                  <w:noWrap w:val="0"/>
                  <w:vAlign w:val="center"/>
                </w:tcPr>
                <w:p w14:paraId="50AE16D1">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氨氮</w:t>
                  </w:r>
                </w:p>
              </w:tc>
              <w:tc>
                <w:tcPr>
                  <w:tcW w:w="510" w:type="pct"/>
                  <w:noWrap w:val="0"/>
                  <w:vAlign w:val="center"/>
                </w:tcPr>
                <w:p w14:paraId="3E183494">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3D3399D9">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0.140</w:t>
                  </w:r>
                </w:p>
              </w:tc>
              <w:tc>
                <w:tcPr>
                  <w:tcW w:w="1002" w:type="pct"/>
                  <w:noWrap w:val="0"/>
                  <w:vAlign w:val="center"/>
                </w:tcPr>
                <w:p w14:paraId="4BE10B69">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0.174</w:t>
                  </w:r>
                </w:p>
              </w:tc>
              <w:tc>
                <w:tcPr>
                  <w:tcW w:w="506" w:type="pct"/>
                  <w:noWrap w:val="0"/>
                  <w:vAlign w:val="center"/>
                </w:tcPr>
                <w:p w14:paraId="6D90D3A2">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0F66263B">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302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46308B4F">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0C5E378F">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总氮</w:t>
                  </w:r>
                </w:p>
              </w:tc>
              <w:tc>
                <w:tcPr>
                  <w:tcW w:w="510" w:type="pct"/>
                  <w:noWrap w:val="0"/>
                  <w:vAlign w:val="center"/>
                </w:tcPr>
                <w:p w14:paraId="525C173E">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75CA7A9E">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1.48</w:t>
                  </w:r>
                </w:p>
              </w:tc>
              <w:tc>
                <w:tcPr>
                  <w:tcW w:w="1002" w:type="pct"/>
                  <w:noWrap w:val="0"/>
                  <w:vAlign w:val="center"/>
                </w:tcPr>
                <w:p w14:paraId="345FC738">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1.82</w:t>
                  </w:r>
                </w:p>
              </w:tc>
              <w:tc>
                <w:tcPr>
                  <w:tcW w:w="506" w:type="pct"/>
                  <w:noWrap w:val="0"/>
                  <w:vAlign w:val="center"/>
                </w:tcPr>
                <w:p w14:paraId="25947C79">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5774E355">
                  <w:pPr>
                    <w:pStyle w:val="8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0.82</w:t>
                  </w:r>
                </w:p>
              </w:tc>
            </w:tr>
            <w:tr w14:paraId="05AA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2937C715">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17E06C3E">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总磷</w:t>
                  </w:r>
                </w:p>
              </w:tc>
              <w:tc>
                <w:tcPr>
                  <w:tcW w:w="510" w:type="pct"/>
                  <w:noWrap w:val="0"/>
                  <w:vAlign w:val="center"/>
                </w:tcPr>
                <w:p w14:paraId="36BB4025">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68269DDA">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0.04</w:t>
                  </w:r>
                </w:p>
              </w:tc>
              <w:tc>
                <w:tcPr>
                  <w:tcW w:w="1002" w:type="pct"/>
                  <w:noWrap w:val="0"/>
                  <w:vAlign w:val="center"/>
                </w:tcPr>
                <w:p w14:paraId="6EABF807">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0.07</w:t>
                  </w:r>
                </w:p>
              </w:tc>
              <w:tc>
                <w:tcPr>
                  <w:tcW w:w="506" w:type="pct"/>
                  <w:noWrap w:val="0"/>
                  <w:vAlign w:val="center"/>
                </w:tcPr>
                <w:p w14:paraId="3F84EDEF">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0.2</w:t>
                  </w:r>
                </w:p>
              </w:tc>
              <w:tc>
                <w:tcPr>
                  <w:tcW w:w="455" w:type="pct"/>
                  <w:noWrap w:val="0"/>
                  <w:vAlign w:val="center"/>
                </w:tcPr>
                <w:p w14:paraId="0592E8CA">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164E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restart"/>
                  <w:noWrap w:val="0"/>
                  <w:vAlign w:val="center"/>
                </w:tcPr>
                <w:p w14:paraId="2CB90CE3">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2022.06.12</w:t>
                  </w:r>
                </w:p>
              </w:tc>
              <w:tc>
                <w:tcPr>
                  <w:tcW w:w="881" w:type="pct"/>
                  <w:noWrap w:val="0"/>
                  <w:vAlign w:val="center"/>
                </w:tcPr>
                <w:p w14:paraId="220A3621">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化学需氧量</w:t>
                  </w:r>
                </w:p>
              </w:tc>
              <w:tc>
                <w:tcPr>
                  <w:tcW w:w="510" w:type="pct"/>
                  <w:noWrap w:val="0"/>
                  <w:vAlign w:val="center"/>
                </w:tcPr>
                <w:p w14:paraId="5D40B626">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0CC90E88">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w:t>
                  </w:r>
                </w:p>
              </w:tc>
              <w:tc>
                <w:tcPr>
                  <w:tcW w:w="1002" w:type="pct"/>
                  <w:noWrap w:val="0"/>
                  <w:vAlign w:val="center"/>
                </w:tcPr>
                <w:p w14:paraId="454EA0FF">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w:t>
                  </w:r>
                </w:p>
              </w:tc>
              <w:tc>
                <w:tcPr>
                  <w:tcW w:w="506" w:type="pct"/>
                  <w:noWrap w:val="0"/>
                  <w:vAlign w:val="center"/>
                </w:tcPr>
                <w:p w14:paraId="50DAF9AC">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455" w:type="pct"/>
                  <w:noWrap w:val="0"/>
                  <w:vAlign w:val="center"/>
                </w:tcPr>
                <w:p w14:paraId="65D343FF">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4130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367107A4">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310665B2">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五日生化需氧量</w:t>
                  </w:r>
                </w:p>
              </w:tc>
              <w:tc>
                <w:tcPr>
                  <w:tcW w:w="510" w:type="pct"/>
                  <w:noWrap w:val="0"/>
                  <w:vAlign w:val="center"/>
                </w:tcPr>
                <w:p w14:paraId="5C430D4C">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7FA187B9">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3.3</w:t>
                  </w:r>
                </w:p>
              </w:tc>
              <w:tc>
                <w:tcPr>
                  <w:tcW w:w="1002" w:type="pct"/>
                  <w:noWrap w:val="0"/>
                  <w:vAlign w:val="center"/>
                </w:tcPr>
                <w:p w14:paraId="2513BF58">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3.8</w:t>
                  </w:r>
                </w:p>
              </w:tc>
              <w:tc>
                <w:tcPr>
                  <w:tcW w:w="506" w:type="pct"/>
                  <w:noWrap w:val="0"/>
                  <w:vAlign w:val="center"/>
                </w:tcPr>
                <w:p w14:paraId="22AA0036">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455" w:type="pct"/>
                  <w:noWrap w:val="0"/>
                  <w:vAlign w:val="center"/>
                </w:tcPr>
                <w:p w14:paraId="5A342DA7">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7C4B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355BD2C8">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741A7450">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氨氮</w:t>
                  </w:r>
                </w:p>
              </w:tc>
              <w:tc>
                <w:tcPr>
                  <w:tcW w:w="510" w:type="pct"/>
                  <w:noWrap w:val="0"/>
                  <w:vAlign w:val="center"/>
                </w:tcPr>
                <w:p w14:paraId="6EEB2E43">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4DD8C549">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0.156</w:t>
                  </w:r>
                </w:p>
              </w:tc>
              <w:tc>
                <w:tcPr>
                  <w:tcW w:w="1002" w:type="pct"/>
                  <w:noWrap w:val="0"/>
                  <w:vAlign w:val="center"/>
                </w:tcPr>
                <w:p w14:paraId="373B7703">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0.179</w:t>
                  </w:r>
                </w:p>
              </w:tc>
              <w:tc>
                <w:tcPr>
                  <w:tcW w:w="506" w:type="pct"/>
                  <w:noWrap w:val="0"/>
                  <w:vAlign w:val="center"/>
                </w:tcPr>
                <w:p w14:paraId="3A85590D">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30C9547D">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r w14:paraId="3192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788F9826">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4FD76421">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总氮</w:t>
                  </w:r>
                </w:p>
              </w:tc>
              <w:tc>
                <w:tcPr>
                  <w:tcW w:w="510" w:type="pct"/>
                  <w:noWrap w:val="0"/>
                  <w:vAlign w:val="center"/>
                </w:tcPr>
                <w:p w14:paraId="2F4E5BCB">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48004A3A">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1.55</w:t>
                  </w:r>
                </w:p>
              </w:tc>
              <w:tc>
                <w:tcPr>
                  <w:tcW w:w="1002" w:type="pct"/>
                  <w:noWrap w:val="0"/>
                  <w:vAlign w:val="center"/>
                </w:tcPr>
                <w:p w14:paraId="7F52A8F2">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1.88</w:t>
                  </w:r>
                </w:p>
              </w:tc>
              <w:tc>
                <w:tcPr>
                  <w:tcW w:w="506" w:type="pct"/>
                  <w:noWrap w:val="0"/>
                  <w:vAlign w:val="center"/>
                </w:tcPr>
                <w:p w14:paraId="7833A650">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455" w:type="pct"/>
                  <w:noWrap w:val="0"/>
                  <w:vAlign w:val="center"/>
                </w:tcPr>
                <w:p w14:paraId="734A3E58">
                  <w:pPr>
                    <w:pStyle w:val="82"/>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.88</w:t>
                  </w:r>
                </w:p>
              </w:tc>
            </w:tr>
            <w:tr w14:paraId="76F2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603" w:type="pct"/>
                  <w:vMerge w:val="continue"/>
                  <w:noWrap w:val="0"/>
                  <w:vAlign w:val="center"/>
                </w:tcPr>
                <w:p w14:paraId="5D7E831C">
                  <w:pPr>
                    <w:pStyle w:val="82"/>
                    <w:bidi w:val="0"/>
                    <w:rPr>
                      <w:rFonts w:hint="default" w:ascii="Times New Roman" w:hAnsi="Times New Roman" w:cs="Times New Roman"/>
                      <w:color w:val="000000" w:themeColor="text1"/>
                      <w:highlight w:val="none"/>
                      <w14:textFill>
                        <w14:solidFill>
                          <w14:schemeClr w14:val="tx1"/>
                        </w14:solidFill>
                      </w14:textFill>
                    </w:rPr>
                  </w:pPr>
                </w:p>
              </w:tc>
              <w:tc>
                <w:tcPr>
                  <w:tcW w:w="881" w:type="pct"/>
                  <w:noWrap w:val="0"/>
                  <w:vAlign w:val="center"/>
                </w:tcPr>
                <w:p w14:paraId="1AE30845">
                  <w:pPr>
                    <w:pStyle w:val="82"/>
                    <w:bidi w:val="0"/>
                    <w:rPr>
                      <w:rFonts w:hint="default" w:ascii="Times New Roman" w:hAnsi="Times New Roman" w:cs="Times New Roman"/>
                      <w:color w:val="000000" w:themeColor="text1"/>
                      <w:highlight w:val="none"/>
                      <w:lang w:val="en-US" w:eastAsia="en-US"/>
                      <w14:textFill>
                        <w14:solidFill>
                          <w14:schemeClr w14:val="tx1"/>
                        </w14:solidFill>
                      </w14:textFill>
                    </w:rPr>
                  </w:pPr>
                  <w:r>
                    <w:rPr>
                      <w:rFonts w:hint="default" w:ascii="Times New Roman" w:hAnsi="Times New Roman" w:cs="Times New Roman"/>
                      <w:color w:val="000000" w:themeColor="text1"/>
                      <w:highlight w:val="none"/>
                      <w:lang w:val="en-US" w:eastAsia="en-US"/>
                      <w14:textFill>
                        <w14:solidFill>
                          <w14:schemeClr w14:val="tx1"/>
                        </w14:solidFill>
                      </w14:textFill>
                    </w:rPr>
                    <w:t>总磷</w:t>
                  </w:r>
                </w:p>
              </w:tc>
              <w:tc>
                <w:tcPr>
                  <w:tcW w:w="510" w:type="pct"/>
                  <w:noWrap w:val="0"/>
                  <w:vAlign w:val="center"/>
                </w:tcPr>
                <w:p w14:paraId="0B76E082">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mg/L</w:t>
                  </w:r>
                </w:p>
              </w:tc>
              <w:tc>
                <w:tcPr>
                  <w:tcW w:w="1039" w:type="pct"/>
                  <w:noWrap w:val="0"/>
                  <w:vAlign w:val="center"/>
                </w:tcPr>
                <w:p w14:paraId="66BD6B1B">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0.05</w:t>
                  </w:r>
                </w:p>
              </w:tc>
              <w:tc>
                <w:tcPr>
                  <w:tcW w:w="1002" w:type="pct"/>
                  <w:noWrap w:val="0"/>
                  <w:vAlign w:val="center"/>
                </w:tcPr>
                <w:p w14:paraId="7619C39B">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0.08</w:t>
                  </w:r>
                </w:p>
              </w:tc>
              <w:tc>
                <w:tcPr>
                  <w:tcW w:w="506" w:type="pct"/>
                  <w:noWrap w:val="0"/>
                  <w:vAlign w:val="center"/>
                </w:tcPr>
                <w:p w14:paraId="643DC1CA">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0.2</w:t>
                  </w:r>
                </w:p>
              </w:tc>
              <w:tc>
                <w:tcPr>
                  <w:tcW w:w="455" w:type="pct"/>
                  <w:noWrap w:val="0"/>
                  <w:vAlign w:val="center"/>
                </w:tcPr>
                <w:p w14:paraId="6AC0E7F1">
                  <w:pPr>
                    <w:pStyle w:val="82"/>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r>
          </w:tbl>
          <w:p w14:paraId="7C644B5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上表可以看出，项目地表水监测断面上海中耀环保实业陕西有限公司（西凤污水处理厂）入河排污口西干河上游500m断面和入河排污口西干河下游1000m断面除总氮外各项监测指标均符合《地表水环境质量标准》（GB3838-2002）</w:t>
            </w:r>
            <w:r>
              <w:rPr>
                <w:rFonts w:hint="eastAsia" w:ascii="Times New Roman" w:hAnsi="Times New Roman" w:cs="Times New Roman"/>
                <w:color w:val="000000" w:themeColor="text1"/>
                <w:sz w:val="24"/>
                <w:szCs w:val="24"/>
                <w:lang w:eastAsia="zh-CN"/>
                <w14:textFill>
                  <w14:solidFill>
                    <w14:schemeClr w14:val="tx1"/>
                  </w14:solidFill>
                </w14:textFill>
              </w:rPr>
              <w:t>Ⅲ类</w:t>
            </w:r>
            <w:r>
              <w:rPr>
                <w:rFonts w:hint="default" w:ascii="Times New Roman" w:hAnsi="Times New Roman" w:cs="Times New Roman"/>
                <w:color w:val="000000" w:themeColor="text1"/>
                <w:sz w:val="24"/>
                <w:szCs w:val="24"/>
                <w14:textFill>
                  <w14:solidFill>
                    <w14:schemeClr w14:val="tx1"/>
                  </w14:solidFill>
                </w14:textFill>
              </w:rPr>
              <w:t>水域标准要求；西干河总氮超标，根据资料黄河流域河水总氮主要来源于面源污染，这是由于灌区农田施肥造成的。</w:t>
            </w:r>
          </w:p>
          <w:p w14:paraId="55F9883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3、声环境</w:t>
            </w:r>
          </w:p>
          <w:p w14:paraId="3B08B2A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次声环境评价引用《陕西西凤酒基酒生产有限公司西凤酒10万吨优质基酒及配套生产项目环境影响报告书》声环境质量现状监测报告中5#监测点位数据，监测单位是陕西中研华亿环境检测有限公司，监测时间2023年10月19日至2023年10月20日</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5#监测点位位于本项目声环境保护目标（东巴庄村），且至今周围未发生声环境变化，故引用有效，监测结果如下表。</w:t>
            </w:r>
          </w:p>
          <w:p w14:paraId="31473FFE">
            <w:pPr>
              <w:keepNext w:val="0"/>
              <w:keepLines w:val="0"/>
              <w:suppressLineNumbers w:val="0"/>
              <w:spacing w:before="0" w:beforeAutospacing="0" w:after="0" w:afterAutospacing="0"/>
              <w:ind w:left="0" w:right="0" w:firstLine="6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表3</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Cs w:val="21"/>
                <w:lang w:val="en-US" w:eastAsia="zh-CN"/>
                <w14:textFill>
                  <w14:solidFill>
                    <w14:schemeClr w14:val="tx1"/>
                  </w14:solidFill>
                </w14:textFill>
              </w:rPr>
              <w:t>敏感点</w:t>
            </w:r>
            <w:r>
              <w:rPr>
                <w:rFonts w:hint="default" w:ascii="Times New Roman" w:hAnsi="Times New Roman" w:eastAsia="宋体" w:cs="Times New Roman"/>
                <w:color w:val="000000" w:themeColor="text1"/>
                <w:szCs w:val="21"/>
                <w:lang w:val="en-US" w:eastAsia="zh-CN"/>
                <w14:textFill>
                  <w14:solidFill>
                    <w14:schemeClr w14:val="tx1"/>
                  </w14:solidFill>
                </w14:textFill>
              </w:rPr>
              <w:t>声</w:t>
            </w:r>
            <w:r>
              <w:rPr>
                <w:rFonts w:hint="eastAsia" w:ascii="Times New Roman" w:hAnsi="Times New Roman" w:eastAsia="宋体" w:cs="Times New Roman"/>
                <w:color w:val="000000" w:themeColor="text1"/>
                <w:szCs w:val="21"/>
                <w:lang w:val="en-US" w:eastAsia="zh-CN"/>
                <w14:textFill>
                  <w14:solidFill>
                    <w14:schemeClr w14:val="tx1"/>
                  </w14:solidFill>
                </w14:textFill>
              </w:rPr>
              <w:t>环境</w:t>
            </w:r>
            <w:r>
              <w:rPr>
                <w:rFonts w:hint="default" w:ascii="Times New Roman" w:hAnsi="Times New Roman" w:eastAsia="宋体" w:cs="Times New Roman"/>
                <w:color w:val="000000" w:themeColor="text1"/>
                <w:szCs w:val="21"/>
                <w:lang w:val="en-US" w:eastAsia="zh-CN"/>
                <w14:textFill>
                  <w14:solidFill>
                    <w14:schemeClr w14:val="tx1"/>
                  </w14:solidFill>
                </w14:textFill>
              </w:rPr>
              <w:t>监测结果统计表   单位 dB（A）</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5"/>
              <w:gridCol w:w="1516"/>
              <w:gridCol w:w="1140"/>
              <w:gridCol w:w="903"/>
              <w:gridCol w:w="897"/>
              <w:gridCol w:w="922"/>
              <w:gridCol w:w="957"/>
              <w:gridCol w:w="971"/>
            </w:tblGrid>
            <w:tr w14:paraId="4B66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11" w:type="pct"/>
                  <w:vMerge w:val="restart"/>
                  <w:tcBorders>
                    <w:tl2br w:val="nil"/>
                    <w:tr2bl w:val="nil"/>
                  </w:tcBorders>
                  <w:noWrap w:val="0"/>
                  <w:vAlign w:val="center"/>
                </w:tcPr>
                <w:p w14:paraId="288C68A3">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序号</w:t>
                  </w:r>
                </w:p>
              </w:tc>
              <w:tc>
                <w:tcPr>
                  <w:tcW w:w="952" w:type="pct"/>
                  <w:vMerge w:val="restart"/>
                  <w:tcBorders>
                    <w:tl2br w:val="nil"/>
                    <w:tr2bl w:val="nil"/>
                  </w:tcBorders>
                  <w:noWrap w:val="0"/>
                  <w:vAlign w:val="center"/>
                </w:tcPr>
                <w:p w14:paraId="22B37ED5">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监测点位</w:t>
                  </w:r>
                </w:p>
              </w:tc>
              <w:tc>
                <w:tcPr>
                  <w:tcW w:w="2425" w:type="pct"/>
                  <w:gridSpan w:val="4"/>
                  <w:tcBorders>
                    <w:tl2br w:val="nil"/>
                    <w:tr2bl w:val="nil"/>
                  </w:tcBorders>
                  <w:noWrap w:val="0"/>
                  <w:vAlign w:val="center"/>
                </w:tcPr>
                <w:p w14:paraId="181F5F6C">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监测结果dB（A）</w:t>
                  </w:r>
                </w:p>
              </w:tc>
              <w:tc>
                <w:tcPr>
                  <w:tcW w:w="1210" w:type="pct"/>
                  <w:gridSpan w:val="2"/>
                  <w:vMerge w:val="restart"/>
                  <w:tcBorders>
                    <w:tl2br w:val="nil"/>
                    <w:tr2bl w:val="nil"/>
                  </w:tcBorders>
                  <w:noWrap w:val="0"/>
                  <w:vAlign w:val="center"/>
                </w:tcPr>
                <w:p w14:paraId="7AB7B8BA">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符合标准</w:t>
                  </w:r>
                </w:p>
              </w:tc>
            </w:tr>
            <w:tr w14:paraId="6CF25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411" w:type="pct"/>
                  <w:vMerge w:val="continue"/>
                  <w:tcBorders>
                    <w:tl2br w:val="nil"/>
                    <w:tr2bl w:val="nil"/>
                  </w:tcBorders>
                  <w:noWrap w:val="0"/>
                  <w:vAlign w:val="center"/>
                </w:tcPr>
                <w:p w14:paraId="5A58D5CE">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p>
              </w:tc>
              <w:tc>
                <w:tcPr>
                  <w:tcW w:w="952" w:type="pct"/>
                  <w:vMerge w:val="continue"/>
                  <w:tcBorders>
                    <w:tl2br w:val="nil"/>
                    <w:tr2bl w:val="nil"/>
                  </w:tcBorders>
                  <w:noWrap w:val="0"/>
                  <w:vAlign w:val="center"/>
                </w:tcPr>
                <w:p w14:paraId="5C2F3526">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p>
              </w:tc>
              <w:tc>
                <w:tcPr>
                  <w:tcW w:w="1283" w:type="pct"/>
                  <w:gridSpan w:val="2"/>
                  <w:tcBorders>
                    <w:tl2br w:val="nil"/>
                    <w:tr2bl w:val="nil"/>
                  </w:tcBorders>
                  <w:noWrap w:val="0"/>
                  <w:vAlign w:val="center"/>
                </w:tcPr>
                <w:p w14:paraId="7EE25B06">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t>10月21日</w:t>
                  </w:r>
                </w:p>
              </w:tc>
              <w:tc>
                <w:tcPr>
                  <w:tcW w:w="1142" w:type="pct"/>
                  <w:gridSpan w:val="2"/>
                  <w:tcBorders>
                    <w:tl2br w:val="nil"/>
                    <w:tr2bl w:val="nil"/>
                  </w:tcBorders>
                  <w:noWrap w:val="0"/>
                  <w:vAlign w:val="center"/>
                </w:tcPr>
                <w:p w14:paraId="41E1E832">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t>10月20日</w:t>
                  </w:r>
                </w:p>
              </w:tc>
              <w:tc>
                <w:tcPr>
                  <w:tcW w:w="1210" w:type="pct"/>
                  <w:gridSpan w:val="2"/>
                  <w:vMerge w:val="continue"/>
                  <w:tcBorders>
                    <w:bottom w:val="single" w:color="auto" w:sz="4" w:space="0"/>
                    <w:tl2br w:val="nil"/>
                    <w:tr2bl w:val="nil"/>
                  </w:tcBorders>
                  <w:noWrap w:val="0"/>
                  <w:vAlign w:val="center"/>
                </w:tcPr>
                <w:p w14:paraId="4AC4F796">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p>
              </w:tc>
            </w:tr>
            <w:tr w14:paraId="37E38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11" w:type="pct"/>
                  <w:vMerge w:val="continue"/>
                  <w:tcBorders>
                    <w:tl2br w:val="nil"/>
                    <w:tr2bl w:val="nil"/>
                  </w:tcBorders>
                  <w:noWrap w:val="0"/>
                  <w:vAlign w:val="center"/>
                </w:tcPr>
                <w:p w14:paraId="17124B71">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p>
              </w:tc>
              <w:tc>
                <w:tcPr>
                  <w:tcW w:w="952" w:type="pct"/>
                  <w:vMerge w:val="continue"/>
                  <w:tcBorders>
                    <w:tl2br w:val="nil"/>
                    <w:tr2bl w:val="nil"/>
                  </w:tcBorders>
                  <w:noWrap w:val="0"/>
                  <w:vAlign w:val="center"/>
                </w:tcPr>
                <w:p w14:paraId="59B3FB2C">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p>
              </w:tc>
              <w:tc>
                <w:tcPr>
                  <w:tcW w:w="716" w:type="pct"/>
                  <w:tcBorders>
                    <w:tl2br w:val="nil"/>
                    <w:tr2bl w:val="nil"/>
                  </w:tcBorders>
                  <w:noWrap w:val="0"/>
                  <w:vAlign w:val="center"/>
                </w:tcPr>
                <w:p w14:paraId="020BAABB">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昼间</w:t>
                  </w:r>
                </w:p>
              </w:tc>
              <w:tc>
                <w:tcPr>
                  <w:tcW w:w="567" w:type="pct"/>
                  <w:tcBorders>
                    <w:tl2br w:val="nil"/>
                    <w:tr2bl w:val="nil"/>
                  </w:tcBorders>
                  <w:noWrap w:val="0"/>
                  <w:vAlign w:val="center"/>
                </w:tcPr>
                <w:p w14:paraId="006599D0">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夜间</w:t>
                  </w:r>
                </w:p>
              </w:tc>
              <w:tc>
                <w:tcPr>
                  <w:tcW w:w="563" w:type="pct"/>
                  <w:tcBorders>
                    <w:tl2br w:val="nil"/>
                    <w:tr2bl w:val="nil"/>
                  </w:tcBorders>
                  <w:noWrap w:val="0"/>
                  <w:vAlign w:val="center"/>
                </w:tcPr>
                <w:p w14:paraId="585062EC">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昼间</w:t>
                  </w:r>
                </w:p>
              </w:tc>
              <w:tc>
                <w:tcPr>
                  <w:tcW w:w="578" w:type="pct"/>
                  <w:tcBorders>
                    <w:tl2br w:val="nil"/>
                    <w:tr2bl w:val="nil"/>
                  </w:tcBorders>
                  <w:noWrap w:val="0"/>
                  <w:vAlign w:val="center"/>
                </w:tcPr>
                <w:p w14:paraId="343D9664">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夜间</w:t>
                  </w:r>
                </w:p>
              </w:tc>
              <w:tc>
                <w:tcPr>
                  <w:tcW w:w="601" w:type="pct"/>
                  <w:tcBorders>
                    <w:top w:val="single" w:color="auto" w:sz="4" w:space="0"/>
                    <w:right w:val="single" w:color="auto" w:sz="4" w:space="0"/>
                    <w:tl2br w:val="nil"/>
                    <w:tr2bl w:val="nil"/>
                  </w:tcBorders>
                  <w:noWrap w:val="0"/>
                  <w:vAlign w:val="center"/>
                </w:tcPr>
                <w:p w14:paraId="21CA8580">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昼间</w:t>
                  </w:r>
                </w:p>
              </w:tc>
              <w:tc>
                <w:tcPr>
                  <w:tcW w:w="608" w:type="pct"/>
                  <w:tcBorders>
                    <w:top w:val="single" w:color="auto" w:sz="4" w:space="0"/>
                    <w:right w:val="single" w:color="auto" w:sz="4" w:space="0"/>
                    <w:tl2br w:val="nil"/>
                    <w:tr2bl w:val="nil"/>
                  </w:tcBorders>
                  <w:noWrap w:val="0"/>
                  <w:vAlign w:val="center"/>
                </w:tcPr>
                <w:p w14:paraId="2491740F">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夜间</w:t>
                  </w:r>
                </w:p>
              </w:tc>
            </w:tr>
            <w:tr w14:paraId="136BE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411" w:type="pct"/>
                  <w:tcBorders>
                    <w:tl2br w:val="nil"/>
                    <w:tr2bl w:val="nil"/>
                  </w:tcBorders>
                  <w:noWrap w:val="0"/>
                  <w:vAlign w:val="center"/>
                </w:tcPr>
                <w:p w14:paraId="059185CA">
                  <w:pPr>
                    <w:keepNext w:val="0"/>
                    <w:keepLines w:val="0"/>
                    <w:widowControl w:val="0"/>
                    <w:suppressLineNumbers w:val="0"/>
                    <w:wordWrap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pPr>
                  <w:r>
                    <w:rPr>
                      <w:rFonts w:hint="default" w:ascii="Times New Roman" w:hAnsi="Times New Roman" w:eastAsia="宋体" w:cs="Times New Roman"/>
                      <w:b w:val="0"/>
                      <w:bCs w:val="0"/>
                      <w:caps w:val="0"/>
                      <w:smallCaps w:val="0"/>
                      <w:color w:val="000000" w:themeColor="text1"/>
                      <w:spacing w:val="0"/>
                      <w:kern w:val="2"/>
                      <w:sz w:val="21"/>
                      <w:szCs w:val="21"/>
                      <w:highlight w:val="none"/>
                      <w:lang w:val="zh-CN" w:eastAsia="zh-CN" w:bidi="ar-SA"/>
                      <w14:textFill>
                        <w14:solidFill>
                          <w14:schemeClr w14:val="tx1"/>
                        </w14:solidFill>
                      </w14:textFill>
                    </w:rPr>
                    <w:t>1</w:t>
                  </w:r>
                </w:p>
              </w:tc>
              <w:tc>
                <w:tcPr>
                  <w:tcW w:w="952" w:type="pct"/>
                  <w:tcBorders>
                    <w:tl2br w:val="nil"/>
                    <w:tr2bl w:val="nil"/>
                  </w:tcBorders>
                  <w:noWrap w:val="0"/>
                  <w:vAlign w:val="center"/>
                </w:tcPr>
                <w:p w14:paraId="1F8CD88D">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5#监测点位</w:t>
                  </w:r>
                </w:p>
              </w:tc>
              <w:tc>
                <w:tcPr>
                  <w:tcW w:w="716" w:type="pct"/>
                  <w:tcBorders>
                    <w:tl2br w:val="nil"/>
                    <w:tr2bl w:val="nil"/>
                  </w:tcBorders>
                  <w:noWrap w:val="0"/>
                  <w:vAlign w:val="center"/>
                </w:tcPr>
                <w:p w14:paraId="2B9B4680">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53</w:t>
                  </w:r>
                </w:p>
              </w:tc>
              <w:tc>
                <w:tcPr>
                  <w:tcW w:w="567" w:type="pct"/>
                  <w:tcBorders>
                    <w:tl2br w:val="nil"/>
                    <w:tr2bl w:val="nil"/>
                  </w:tcBorders>
                  <w:noWrap w:val="0"/>
                  <w:vAlign w:val="center"/>
                </w:tcPr>
                <w:p w14:paraId="24CF1FA3">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43</w:t>
                  </w:r>
                </w:p>
              </w:tc>
              <w:tc>
                <w:tcPr>
                  <w:tcW w:w="563" w:type="pct"/>
                  <w:tcBorders>
                    <w:tl2br w:val="nil"/>
                    <w:tr2bl w:val="nil"/>
                  </w:tcBorders>
                  <w:noWrap w:val="0"/>
                  <w:vAlign w:val="center"/>
                </w:tcPr>
                <w:p w14:paraId="0F12DB00">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50</w:t>
                  </w:r>
                </w:p>
              </w:tc>
              <w:tc>
                <w:tcPr>
                  <w:tcW w:w="578" w:type="pct"/>
                  <w:tcBorders>
                    <w:tl2br w:val="nil"/>
                    <w:tr2bl w:val="nil"/>
                  </w:tcBorders>
                  <w:noWrap w:val="0"/>
                  <w:vAlign w:val="center"/>
                </w:tcPr>
                <w:p w14:paraId="63563126">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41</w:t>
                  </w:r>
                </w:p>
              </w:tc>
              <w:tc>
                <w:tcPr>
                  <w:tcW w:w="601" w:type="pct"/>
                  <w:tcBorders>
                    <w:right w:val="single" w:color="auto" w:sz="4" w:space="0"/>
                    <w:tl2br w:val="nil"/>
                    <w:tr2bl w:val="nil"/>
                  </w:tcBorders>
                  <w:noWrap w:val="0"/>
                  <w:vAlign w:val="center"/>
                </w:tcPr>
                <w:p w14:paraId="4814568A">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60</w:t>
                  </w:r>
                </w:p>
              </w:tc>
              <w:tc>
                <w:tcPr>
                  <w:tcW w:w="608" w:type="pct"/>
                  <w:tcBorders>
                    <w:right w:val="single" w:color="auto" w:sz="4" w:space="0"/>
                    <w:tl2br w:val="nil"/>
                    <w:tr2bl w:val="nil"/>
                  </w:tcBorders>
                  <w:noWrap w:val="0"/>
                  <w:vAlign w:val="center"/>
                </w:tcPr>
                <w:p w14:paraId="4B248DEC">
                  <w:pPr>
                    <w:keepNext w:val="0"/>
                    <w:keepLines w:val="0"/>
                    <w:widowControl w:val="0"/>
                    <w:suppressLineNumbers w:val="0"/>
                    <w:spacing w:before="40" w:beforeAutospacing="0" w:after="40" w:afterAutospacing="0" w:line="240" w:lineRule="auto"/>
                    <w:ind w:left="0" w:right="0" w:firstLine="0" w:firstLineChars="0"/>
                    <w:jc w:val="center"/>
                    <w:rPr>
                      <w:rFonts w:hint="default" w:ascii="Times New Roman" w:hAnsi="Times New Roman" w:eastAsia="宋体" w:cs="Times New Roman"/>
                      <w:b w:val="0"/>
                      <w:bCs w:val="0"/>
                      <w:caps w:val="0"/>
                      <w:small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2"/>
                      <w:sz w:val="21"/>
                      <w:szCs w:val="21"/>
                      <w:highlight w:val="none"/>
                      <w:lang w:val="en-US" w:eastAsia="zh-CN" w:bidi="ar-SA"/>
                      <w14:textFill>
                        <w14:solidFill>
                          <w14:schemeClr w14:val="tx1"/>
                        </w14:solidFill>
                      </w14:textFill>
                    </w:rPr>
                    <w:t>50</w:t>
                  </w:r>
                </w:p>
              </w:tc>
            </w:tr>
          </w:tbl>
          <w:p w14:paraId="1D54713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14:textFill>
                  <w14:solidFill>
                    <w14:schemeClr w14:val="tx1"/>
                  </w14:solidFill>
                </w14:textFill>
              </w:rPr>
              <w:t>项目敏感点昼间、夜间声环境现状</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值</w:t>
            </w:r>
            <w:r>
              <w:rPr>
                <w:rFonts w:hint="default" w:ascii="Times New Roman" w:hAnsi="Times New Roman" w:eastAsia="宋体" w:cs="Times New Roman"/>
                <w:color w:val="000000" w:themeColor="text1"/>
                <w:kern w:val="0"/>
                <w:sz w:val="24"/>
                <w:szCs w:val="24"/>
                <w:lang w:val="en-US"/>
                <w14:textFill>
                  <w14:solidFill>
                    <w14:schemeClr w14:val="tx1"/>
                  </w14:solidFill>
                </w14:textFill>
              </w:rPr>
              <w:t>均满足《声环境质量</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标准</w:t>
            </w:r>
            <w:r>
              <w:rPr>
                <w:rFonts w:hint="default" w:ascii="Times New Roman" w:hAnsi="Times New Roman" w:eastAsia="宋体" w:cs="Times New Roman"/>
                <w:color w:val="000000" w:themeColor="text1"/>
                <w:kern w:val="0"/>
                <w:sz w:val="24"/>
                <w:szCs w:val="24"/>
                <w:lang w:val="en-US"/>
                <w14:textFill>
                  <w14:solidFill>
                    <w14:schemeClr w14:val="tx1"/>
                  </w14:solidFill>
                </w14:textFill>
              </w:rPr>
              <w:t>》（GB3096-</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14:textFill>
                  <w14:solidFill>
                    <w14:schemeClr w14:val="tx1"/>
                  </w14:solidFill>
                </w14:textFill>
              </w:rPr>
              <w:t>2008）2类标准</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限值要求。</w:t>
            </w:r>
          </w:p>
          <w:p w14:paraId="2084FE5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4、生态环境</w:t>
            </w:r>
          </w:p>
          <w:p w14:paraId="78C833C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项目位于</w:t>
            </w:r>
            <w:r>
              <w:rPr>
                <w:rFonts w:hint="eastAsia" w:ascii="Times New Roman" w:hAnsi="Times New Roman" w:cs="Times New Roman"/>
                <w:color w:val="000000" w:themeColor="text1"/>
                <w:sz w:val="24"/>
                <w:szCs w:val="24"/>
                <w:lang w:eastAsia="zh-CN"/>
                <w14:textFill>
                  <w14:solidFill>
                    <w14:schemeClr w14:val="tx1"/>
                  </w14:solidFill>
                </w14:textFill>
              </w:rPr>
              <w:t>宝鸡市凤翔高新区西凤酒城</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现有厂址范围内不含有生态环境保护目标，</w:t>
            </w:r>
            <w:r>
              <w:rPr>
                <w:rFonts w:hint="default" w:ascii="Times New Roman" w:hAnsi="Times New Roman" w:cs="Times New Roman"/>
                <w:color w:val="000000" w:themeColor="text1"/>
                <w:kern w:val="0"/>
                <w:sz w:val="24"/>
                <w:szCs w:val="24"/>
                <w14:textFill>
                  <w14:solidFill>
                    <w14:schemeClr w14:val="tx1"/>
                  </w14:solidFill>
                </w14:textFill>
              </w:rPr>
              <w:t>本次环评不进行生态环境调查。</w:t>
            </w:r>
          </w:p>
          <w:p w14:paraId="643717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地下水</w:t>
            </w:r>
          </w:p>
          <w:p w14:paraId="65FBCF9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val="en-US" w:eastAsia="zh-Hans"/>
                <w14:textFill>
                  <w14:solidFill>
                    <w14:schemeClr w14:val="tx1"/>
                  </w14:solidFill>
                </w14:textFill>
              </w:rPr>
              <w:t>属于生产用热</w:t>
            </w:r>
            <w:r>
              <w:rPr>
                <w:rFonts w:hint="default" w:ascii="Times New Roman" w:hAnsi="Times New Roman" w:cs="Times New Roman"/>
                <w:color w:val="000000" w:themeColor="text1"/>
                <w:sz w:val="24"/>
                <w:szCs w:val="24"/>
                <w14:textFill>
                  <w14:solidFill>
                    <w14:schemeClr w14:val="tx1"/>
                  </w14:solidFill>
                </w14:textFill>
              </w:rPr>
              <w:t>工程，正常生产废气主要为颗粒物、SO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和NOx，不涉及重金属、有毒有害物质及难降解和持久性有机污染物，</w:t>
            </w:r>
            <w:r>
              <w:rPr>
                <w:rFonts w:hint="default" w:ascii="Times New Roman" w:hAnsi="Times New Roman" w:cs="Times New Roman"/>
                <w:color w:val="000000" w:themeColor="text1"/>
                <w:sz w:val="24"/>
                <w:szCs w:val="24"/>
                <w:lang w:val="en-US" w:eastAsia="zh-Hans"/>
                <w14:textFill>
                  <w14:solidFill>
                    <w14:schemeClr w14:val="tx1"/>
                  </w14:solidFill>
                </w14:textFill>
              </w:rPr>
              <w:t>不存在垂直入</w:t>
            </w:r>
            <w:r>
              <w:rPr>
                <w:rFonts w:hint="eastAsia" w:ascii="Times New Roman" w:hAnsi="Times New Roman" w:cs="Times New Roman"/>
                <w:color w:val="000000" w:themeColor="text1"/>
                <w:sz w:val="24"/>
                <w:szCs w:val="24"/>
                <w:lang w:val="en-US" w:eastAsia="zh-CN"/>
                <w14:textFill>
                  <w14:solidFill>
                    <w14:schemeClr w14:val="tx1"/>
                  </w14:solidFill>
                </w14:textFill>
              </w:rPr>
              <w:t>渗</w:t>
            </w:r>
            <w:r>
              <w:rPr>
                <w:rFonts w:hint="default" w:ascii="Times New Roman" w:hAnsi="Times New Roman" w:cs="Times New Roman"/>
                <w:color w:val="000000" w:themeColor="text1"/>
                <w:sz w:val="24"/>
                <w:szCs w:val="24"/>
                <w:lang w:val="en-US" w:eastAsia="zh-Hans"/>
                <w14:textFill>
                  <w14:solidFill>
                    <w14:schemeClr w14:val="tx1"/>
                  </w14:solidFill>
                </w14:textFill>
              </w:rPr>
              <w:t>等污染地下水</w:t>
            </w:r>
            <w:r>
              <w:rPr>
                <w:rFonts w:hint="default" w:ascii="Times New Roman" w:hAnsi="Times New Roman" w:cs="Times New Roman"/>
                <w:color w:val="000000" w:themeColor="text1"/>
                <w:sz w:val="24"/>
                <w:szCs w:val="24"/>
                <w14:textFill>
                  <w14:solidFill>
                    <w14:schemeClr w14:val="tx1"/>
                  </w14:solidFill>
                </w14:textFill>
              </w:rPr>
              <w:t>环境</w:t>
            </w:r>
            <w:r>
              <w:rPr>
                <w:rFonts w:hint="default" w:ascii="Times New Roman" w:hAnsi="Times New Roman" w:cs="Times New Roman"/>
                <w:color w:val="000000" w:themeColor="text1"/>
                <w:sz w:val="24"/>
                <w:szCs w:val="24"/>
                <w:lang w:val="en-US" w:eastAsia="zh-Hans"/>
                <w14:textFill>
                  <w14:solidFill>
                    <w14:schemeClr w14:val="tx1"/>
                  </w14:solidFill>
                </w14:textFill>
              </w:rPr>
              <w:t>途径</w:t>
            </w:r>
            <w:r>
              <w:rPr>
                <w:rFonts w:hint="default" w:ascii="Times New Roman" w:hAnsi="Times New Roman" w:cs="Times New Roman"/>
                <w:color w:val="000000" w:themeColor="text1"/>
                <w:sz w:val="24"/>
                <w:szCs w:val="24"/>
                <w14:textFill>
                  <w14:solidFill>
                    <w14:schemeClr w14:val="tx1"/>
                  </w14:solidFill>
                </w14:textFill>
              </w:rPr>
              <w:t>。因此不开展</w:t>
            </w:r>
            <w:r>
              <w:rPr>
                <w:rFonts w:hint="default" w:ascii="Times New Roman" w:hAnsi="Times New Roman" w:cs="Times New Roman"/>
                <w:color w:val="000000" w:themeColor="text1"/>
                <w:sz w:val="24"/>
                <w:szCs w:val="24"/>
                <w:lang w:val="en-US" w:eastAsia="zh-Hans"/>
                <w14:textFill>
                  <w14:solidFill>
                    <w14:schemeClr w14:val="tx1"/>
                  </w14:solidFill>
                </w14:textFill>
              </w:rPr>
              <w:t>地下水</w:t>
            </w:r>
            <w:r>
              <w:rPr>
                <w:rFonts w:hint="default" w:ascii="Times New Roman" w:hAnsi="Times New Roman" w:cs="Times New Roman"/>
                <w:color w:val="000000" w:themeColor="text1"/>
                <w:sz w:val="24"/>
                <w:szCs w:val="24"/>
                <w14:textFill>
                  <w14:solidFill>
                    <w14:schemeClr w14:val="tx1"/>
                  </w14:solidFill>
                </w14:textFill>
              </w:rPr>
              <w:t>环境质量现状调查</w:t>
            </w:r>
            <w:r>
              <w:rPr>
                <w:rFonts w:hint="default" w:ascii="Times New Roman" w:hAnsi="Times New Roman" w:cs="Times New Roman"/>
                <w:bCs/>
                <w:color w:val="000000" w:themeColor="text1"/>
                <w:sz w:val="24"/>
                <w:szCs w:val="24"/>
                <w14:textFill>
                  <w14:solidFill>
                    <w14:schemeClr w14:val="tx1"/>
                  </w14:solidFill>
                </w14:textFill>
              </w:rPr>
              <w:t>。</w:t>
            </w:r>
          </w:p>
          <w:p w14:paraId="3822E8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6、土壤环境</w:t>
            </w:r>
          </w:p>
          <w:p w14:paraId="0AB756A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val="en-US" w:eastAsia="zh-Hans"/>
                <w14:textFill>
                  <w14:solidFill>
                    <w14:schemeClr w14:val="tx1"/>
                  </w14:solidFill>
                </w14:textFill>
              </w:rPr>
              <w:t>属于生产用热</w:t>
            </w:r>
            <w:r>
              <w:rPr>
                <w:rFonts w:hint="default" w:ascii="Times New Roman" w:hAnsi="Times New Roman" w:cs="Times New Roman"/>
                <w:color w:val="000000" w:themeColor="text1"/>
                <w:sz w:val="24"/>
                <w:szCs w:val="24"/>
                <w14:textFill>
                  <w14:solidFill>
                    <w14:schemeClr w14:val="tx1"/>
                  </w14:solidFill>
                </w14:textFill>
              </w:rPr>
              <w:t>工程，正常生产废气主要为颗粒物、SO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和NOx，不涉及重金属、有毒有害物质及难降解和持久性有机污染物，沉降至地表的颗粒物不会对周围土壤环境产生影响。因此不开展土壤环境质量现状调查。</w:t>
            </w:r>
          </w:p>
        </w:tc>
      </w:tr>
      <w:tr w14:paraId="2C456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7F5A09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环境</w:t>
            </w:r>
          </w:p>
          <w:p w14:paraId="2D8D78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保护</w:t>
            </w:r>
          </w:p>
          <w:p w14:paraId="68153A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目标</w:t>
            </w:r>
          </w:p>
        </w:tc>
        <w:tc>
          <w:tcPr>
            <w:tcW w:w="8190" w:type="dxa"/>
            <w:noWrap w:val="0"/>
            <w:vAlign w:val="center"/>
          </w:tcPr>
          <w:p w14:paraId="3E60482B">
            <w:pPr>
              <w:keepNext w:val="0"/>
              <w:keepLines w:val="0"/>
              <w:suppressLineNumbers w:val="0"/>
              <w:tabs>
                <w:tab w:val="left" w:pos="930"/>
              </w:tabs>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1、大气环境保护目标</w:t>
            </w:r>
          </w:p>
          <w:p w14:paraId="33535B11">
            <w:pPr>
              <w:keepNext w:val="0"/>
              <w:keepLines w:val="0"/>
              <w:suppressLineNumbers w:val="0"/>
              <w:tabs>
                <w:tab w:val="left" w:pos="930"/>
              </w:tabs>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项目位于</w:t>
            </w:r>
            <w:r>
              <w:rPr>
                <w:rFonts w:hint="eastAsia" w:ascii="Times New Roman" w:hAnsi="Times New Roman" w:cs="Times New Roman"/>
                <w:color w:val="000000" w:themeColor="text1"/>
                <w:sz w:val="24"/>
                <w:szCs w:val="24"/>
                <w:lang w:eastAsia="zh-CN"/>
                <w14:textFill>
                  <w14:solidFill>
                    <w14:schemeClr w14:val="tx1"/>
                  </w14:solidFill>
                </w14:textFill>
              </w:rPr>
              <w:t>宝鸡市凤翔高新区西凤酒城</w:t>
            </w:r>
            <w:r>
              <w:rPr>
                <w:rFonts w:hint="default" w:ascii="Times New Roman" w:hAnsi="Times New Roman" w:cs="Times New Roman"/>
                <w:color w:val="000000" w:themeColor="text1"/>
                <w:kern w:val="0"/>
                <w:sz w:val="24"/>
                <w:szCs w:val="24"/>
                <w14:textFill>
                  <w14:solidFill>
                    <w14:schemeClr w14:val="tx1"/>
                  </w14:solidFill>
                </w14:textFill>
              </w:rPr>
              <w:t>，厂界外500米范围存在大气环境保护目标</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具体位置关系见下表。</w:t>
            </w:r>
          </w:p>
          <w:p w14:paraId="6738E9F1">
            <w:pPr>
              <w:keepNext w:val="0"/>
              <w:keepLines w:val="0"/>
              <w:suppressLineNumbers w:val="0"/>
              <w:tabs>
                <w:tab w:val="left" w:pos="930"/>
              </w:tabs>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表3-</w:t>
            </w:r>
            <w:r>
              <w:rPr>
                <w:rFonts w:hint="eastAsia" w:ascii="Times New Roman" w:hAnsi="Times New Roman" w:cs="Times New Roman"/>
                <w:color w:val="000000" w:themeColor="text1"/>
                <w:kern w:val="0"/>
                <w:szCs w:val="21"/>
                <w:lang w:val="en-US" w:eastAsia="zh-CN"/>
                <w14:textFill>
                  <w14:solidFill>
                    <w14:schemeClr w14:val="tx1"/>
                  </w14:solidFill>
                </w14:textFill>
              </w:rPr>
              <w:t>5</w:t>
            </w:r>
            <w:r>
              <w:rPr>
                <w:rFonts w:hint="default" w:ascii="Times New Roman" w:hAnsi="Times New Roman" w:cs="Times New Roman"/>
                <w:color w:val="000000" w:themeColor="text1"/>
                <w:kern w:val="0"/>
                <w:szCs w:val="21"/>
                <w14:textFill>
                  <w14:solidFill>
                    <w14:schemeClr w14:val="tx1"/>
                  </w14:solidFill>
                </w14:textFill>
              </w:rPr>
              <w:t xml:space="preserve"> 大气环境保护目标</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427"/>
              <w:gridCol w:w="1315"/>
              <w:gridCol w:w="648"/>
              <w:gridCol w:w="838"/>
              <w:gridCol w:w="874"/>
              <w:gridCol w:w="898"/>
              <w:gridCol w:w="864"/>
            </w:tblGrid>
            <w:tr w14:paraId="2ECA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4" w:hRule="atLeast"/>
                <w:jc w:val="center"/>
              </w:trPr>
              <w:tc>
                <w:tcPr>
                  <w:tcW w:w="687" w:type="pct"/>
                  <w:vMerge w:val="restart"/>
                  <w:noWrap w:val="0"/>
                  <w:vAlign w:val="center"/>
                </w:tcPr>
                <w:p w14:paraId="752AF8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名称</w:t>
                  </w:r>
                </w:p>
              </w:tc>
              <w:tc>
                <w:tcPr>
                  <w:tcW w:w="1722" w:type="pct"/>
                  <w:gridSpan w:val="2"/>
                  <w:noWrap w:val="0"/>
                  <w:vAlign w:val="center"/>
                </w:tcPr>
                <w:p w14:paraId="04E6B2E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坐标</w:t>
                  </w: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/m</w:t>
                  </w:r>
                </w:p>
              </w:tc>
              <w:tc>
                <w:tcPr>
                  <w:tcW w:w="407" w:type="pct"/>
                  <w:vMerge w:val="restart"/>
                  <w:noWrap w:val="0"/>
                  <w:vAlign w:val="center"/>
                </w:tcPr>
                <w:p w14:paraId="02F3C9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人数</w:t>
                  </w:r>
                </w:p>
              </w:tc>
              <w:tc>
                <w:tcPr>
                  <w:tcW w:w="526" w:type="pct"/>
                  <w:vMerge w:val="restart"/>
                  <w:noWrap w:val="0"/>
                  <w:vAlign w:val="center"/>
                </w:tcPr>
                <w:p w14:paraId="324EF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保护</w:t>
                  </w:r>
                </w:p>
                <w:p w14:paraId="655B3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内容</w:t>
                  </w:r>
                </w:p>
              </w:tc>
              <w:tc>
                <w:tcPr>
                  <w:tcW w:w="549" w:type="pct"/>
                  <w:vMerge w:val="restart"/>
                  <w:noWrap w:val="0"/>
                  <w:vAlign w:val="center"/>
                </w:tcPr>
                <w:p w14:paraId="1C4F3F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环境</w:t>
                  </w:r>
                </w:p>
                <w:p w14:paraId="2A82A0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功能区</w:t>
                  </w:r>
                </w:p>
              </w:tc>
              <w:tc>
                <w:tcPr>
                  <w:tcW w:w="564" w:type="pct"/>
                  <w:vMerge w:val="restart"/>
                  <w:noWrap w:val="0"/>
                  <w:vAlign w:val="center"/>
                </w:tcPr>
                <w:p w14:paraId="0B9BBE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相对厂</w:t>
                  </w:r>
                </w:p>
                <w:p w14:paraId="173049A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址方位</w:t>
                  </w:r>
                </w:p>
              </w:tc>
              <w:tc>
                <w:tcPr>
                  <w:tcW w:w="542" w:type="pct"/>
                  <w:vMerge w:val="restart"/>
                  <w:noWrap w:val="0"/>
                  <w:vAlign w:val="center"/>
                </w:tcPr>
                <w:p w14:paraId="620BDCB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相对厂</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界</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距离</w:t>
                  </w:r>
                </w:p>
              </w:tc>
            </w:tr>
            <w:tr w14:paraId="04F6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vMerge w:val="continue"/>
                  <w:noWrap w:val="0"/>
                  <w:vAlign w:val="center"/>
                </w:tcPr>
                <w:p w14:paraId="69753F41">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896" w:type="pct"/>
                  <w:noWrap w:val="0"/>
                  <w:vAlign w:val="center"/>
                </w:tcPr>
                <w:p w14:paraId="24077781">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X</w:t>
                  </w:r>
                </w:p>
              </w:tc>
              <w:tc>
                <w:tcPr>
                  <w:tcW w:w="826" w:type="pct"/>
                  <w:noWrap w:val="0"/>
                  <w:vAlign w:val="center"/>
                </w:tcPr>
                <w:p w14:paraId="6F2B67C4">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Y</w:t>
                  </w:r>
                </w:p>
              </w:tc>
              <w:tc>
                <w:tcPr>
                  <w:tcW w:w="407" w:type="pct"/>
                  <w:vMerge w:val="continue"/>
                  <w:noWrap w:val="0"/>
                  <w:vAlign w:val="center"/>
                </w:tcPr>
                <w:p w14:paraId="7C74EE83">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26" w:type="pct"/>
                  <w:vMerge w:val="continue"/>
                  <w:noWrap w:val="0"/>
                  <w:vAlign w:val="center"/>
                </w:tcPr>
                <w:p w14:paraId="68B2BE0C">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49" w:type="pct"/>
                  <w:vMerge w:val="continue"/>
                  <w:noWrap w:val="0"/>
                  <w:vAlign w:val="center"/>
                </w:tcPr>
                <w:p w14:paraId="50D164DA">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64" w:type="pct"/>
                  <w:vMerge w:val="continue"/>
                  <w:noWrap w:val="0"/>
                  <w:vAlign w:val="center"/>
                </w:tcPr>
                <w:p w14:paraId="38369685">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42" w:type="pct"/>
                  <w:vMerge w:val="continue"/>
                  <w:noWrap w:val="0"/>
                  <w:vAlign w:val="center"/>
                </w:tcPr>
                <w:p w14:paraId="18028F21">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r>
            <w:tr w14:paraId="2FC6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noWrap w:val="0"/>
                  <w:vAlign w:val="center"/>
                </w:tcPr>
                <w:p w14:paraId="630C7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东巴庄村</w:t>
                  </w:r>
                </w:p>
              </w:tc>
              <w:tc>
                <w:tcPr>
                  <w:tcW w:w="896" w:type="pct"/>
                  <w:noWrap w:val="0"/>
                  <w:vAlign w:val="center"/>
                </w:tcPr>
                <w:p w14:paraId="2FF7FAD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107.317886</w:t>
                  </w:r>
                </w:p>
              </w:tc>
              <w:tc>
                <w:tcPr>
                  <w:tcW w:w="826" w:type="pct"/>
                  <w:noWrap w:val="0"/>
                  <w:vAlign w:val="center"/>
                </w:tcPr>
                <w:p w14:paraId="6AEC5D5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34.562304</w:t>
                  </w:r>
                </w:p>
              </w:tc>
              <w:tc>
                <w:tcPr>
                  <w:tcW w:w="407" w:type="pct"/>
                  <w:noWrap w:val="0"/>
                  <w:vAlign w:val="center"/>
                </w:tcPr>
                <w:p w14:paraId="14FBAB77">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153</w:t>
                  </w:r>
                </w:p>
              </w:tc>
              <w:tc>
                <w:tcPr>
                  <w:tcW w:w="526" w:type="pct"/>
                  <w:vMerge w:val="restart"/>
                  <w:noWrap w:val="0"/>
                  <w:vAlign w:val="center"/>
                </w:tcPr>
                <w:p w14:paraId="1AC5B265">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shd w:val="clear" w:color="auto" w:fill="FFFFFF"/>
                      <w14:textFill>
                        <w14:solidFill>
                          <w14:schemeClr w14:val="tx1"/>
                        </w14:solidFill>
                      </w14:textFill>
                    </w:rPr>
                  </w:pPr>
                  <w:r>
                    <w:rPr>
                      <w:rFonts w:hint="default" w:ascii="Times New Roman" w:hAnsi="Times New Roman" w:cs="Times New Roman"/>
                      <w:color w:val="000000" w:themeColor="text1"/>
                      <w:kern w:val="0"/>
                      <w:sz w:val="21"/>
                      <w:szCs w:val="21"/>
                      <w:shd w:val="clear" w:color="auto" w:fill="FFFFFF"/>
                      <w14:textFill>
                        <w14:solidFill>
                          <w14:schemeClr w14:val="tx1"/>
                        </w14:solidFill>
                      </w14:textFill>
                    </w:rPr>
                    <w:t>人群</w:t>
                  </w:r>
                </w:p>
              </w:tc>
              <w:tc>
                <w:tcPr>
                  <w:tcW w:w="549" w:type="pct"/>
                  <w:vMerge w:val="restart"/>
                  <w:noWrap w:val="0"/>
                  <w:vAlign w:val="center"/>
                </w:tcPr>
                <w:p w14:paraId="0C58942E">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t>大气</w:t>
                  </w:r>
                </w:p>
                <w:p w14:paraId="6623633C">
                  <w:pPr>
                    <w:pStyle w:val="20"/>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kern w:val="0"/>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t>环境二类区</w:t>
                  </w:r>
                </w:p>
              </w:tc>
              <w:tc>
                <w:tcPr>
                  <w:tcW w:w="564" w:type="pct"/>
                  <w:noWrap w:val="0"/>
                  <w:vAlign w:val="center"/>
                </w:tcPr>
                <w:p w14:paraId="5186D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542" w:type="pct"/>
                  <w:noWrap w:val="0"/>
                  <w:vAlign w:val="center"/>
                </w:tcPr>
                <w:p w14:paraId="30C1E7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m</w:t>
                  </w:r>
                </w:p>
              </w:tc>
            </w:tr>
            <w:tr w14:paraId="4854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noWrap w:val="0"/>
                  <w:vAlign w:val="center"/>
                </w:tcPr>
                <w:p w14:paraId="4EC89B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赵家新庄</w:t>
                  </w:r>
                </w:p>
              </w:tc>
              <w:tc>
                <w:tcPr>
                  <w:tcW w:w="896" w:type="pct"/>
                  <w:noWrap w:val="0"/>
                  <w:vAlign w:val="center"/>
                </w:tcPr>
                <w:p w14:paraId="454E781C">
                  <w:pPr>
                    <w:pStyle w:val="8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107.3259964</w:t>
                  </w:r>
                </w:p>
              </w:tc>
              <w:tc>
                <w:tcPr>
                  <w:tcW w:w="826" w:type="pct"/>
                  <w:noWrap w:val="0"/>
                  <w:vAlign w:val="center"/>
                </w:tcPr>
                <w:p w14:paraId="272C03B6">
                  <w:pPr>
                    <w:pStyle w:val="8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34.5615005</w:t>
                  </w:r>
                </w:p>
              </w:tc>
              <w:tc>
                <w:tcPr>
                  <w:tcW w:w="407" w:type="pct"/>
                  <w:noWrap w:val="0"/>
                  <w:vAlign w:val="center"/>
                </w:tcPr>
                <w:p w14:paraId="4FE5BCED">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99</w:t>
                  </w:r>
                </w:p>
              </w:tc>
              <w:tc>
                <w:tcPr>
                  <w:tcW w:w="526" w:type="pct"/>
                  <w:vMerge w:val="continue"/>
                  <w:noWrap w:val="0"/>
                  <w:vAlign w:val="center"/>
                </w:tcPr>
                <w:p w14:paraId="77A08B0D">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49" w:type="pct"/>
                  <w:vMerge w:val="continue"/>
                  <w:noWrap w:val="0"/>
                  <w:vAlign w:val="center"/>
                </w:tcPr>
                <w:p w14:paraId="61B4B759">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64" w:type="pct"/>
                  <w:noWrap w:val="0"/>
                  <w:vAlign w:val="center"/>
                </w:tcPr>
                <w:p w14:paraId="5202F1A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E</w:t>
                  </w:r>
                </w:p>
              </w:tc>
              <w:tc>
                <w:tcPr>
                  <w:tcW w:w="542" w:type="pct"/>
                  <w:noWrap w:val="0"/>
                  <w:vAlign w:val="center"/>
                </w:tcPr>
                <w:p w14:paraId="2598DD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363</w:t>
                  </w: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m</w:t>
                  </w:r>
                </w:p>
              </w:tc>
            </w:tr>
            <w:tr w14:paraId="75B6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7" w:type="pct"/>
                  <w:noWrap w:val="0"/>
                  <w:vAlign w:val="center"/>
                </w:tcPr>
                <w:p w14:paraId="3D08F2A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宋村</w:t>
                  </w:r>
                </w:p>
              </w:tc>
              <w:tc>
                <w:tcPr>
                  <w:tcW w:w="896" w:type="pct"/>
                  <w:noWrap w:val="0"/>
                  <w:vAlign w:val="center"/>
                </w:tcPr>
                <w:p w14:paraId="57B6375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107.317427</w:t>
                  </w:r>
                  <w:r>
                    <w:rPr>
                      <w:rFonts w:hint="eastAsia" w:ascii="Times New Roman" w:hAnsi="Times New Roman" w:cs="Times New Roman"/>
                      <w:color w:val="000000" w:themeColor="text1"/>
                      <w:kern w:val="2"/>
                      <w:sz w:val="21"/>
                      <w:szCs w:val="21"/>
                      <w:lang w:val="en-US" w:eastAsia="zh-CN"/>
                      <w14:textFill>
                        <w14:solidFill>
                          <w14:schemeClr w14:val="tx1"/>
                        </w14:solidFill>
                      </w14:textFill>
                    </w:rPr>
                    <w:t>7</w:t>
                  </w:r>
                </w:p>
              </w:tc>
              <w:tc>
                <w:tcPr>
                  <w:tcW w:w="826" w:type="pct"/>
                  <w:noWrap w:val="0"/>
                  <w:vAlign w:val="center"/>
                </w:tcPr>
                <w:p w14:paraId="709EFF0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34.56605</w:t>
                  </w:r>
                  <w:r>
                    <w:rPr>
                      <w:rFonts w:hint="eastAsia" w:ascii="Times New Roman" w:hAnsi="Times New Roman" w:cs="Times New Roman"/>
                      <w:color w:val="000000" w:themeColor="text1"/>
                      <w:kern w:val="2"/>
                      <w:sz w:val="21"/>
                      <w:szCs w:val="21"/>
                      <w:lang w:val="en-US" w:eastAsia="zh-CN"/>
                      <w14:textFill>
                        <w14:solidFill>
                          <w14:schemeClr w14:val="tx1"/>
                        </w14:solidFill>
                      </w14:textFill>
                    </w:rPr>
                    <w:t>4</w:t>
                  </w:r>
                </w:p>
              </w:tc>
              <w:tc>
                <w:tcPr>
                  <w:tcW w:w="407" w:type="pct"/>
                  <w:noWrap w:val="0"/>
                  <w:vAlign w:val="center"/>
                </w:tcPr>
                <w:p w14:paraId="7BAD8869">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18</w:t>
                  </w:r>
                </w:p>
              </w:tc>
              <w:tc>
                <w:tcPr>
                  <w:tcW w:w="526" w:type="pct"/>
                  <w:vMerge w:val="continue"/>
                  <w:noWrap w:val="0"/>
                  <w:vAlign w:val="center"/>
                </w:tcPr>
                <w:p w14:paraId="014E2383">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49" w:type="pct"/>
                  <w:vMerge w:val="continue"/>
                  <w:noWrap w:val="0"/>
                  <w:vAlign w:val="center"/>
                </w:tcPr>
                <w:p w14:paraId="2368C4C8">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64" w:type="pct"/>
                  <w:noWrap w:val="0"/>
                  <w:vAlign w:val="center"/>
                </w:tcPr>
                <w:p w14:paraId="55714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542" w:type="pct"/>
                  <w:noWrap w:val="0"/>
                  <w:vAlign w:val="center"/>
                </w:tcPr>
                <w:p w14:paraId="085980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429</w:t>
                  </w: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m</w:t>
                  </w:r>
                </w:p>
              </w:tc>
            </w:tr>
          </w:tbl>
          <w:p w14:paraId="7360CBD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2、声环境保护目标</w:t>
            </w:r>
          </w:p>
          <w:p w14:paraId="7A6A143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项目位于</w:t>
            </w:r>
            <w:r>
              <w:rPr>
                <w:rFonts w:hint="eastAsia" w:ascii="Times New Roman" w:hAnsi="Times New Roman" w:cs="Times New Roman"/>
                <w:color w:val="000000" w:themeColor="text1"/>
                <w:sz w:val="24"/>
                <w:szCs w:val="24"/>
                <w:lang w:eastAsia="zh-CN"/>
                <w14:textFill>
                  <w14:solidFill>
                    <w14:schemeClr w14:val="tx1"/>
                  </w14:solidFill>
                </w14:textFill>
              </w:rPr>
              <w:t>宝鸡市凤翔高新区西凤酒城</w:t>
            </w:r>
            <w:r>
              <w:rPr>
                <w:rFonts w:hint="default" w:ascii="Times New Roman" w:hAnsi="Times New Roman" w:cs="Times New Roman"/>
                <w:color w:val="000000" w:themeColor="text1"/>
                <w:kern w:val="0"/>
                <w:sz w:val="24"/>
                <w:szCs w:val="24"/>
                <w14:textFill>
                  <w14:solidFill>
                    <w14:schemeClr w14:val="tx1"/>
                  </w14:solidFill>
                </w14:textFill>
              </w:rPr>
              <w:t>，经现场调查</w:t>
            </w:r>
            <w:r>
              <w:rPr>
                <w:rFonts w:hint="default" w:ascii="Times New Roman" w:hAnsi="Times New Roman" w:cs="Times New Roman"/>
                <w:color w:val="000000" w:themeColor="text1"/>
                <w:kern w:val="0"/>
                <w:sz w:val="24"/>
                <w:szCs w:val="24"/>
                <w:lang w:val="en-US" w:eastAsia="zh-CN"/>
                <w14:textFill>
                  <w14:solidFill>
                    <w14:schemeClr w14:val="tx1"/>
                  </w14:solidFill>
                </w14:textFill>
              </w:rPr>
              <w:t>项目</w:t>
            </w:r>
            <w:r>
              <w:rPr>
                <w:rFonts w:hint="default" w:ascii="Times New Roman" w:hAnsi="Times New Roman" w:cs="Times New Roman"/>
                <w:color w:val="000000" w:themeColor="text1"/>
                <w:kern w:val="0"/>
                <w:sz w:val="24"/>
                <w:szCs w:val="24"/>
                <w14:textFill>
                  <w14:solidFill>
                    <w14:schemeClr w14:val="tx1"/>
                  </w14:solidFill>
                </w14:textFill>
              </w:rPr>
              <w:t>外围50m范围存在声环境保护目标</w:t>
            </w:r>
            <w:r>
              <w:rPr>
                <w:rFonts w:hint="eastAsia" w:ascii="Times New Roman" w:hAnsi="Times New Roman" w:cs="Times New Roman"/>
                <w:color w:val="000000" w:themeColor="text1"/>
                <w:kern w:val="0"/>
                <w:sz w:val="24"/>
                <w:szCs w:val="24"/>
                <w:lang w:eastAsia="zh-CN"/>
                <w14:textFill>
                  <w14:solidFill>
                    <w14:schemeClr w14:val="tx1"/>
                  </w14:solidFill>
                </w14:textFill>
              </w:rPr>
              <w:t>，具体位置关系</w:t>
            </w:r>
            <w:r>
              <w:rPr>
                <w:rFonts w:hint="default" w:ascii="Times New Roman" w:hAnsi="Times New Roman" w:eastAsia="宋体" w:cs="Times New Roman"/>
                <w:color w:val="000000" w:themeColor="text1"/>
                <w:kern w:val="0"/>
                <w:sz w:val="24"/>
                <w:szCs w:val="24"/>
                <w14:textFill>
                  <w14:solidFill>
                    <w14:schemeClr w14:val="tx1"/>
                  </w14:solidFill>
                </w14:textFill>
              </w:rPr>
              <w:t>见下表。</w:t>
            </w:r>
          </w:p>
          <w:p w14:paraId="53845B05">
            <w:pPr>
              <w:keepNext w:val="0"/>
              <w:keepLines w:val="0"/>
              <w:suppressLineNumbers w:val="0"/>
              <w:tabs>
                <w:tab w:val="left" w:pos="930"/>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表3-</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声</w:t>
            </w:r>
            <w:r>
              <w:rPr>
                <w:rFonts w:hint="default" w:ascii="Times New Roman" w:hAnsi="Times New Roman" w:eastAsia="宋体" w:cs="Times New Roman"/>
                <w:color w:val="000000" w:themeColor="text1"/>
                <w:kern w:val="0"/>
                <w:szCs w:val="21"/>
                <w14:textFill>
                  <w14:solidFill>
                    <w14:schemeClr w14:val="tx1"/>
                  </w14:solidFill>
                </w14:textFill>
              </w:rPr>
              <w:t>环境保护目标</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427"/>
              <w:gridCol w:w="1314"/>
              <w:gridCol w:w="648"/>
              <w:gridCol w:w="838"/>
              <w:gridCol w:w="874"/>
              <w:gridCol w:w="899"/>
              <w:gridCol w:w="864"/>
            </w:tblGrid>
            <w:tr w14:paraId="6326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vMerge w:val="restart"/>
                  <w:noWrap w:val="0"/>
                  <w:vAlign w:val="center"/>
                </w:tcPr>
                <w:p w14:paraId="62538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名称</w:t>
                  </w:r>
                </w:p>
              </w:tc>
              <w:tc>
                <w:tcPr>
                  <w:tcW w:w="1721" w:type="pct"/>
                  <w:gridSpan w:val="2"/>
                  <w:noWrap w:val="0"/>
                  <w:vAlign w:val="center"/>
                </w:tcPr>
                <w:p w14:paraId="1C100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坐标/m</w:t>
                  </w:r>
                </w:p>
              </w:tc>
              <w:tc>
                <w:tcPr>
                  <w:tcW w:w="407" w:type="pct"/>
                  <w:vMerge w:val="restart"/>
                  <w:noWrap w:val="0"/>
                  <w:vAlign w:val="center"/>
                </w:tcPr>
                <w:p w14:paraId="7F5184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人数</w:t>
                  </w:r>
                </w:p>
              </w:tc>
              <w:tc>
                <w:tcPr>
                  <w:tcW w:w="526" w:type="pct"/>
                  <w:vMerge w:val="restart"/>
                  <w:noWrap w:val="0"/>
                  <w:vAlign w:val="center"/>
                </w:tcPr>
                <w:p w14:paraId="543F40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保护</w:t>
                  </w:r>
                </w:p>
                <w:p w14:paraId="6C074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内容</w:t>
                  </w:r>
                </w:p>
              </w:tc>
              <w:tc>
                <w:tcPr>
                  <w:tcW w:w="549" w:type="pct"/>
                  <w:vMerge w:val="restart"/>
                  <w:noWrap w:val="0"/>
                  <w:vAlign w:val="center"/>
                </w:tcPr>
                <w:p w14:paraId="66E9DB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环境</w:t>
                  </w:r>
                </w:p>
                <w:p w14:paraId="23D200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功能区</w:t>
                  </w:r>
                </w:p>
              </w:tc>
              <w:tc>
                <w:tcPr>
                  <w:tcW w:w="564" w:type="pct"/>
                  <w:vMerge w:val="restart"/>
                  <w:noWrap w:val="0"/>
                  <w:vAlign w:val="center"/>
                </w:tcPr>
                <w:p w14:paraId="6B7B0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相对厂</w:t>
                  </w:r>
                </w:p>
                <w:p w14:paraId="7714C7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址方位</w:t>
                  </w:r>
                </w:p>
              </w:tc>
              <w:tc>
                <w:tcPr>
                  <w:tcW w:w="542" w:type="pct"/>
                  <w:vMerge w:val="restart"/>
                  <w:noWrap w:val="0"/>
                  <w:vAlign w:val="center"/>
                </w:tcPr>
                <w:p w14:paraId="0ED503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相对厂</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界</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距离</w:t>
                  </w:r>
                </w:p>
              </w:tc>
            </w:tr>
            <w:tr w14:paraId="70A3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vMerge w:val="continue"/>
                  <w:noWrap w:val="0"/>
                  <w:vAlign w:val="center"/>
                </w:tcPr>
                <w:p w14:paraId="2BD73144">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c>
                <w:tcPr>
                  <w:tcW w:w="896" w:type="pct"/>
                  <w:noWrap w:val="0"/>
                  <w:vAlign w:val="center"/>
                </w:tcPr>
                <w:p w14:paraId="34752BEA">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X</w:t>
                  </w:r>
                </w:p>
              </w:tc>
              <w:tc>
                <w:tcPr>
                  <w:tcW w:w="825" w:type="pct"/>
                  <w:noWrap w:val="0"/>
                  <w:vAlign w:val="center"/>
                </w:tcPr>
                <w:p w14:paraId="11B20A3C">
                  <w:pPr>
                    <w:keepNext w:val="0"/>
                    <w:keepLines w:val="0"/>
                    <w:widowControl w:val="0"/>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Y</w:t>
                  </w:r>
                </w:p>
              </w:tc>
              <w:tc>
                <w:tcPr>
                  <w:tcW w:w="407" w:type="pct"/>
                  <w:vMerge w:val="continue"/>
                  <w:noWrap w:val="0"/>
                  <w:vAlign w:val="center"/>
                </w:tcPr>
                <w:p w14:paraId="48730430">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c>
                <w:tcPr>
                  <w:tcW w:w="526" w:type="pct"/>
                  <w:vMerge w:val="continue"/>
                  <w:noWrap w:val="0"/>
                  <w:vAlign w:val="center"/>
                </w:tcPr>
                <w:p w14:paraId="3773256B">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c>
                <w:tcPr>
                  <w:tcW w:w="549" w:type="pct"/>
                  <w:vMerge w:val="continue"/>
                  <w:noWrap w:val="0"/>
                  <w:vAlign w:val="center"/>
                </w:tcPr>
                <w:p w14:paraId="3EDDB40C">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c>
                <w:tcPr>
                  <w:tcW w:w="564" w:type="pct"/>
                  <w:vMerge w:val="continue"/>
                  <w:noWrap w:val="0"/>
                  <w:vAlign w:val="center"/>
                </w:tcPr>
                <w:p w14:paraId="48B33EA3">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c>
                <w:tcPr>
                  <w:tcW w:w="542" w:type="pct"/>
                  <w:vMerge w:val="continue"/>
                  <w:noWrap w:val="0"/>
                  <w:vAlign w:val="center"/>
                </w:tcPr>
                <w:p w14:paraId="51B48CCE">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0"/>
                      <w:szCs w:val="20"/>
                      <w14:textFill>
                        <w14:solidFill>
                          <w14:schemeClr w14:val="tx1"/>
                        </w14:solidFill>
                      </w14:textFill>
                    </w:rPr>
                  </w:pPr>
                </w:p>
              </w:tc>
            </w:tr>
            <w:tr w14:paraId="7462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pct"/>
                  <w:noWrap w:val="0"/>
                  <w:vAlign w:val="center"/>
                </w:tcPr>
                <w:p w14:paraId="378BD8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东巴庄村</w:t>
                  </w:r>
                </w:p>
              </w:tc>
              <w:tc>
                <w:tcPr>
                  <w:tcW w:w="896" w:type="pct"/>
                  <w:noWrap w:val="0"/>
                  <w:vAlign w:val="center"/>
                </w:tcPr>
                <w:p w14:paraId="3E2F512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107.317886</w:t>
                  </w:r>
                </w:p>
              </w:tc>
              <w:tc>
                <w:tcPr>
                  <w:tcW w:w="825" w:type="pct"/>
                  <w:noWrap w:val="0"/>
                  <w:vAlign w:val="center"/>
                </w:tcPr>
                <w:p w14:paraId="66A8795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34.562304</w:t>
                  </w:r>
                </w:p>
              </w:tc>
              <w:tc>
                <w:tcPr>
                  <w:tcW w:w="407" w:type="pct"/>
                  <w:noWrap w:val="0"/>
                  <w:vAlign w:val="center"/>
                </w:tcPr>
                <w:p w14:paraId="017BB000">
                  <w:pPr>
                    <w:keepNext w:val="0"/>
                    <w:keepLines w:val="0"/>
                    <w:widowControl w:val="0"/>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153</w:t>
                  </w:r>
                </w:p>
              </w:tc>
              <w:tc>
                <w:tcPr>
                  <w:tcW w:w="526" w:type="pct"/>
                  <w:noWrap w:val="0"/>
                  <w:vAlign w:val="center"/>
                </w:tcPr>
                <w:p w14:paraId="2960354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t>人群</w:t>
                  </w:r>
                </w:p>
              </w:tc>
              <w:tc>
                <w:tcPr>
                  <w:tcW w:w="549" w:type="pct"/>
                  <w:noWrap w:val="0"/>
                  <w:vAlign w:val="center"/>
                </w:tcPr>
                <w:p w14:paraId="07FB100B">
                  <w:pPr>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shd w:val="clear" w:color="auto" w:fill="FFFFFF"/>
                      <w:lang w:val="en-US" w:eastAsia="zh-CN" w:bidi="ar"/>
                      <w14:textFill>
                        <w14:solidFill>
                          <w14:schemeClr w14:val="tx1"/>
                        </w14:solidFill>
                      </w14:textFill>
                    </w:rPr>
                    <w:t>声环境二类区</w:t>
                  </w:r>
                </w:p>
              </w:tc>
              <w:tc>
                <w:tcPr>
                  <w:tcW w:w="564" w:type="pct"/>
                  <w:noWrap w:val="0"/>
                  <w:vAlign w:val="center"/>
                </w:tcPr>
                <w:p w14:paraId="3B8CAF0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542" w:type="pct"/>
                  <w:noWrap w:val="0"/>
                  <w:vAlign w:val="center"/>
                </w:tcPr>
                <w:p w14:paraId="37E77E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m</w:t>
                  </w:r>
                </w:p>
              </w:tc>
            </w:tr>
          </w:tbl>
          <w:p w14:paraId="179DBA0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地下水环境</w:t>
            </w:r>
          </w:p>
          <w:p w14:paraId="318B13B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厂界外500米范围内没有地下水集中式饮用水水源和热水、矿泉水、温泉等特殊地下水资源，无地下水环境保护目标。</w:t>
            </w:r>
          </w:p>
          <w:p w14:paraId="2FC6538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生态环境</w:t>
            </w:r>
          </w:p>
          <w:p w14:paraId="01F9F22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项目位于</w:t>
            </w:r>
            <w:r>
              <w:rPr>
                <w:rFonts w:hint="eastAsia" w:ascii="Times New Roman" w:hAnsi="Times New Roman" w:eastAsia="宋体" w:cs="Times New Roman"/>
                <w:color w:val="000000" w:themeColor="text1"/>
                <w:sz w:val="24"/>
                <w:szCs w:val="24"/>
                <w:lang w:eastAsia="zh-CN"/>
                <w14:textFill>
                  <w14:solidFill>
                    <w14:schemeClr w14:val="tx1"/>
                  </w14:solidFill>
                </w14:textFill>
              </w:rPr>
              <w:t>宝鸡市凤翔高新区西凤酒城</w:t>
            </w:r>
            <w:r>
              <w:rPr>
                <w:rFonts w:hint="default" w:ascii="Times New Roman" w:hAnsi="Times New Roman" w:eastAsia="宋体" w:cs="Times New Roman"/>
                <w:color w:val="000000" w:themeColor="text1"/>
                <w:sz w:val="24"/>
                <w:szCs w:val="24"/>
                <w14:textFill>
                  <w14:solidFill>
                    <w14:schemeClr w14:val="tx1"/>
                  </w14:solidFill>
                </w14:textFill>
              </w:rPr>
              <w:t>，厂区周围植被主要以人工植被为主，不</w:t>
            </w:r>
            <w:r>
              <w:rPr>
                <w:rFonts w:hint="eastAsia" w:ascii="Times New Roman" w:hAnsi="Times New Roman" w:eastAsia="宋体" w:cs="Times New Roman"/>
                <w:color w:val="000000" w:themeColor="text1"/>
                <w:sz w:val="24"/>
                <w:szCs w:val="24"/>
                <w:lang w:eastAsia="zh-CN"/>
                <w14:textFill>
                  <w14:solidFill>
                    <w14:schemeClr w14:val="tx1"/>
                  </w14:solidFill>
                </w14:textFill>
              </w:rPr>
              <w:t>含</w:t>
            </w:r>
            <w:r>
              <w:rPr>
                <w:rFonts w:hint="default" w:ascii="Times New Roman" w:hAnsi="Times New Roman" w:eastAsia="宋体" w:cs="Times New Roman"/>
                <w:color w:val="000000" w:themeColor="text1"/>
                <w:sz w:val="24"/>
                <w:szCs w:val="24"/>
                <w14:textFill>
                  <w14:solidFill>
                    <w14:schemeClr w14:val="tx1"/>
                  </w14:solidFill>
                </w14:textFill>
              </w:rPr>
              <w:t>生态环境保护目标。</w:t>
            </w:r>
          </w:p>
        </w:tc>
      </w:tr>
      <w:tr w14:paraId="5B209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49758C6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污染</w:t>
            </w:r>
          </w:p>
          <w:p w14:paraId="1800ED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物排</w:t>
            </w:r>
          </w:p>
          <w:p w14:paraId="74063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放控</w:t>
            </w:r>
          </w:p>
          <w:p w14:paraId="5502A5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制标</w:t>
            </w:r>
          </w:p>
          <w:p w14:paraId="7014E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准</w:t>
            </w:r>
          </w:p>
        </w:tc>
        <w:tc>
          <w:tcPr>
            <w:tcW w:w="8190" w:type="dxa"/>
            <w:noWrap w:val="0"/>
            <w:vAlign w:val="center"/>
          </w:tcPr>
          <w:p w14:paraId="25B8493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1、废气排放标准</w:t>
            </w:r>
          </w:p>
          <w:p w14:paraId="0D1E9BB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锅炉运行期天然气燃烧废气（</w:t>
            </w:r>
            <w:r>
              <w:rPr>
                <w:rFonts w:hint="default" w:ascii="Times New Roman" w:hAnsi="Times New Roman" w:cs="Times New Roman"/>
                <w:color w:val="000000" w:themeColor="text1"/>
                <w:sz w:val="24"/>
                <w:szCs w:val="24"/>
                <w14:textFill>
                  <w14:solidFill>
                    <w14:schemeClr w14:val="tx1"/>
                  </w14:solidFill>
                </w14:textFill>
              </w:rPr>
              <w:t>颗粒物、二氧化硫</w:t>
            </w:r>
            <w:r>
              <w:rPr>
                <w:rFonts w:hint="default" w:ascii="Times New Roman" w:hAnsi="Times New Roman" w:cs="Times New Roman"/>
                <w:color w:val="000000" w:themeColor="text1"/>
                <w:kern w:val="0"/>
                <w:sz w:val="24"/>
                <w:szCs w:val="24"/>
                <w14:textFill>
                  <w14:solidFill>
                    <w14:schemeClr w14:val="tx1"/>
                  </w14:solidFill>
                </w14:textFill>
              </w:rPr>
              <w:t>）执行《锅炉大气污染物排放标准》（DB61/1226-2018）表5排放浓度限值，烟气黑度执行《锅炉大气污染物排放标准》（GB13271-2014）表3排放限值</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氮氧化物执行《宝鸡市锅炉大气污染专项整治行动方案》（宝气专办发</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2023</w:t>
            </w:r>
            <w:r>
              <w:rPr>
                <w:rFonts w:hint="eastAsia" w:ascii="Times New Roman" w:hAnsi="Times New Roman" w:cs="Times New Roman"/>
                <w:color w:val="000000" w:themeColor="text1"/>
                <w:kern w:val="0"/>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7号）中浓度要求，具体见下表</w:t>
            </w:r>
            <w:r>
              <w:rPr>
                <w:rFonts w:hint="default" w:ascii="Times New Roman" w:hAnsi="Times New Roman" w:cs="Times New Roman"/>
                <w:color w:val="000000" w:themeColor="text1"/>
                <w:kern w:val="0"/>
                <w:sz w:val="24"/>
                <w:szCs w:val="24"/>
                <w14:textFill>
                  <w14:solidFill>
                    <w14:schemeClr w14:val="tx1"/>
                  </w14:solidFill>
                </w14:textFill>
              </w:rPr>
              <w:t>。</w:t>
            </w:r>
          </w:p>
          <w:p w14:paraId="42292F1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表3-</w:t>
            </w:r>
            <w:r>
              <w:rPr>
                <w:rFonts w:hint="eastAsia" w:ascii="Times New Roman" w:hAnsi="Times New Roman" w:cs="Times New Roman"/>
                <w:color w:val="000000" w:themeColor="text1"/>
                <w:kern w:val="0"/>
                <w:szCs w:val="21"/>
                <w:lang w:val="en-US" w:eastAsia="zh-CN"/>
                <w14:textFill>
                  <w14:solidFill>
                    <w14:schemeClr w14:val="tx1"/>
                  </w14:solidFill>
                </w14:textFill>
              </w:rPr>
              <w:t>7</w:t>
            </w:r>
            <w:r>
              <w:rPr>
                <w:rFonts w:hint="default" w:ascii="Times New Roman" w:hAnsi="Times New Roman" w:cs="Times New Roman"/>
                <w:color w:val="000000" w:themeColor="text1"/>
                <w:kern w:val="0"/>
                <w:szCs w:val="21"/>
                <w14:textFill>
                  <w14:solidFill>
                    <w14:schemeClr w14:val="tx1"/>
                  </w14:solidFill>
                </w14:textFill>
              </w:rPr>
              <w:t xml:space="preserve"> </w:t>
            </w:r>
            <w:r>
              <w:rPr>
                <w:rFonts w:hint="default" w:ascii="Times New Roman" w:hAnsi="Times New Roman" w:cs="Times New Roman"/>
                <w:color w:val="000000" w:themeColor="text1"/>
                <w:kern w:val="0"/>
                <w:szCs w:val="21"/>
                <w:lang w:val="en-US" w:eastAsia="zh-CN"/>
                <w14:textFill>
                  <w14:solidFill>
                    <w14:schemeClr w14:val="tx1"/>
                  </w14:solidFill>
                </w14:textFill>
              </w:rPr>
              <w:t xml:space="preserve"> </w:t>
            </w:r>
            <w:r>
              <w:rPr>
                <w:rFonts w:hint="default" w:ascii="Times New Roman" w:hAnsi="Times New Roman" w:cs="Times New Roman"/>
                <w:color w:val="000000" w:themeColor="text1"/>
                <w:kern w:val="0"/>
                <w:szCs w:val="21"/>
                <w14:textFill>
                  <w14:solidFill>
                    <w14:schemeClr w14:val="tx1"/>
                  </w14:solidFill>
                </w14:textFill>
              </w:rPr>
              <w:t>大气污染物排放标准</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43"/>
              <w:gridCol w:w="1117"/>
              <w:gridCol w:w="2537"/>
              <w:gridCol w:w="567"/>
            </w:tblGrid>
            <w:tr w14:paraId="45D17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jc w:val="center"/>
              </w:trPr>
              <w:tc>
                <w:tcPr>
                  <w:tcW w:w="2349" w:type="pct"/>
                  <w:vMerge w:val="restart"/>
                  <w:noWrap w:val="0"/>
                  <w:vAlign w:val="center"/>
                </w:tcPr>
                <w:p w14:paraId="219A3CE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标准名称</w:t>
                  </w:r>
                </w:p>
                <w:p w14:paraId="2D4D50CA">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及级（类）别</w:t>
                  </w:r>
                </w:p>
              </w:tc>
              <w:tc>
                <w:tcPr>
                  <w:tcW w:w="701" w:type="pct"/>
                  <w:vMerge w:val="restart"/>
                  <w:noWrap w:val="0"/>
                  <w:vAlign w:val="center"/>
                </w:tcPr>
                <w:p w14:paraId="0C009B58">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污染因子</w:t>
                  </w:r>
                </w:p>
              </w:tc>
              <w:tc>
                <w:tcPr>
                  <w:tcW w:w="1948" w:type="pct"/>
                  <w:gridSpan w:val="2"/>
                  <w:noWrap w:val="0"/>
                  <w:vAlign w:val="center"/>
                </w:tcPr>
                <w:p w14:paraId="2C65A38C">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p>
              </w:tc>
            </w:tr>
            <w:tr w14:paraId="59940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49" w:type="pct"/>
                  <w:vMerge w:val="continue"/>
                  <w:noWrap w:val="0"/>
                  <w:vAlign w:val="center"/>
                </w:tcPr>
                <w:p w14:paraId="0E983CA7">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0"/>
                      <w:szCs w:val="21"/>
                      <w14:textFill>
                        <w14:solidFill>
                          <w14:schemeClr w14:val="tx1"/>
                        </w14:solidFill>
                      </w14:textFill>
                    </w:rPr>
                  </w:pPr>
                </w:p>
              </w:tc>
              <w:tc>
                <w:tcPr>
                  <w:tcW w:w="701" w:type="pct"/>
                  <w:vMerge w:val="continue"/>
                  <w:noWrap w:val="0"/>
                  <w:vAlign w:val="center"/>
                </w:tcPr>
                <w:p w14:paraId="5B5EC2A7">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0"/>
                      <w:szCs w:val="21"/>
                      <w14:textFill>
                        <w14:solidFill>
                          <w14:schemeClr w14:val="tx1"/>
                        </w14:solidFill>
                      </w14:textFill>
                    </w:rPr>
                  </w:pPr>
                </w:p>
              </w:tc>
              <w:tc>
                <w:tcPr>
                  <w:tcW w:w="1592" w:type="pct"/>
                  <w:noWrap w:val="0"/>
                  <w:vAlign w:val="center"/>
                </w:tcPr>
                <w:p w14:paraId="0BC24A16">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355" w:type="pct"/>
                  <w:noWrap w:val="0"/>
                  <w:vAlign w:val="center"/>
                </w:tcPr>
                <w:p w14:paraId="70D6E96C">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数值</w:t>
                  </w:r>
                </w:p>
              </w:tc>
            </w:tr>
            <w:tr w14:paraId="02E58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49" w:type="pct"/>
                  <w:vMerge w:val="restart"/>
                  <w:noWrap w:val="0"/>
                  <w:vAlign w:val="center"/>
                </w:tcPr>
                <w:p w14:paraId="173B7C2C">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《锅炉大气污染物排放标准》</w:t>
                  </w:r>
                </w:p>
                <w:p w14:paraId="4213923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（DB61/1226-2018）中表3标准</w:t>
                  </w:r>
                </w:p>
              </w:tc>
              <w:tc>
                <w:tcPr>
                  <w:tcW w:w="701" w:type="pct"/>
                  <w:noWrap w:val="0"/>
                  <w:vAlign w:val="center"/>
                </w:tcPr>
                <w:p w14:paraId="496B6ECE">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p>
              </w:tc>
              <w:tc>
                <w:tcPr>
                  <w:tcW w:w="1592" w:type="pct"/>
                  <w:noWrap w:val="0"/>
                  <w:vAlign w:val="center"/>
                </w:tcPr>
                <w:p w14:paraId="56F90FFC">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排放浓度限值 mg/m³</w:t>
                  </w:r>
                </w:p>
              </w:tc>
              <w:tc>
                <w:tcPr>
                  <w:tcW w:w="355" w:type="pct"/>
                  <w:noWrap w:val="0"/>
                  <w:vAlign w:val="center"/>
                </w:tcPr>
                <w:p w14:paraId="23A3CE6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p>
              </w:tc>
            </w:tr>
            <w:tr w14:paraId="4CB1A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49" w:type="pct"/>
                  <w:vMerge w:val="continue"/>
                  <w:noWrap w:val="0"/>
                  <w:vAlign w:val="center"/>
                </w:tcPr>
                <w:p w14:paraId="215B4A7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0"/>
                      <w:szCs w:val="21"/>
                      <w14:textFill>
                        <w14:solidFill>
                          <w14:schemeClr w14:val="tx1"/>
                        </w14:solidFill>
                      </w14:textFill>
                    </w:rPr>
                  </w:pPr>
                </w:p>
              </w:tc>
              <w:tc>
                <w:tcPr>
                  <w:tcW w:w="701" w:type="pct"/>
                  <w:noWrap w:val="0"/>
                  <w:vAlign w:val="center"/>
                </w:tcPr>
                <w:p w14:paraId="432DF311">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二氧化硫</w:t>
                  </w:r>
                </w:p>
              </w:tc>
              <w:tc>
                <w:tcPr>
                  <w:tcW w:w="1592" w:type="pct"/>
                  <w:noWrap w:val="0"/>
                  <w:vAlign w:val="center"/>
                </w:tcPr>
                <w:p w14:paraId="1E0328F8">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排放浓度限值 mg/m³</w:t>
                  </w:r>
                </w:p>
              </w:tc>
              <w:tc>
                <w:tcPr>
                  <w:tcW w:w="355" w:type="pct"/>
                  <w:noWrap w:val="0"/>
                  <w:vAlign w:val="center"/>
                </w:tcPr>
                <w:p w14:paraId="02FE106B">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w:t>
                  </w:r>
                </w:p>
              </w:tc>
            </w:tr>
            <w:tr w14:paraId="6A8DC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49" w:type="pct"/>
                  <w:noWrap w:val="0"/>
                  <w:vAlign w:val="center"/>
                </w:tcPr>
                <w:p w14:paraId="6809071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《宝鸡市锅炉大气污染专项整治行动方案》（宝气专办发</w:t>
                  </w:r>
                  <w:r>
                    <w:rPr>
                      <w:rFonts w:hint="eastAsia" w:ascii="Times New Roman" w:hAnsi="Times New Roman"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2023</w:t>
                  </w:r>
                  <w:r>
                    <w:rPr>
                      <w:rFonts w:hint="eastAsia" w:ascii="Times New Roman" w:hAnsi="Times New Roman"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7号）</w:t>
                  </w:r>
                </w:p>
              </w:tc>
              <w:tc>
                <w:tcPr>
                  <w:tcW w:w="701" w:type="pct"/>
                  <w:noWrap w:val="0"/>
                  <w:vAlign w:val="center"/>
                </w:tcPr>
                <w:p w14:paraId="5FA627B2">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氮氧化物</w:t>
                  </w:r>
                </w:p>
              </w:tc>
              <w:tc>
                <w:tcPr>
                  <w:tcW w:w="1592" w:type="pct"/>
                  <w:noWrap w:val="0"/>
                  <w:vAlign w:val="center"/>
                </w:tcPr>
                <w:p w14:paraId="057F92FC">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排放浓度限值 mg/m³</w:t>
                  </w:r>
                </w:p>
              </w:tc>
              <w:tc>
                <w:tcPr>
                  <w:tcW w:w="355" w:type="pct"/>
                  <w:noWrap w:val="0"/>
                  <w:vAlign w:val="center"/>
                </w:tcPr>
                <w:p w14:paraId="68D6A2DF">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r>
            <w:tr w14:paraId="5E6F1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2349" w:type="pct"/>
                  <w:noWrap w:val="0"/>
                  <w:vAlign w:val="center"/>
                </w:tcPr>
                <w:p w14:paraId="79EEA50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《锅炉大气污染物排放标准》</w:t>
                  </w:r>
                </w:p>
                <w:p w14:paraId="0521CC4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（GB13271-2014）表3</w:t>
                  </w:r>
                </w:p>
              </w:tc>
              <w:tc>
                <w:tcPr>
                  <w:tcW w:w="701" w:type="pct"/>
                  <w:noWrap w:val="0"/>
                  <w:vAlign w:val="center"/>
                </w:tcPr>
                <w:p w14:paraId="069B712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烟气黑度</w:t>
                  </w:r>
                </w:p>
              </w:tc>
              <w:tc>
                <w:tcPr>
                  <w:tcW w:w="1592" w:type="pct"/>
                  <w:noWrap w:val="0"/>
                  <w:vAlign w:val="center"/>
                </w:tcPr>
                <w:p w14:paraId="6D5250B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355" w:type="pct"/>
                  <w:noWrap w:val="0"/>
                  <w:vAlign w:val="center"/>
                </w:tcPr>
                <w:p w14:paraId="3A148E22">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w:t>
                  </w:r>
                </w:p>
              </w:tc>
            </w:tr>
          </w:tbl>
          <w:p w14:paraId="7C6ED6D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2、废水排放标准</w:t>
            </w:r>
          </w:p>
          <w:p w14:paraId="7DCF4BB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lang w:val="en-US" w:eastAsia="zh-CN"/>
                <w14:textFill>
                  <w14:solidFill>
                    <w14:schemeClr w14:val="tx1"/>
                  </w14:solidFill>
                </w14:textFill>
              </w:rPr>
              <w:t>项目废水</w:t>
            </w:r>
            <w:r>
              <w:rPr>
                <w:rFonts w:hint="default" w:ascii="Times New Roman" w:hAnsi="Times New Roman" w:cs="Times New Roman"/>
                <w:color w:val="000000" w:themeColor="text1"/>
                <w:kern w:val="0"/>
                <w:sz w:val="24"/>
                <w:szCs w:val="24"/>
                <w14:textFill>
                  <w14:solidFill>
                    <w14:schemeClr w14:val="tx1"/>
                  </w14:solidFill>
                </w14:textFill>
              </w:rPr>
              <w:t>依托陕西西凤酒基酒生产有限公司污水处理厂处理达标后排入园区市政污水管网</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执行《污水综合排放标准》（GB8978-1996）三级标准及《污水排入城镇下水道水质标准》（GB/T31962-2015）B等级标准要求</w:t>
            </w:r>
            <w:r>
              <w:rPr>
                <w:rFonts w:hint="default" w:ascii="Times New Roman" w:hAnsi="Times New Roman" w:cs="Times New Roman"/>
                <w:color w:val="000000" w:themeColor="text1"/>
                <w:kern w:val="0"/>
                <w:sz w:val="24"/>
                <w:szCs w:val="24"/>
                <w14:textFill>
                  <w14:solidFill>
                    <w14:schemeClr w14:val="tx1"/>
                  </w14:solidFill>
                </w14:textFill>
              </w:rPr>
              <w:t>。</w:t>
            </w:r>
          </w:p>
          <w:p w14:paraId="64DFA0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表3-</w:t>
            </w:r>
            <w:r>
              <w:rPr>
                <w:rFonts w:hint="eastAsia" w:ascii="Times New Roman" w:hAnsi="Times New Roman" w:cs="Times New Roman"/>
                <w:color w:val="000000" w:themeColor="text1"/>
                <w:kern w:val="0"/>
                <w:szCs w:val="21"/>
                <w:lang w:val="en-US" w:eastAsia="zh-CN"/>
                <w14:textFill>
                  <w14:solidFill>
                    <w14:schemeClr w14:val="tx1"/>
                  </w14:solidFill>
                </w14:textFill>
              </w:rPr>
              <w:t xml:space="preserve">8 </w:t>
            </w:r>
            <w:r>
              <w:rPr>
                <w:rFonts w:hint="default" w:ascii="Times New Roman" w:hAnsi="Times New Roman" w:cs="Times New Roman"/>
                <w:color w:val="000000" w:themeColor="text1"/>
                <w:kern w:val="0"/>
                <w:szCs w:val="21"/>
                <w14:textFill>
                  <w14:solidFill>
                    <w14:schemeClr w14:val="tx1"/>
                  </w14:solidFill>
                </w14:textFill>
              </w:rPr>
              <w:t xml:space="preserve"> 项目废水排放标准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044"/>
              <w:gridCol w:w="1025"/>
              <w:gridCol w:w="1025"/>
              <w:gridCol w:w="1025"/>
              <w:gridCol w:w="1025"/>
              <w:gridCol w:w="982"/>
            </w:tblGrid>
            <w:tr w14:paraId="2E69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52" w:type="pct"/>
                  <w:noWrap w:val="0"/>
                  <w:vAlign w:val="center"/>
                </w:tcPr>
                <w:p w14:paraId="74B7A7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污染物</w:t>
                  </w:r>
                </w:p>
              </w:tc>
              <w:tc>
                <w:tcPr>
                  <w:tcW w:w="656" w:type="pct"/>
                  <w:noWrap w:val="0"/>
                  <w:vAlign w:val="center"/>
                </w:tcPr>
                <w:p w14:paraId="09A14F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BOD</w:t>
                  </w:r>
                  <w:r>
                    <w:rPr>
                      <w:rFonts w:hint="eastAsia" w:ascii="Times New Roman" w:hAnsi="Times New Roman" w:cs="Times New Roman"/>
                      <w:color w:val="000000" w:themeColor="text1"/>
                      <w:kern w:val="0"/>
                      <w:szCs w:val="21"/>
                      <w:vertAlign w:val="subscript"/>
                      <w:lang w:val="en-US" w:eastAsia="zh-CN"/>
                      <w14:textFill>
                        <w14:solidFill>
                          <w14:schemeClr w14:val="tx1"/>
                        </w14:solidFill>
                      </w14:textFill>
                    </w:rPr>
                    <w:t>5</w:t>
                  </w:r>
                </w:p>
              </w:tc>
              <w:tc>
                <w:tcPr>
                  <w:tcW w:w="643" w:type="pct"/>
                  <w:noWrap w:val="0"/>
                  <w:vAlign w:val="center"/>
                </w:tcPr>
                <w:p w14:paraId="2D6F1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COD</w:t>
                  </w:r>
                </w:p>
              </w:tc>
              <w:tc>
                <w:tcPr>
                  <w:tcW w:w="643" w:type="pct"/>
                  <w:noWrap w:val="0"/>
                  <w:vAlign w:val="center"/>
                </w:tcPr>
                <w:p w14:paraId="2C226E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SS</w:t>
                  </w:r>
                </w:p>
              </w:tc>
              <w:tc>
                <w:tcPr>
                  <w:tcW w:w="643" w:type="pct"/>
                  <w:noWrap w:val="0"/>
                  <w:vAlign w:val="center"/>
                </w:tcPr>
                <w:p w14:paraId="586856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NH</w:t>
                  </w:r>
                  <w:r>
                    <w:rPr>
                      <w:rFonts w:hint="default" w:ascii="Times New Roman" w:hAnsi="Times New Roman" w:eastAsia="宋体" w:cs="Times New Roman"/>
                      <w:color w:val="000000" w:themeColor="text1"/>
                      <w:szCs w:val="21"/>
                      <w:vertAlign w:val="sub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-N</w:t>
                  </w:r>
                </w:p>
              </w:tc>
              <w:tc>
                <w:tcPr>
                  <w:tcW w:w="643" w:type="pct"/>
                  <w:noWrap w:val="0"/>
                  <w:vAlign w:val="center"/>
                </w:tcPr>
                <w:p w14:paraId="63FCCC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总磷</w:t>
                  </w:r>
                </w:p>
              </w:tc>
              <w:tc>
                <w:tcPr>
                  <w:tcW w:w="616" w:type="pct"/>
                  <w:noWrap w:val="0"/>
                  <w:vAlign w:val="center"/>
                </w:tcPr>
                <w:p w14:paraId="039596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总氮</w:t>
                  </w:r>
                </w:p>
              </w:tc>
            </w:tr>
            <w:tr w14:paraId="1E7C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52" w:type="pct"/>
                  <w:noWrap w:val="0"/>
                  <w:vAlign w:val="center"/>
                </w:tcPr>
                <w:p w14:paraId="3A0AC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排放标准</w:t>
                  </w:r>
                </w:p>
              </w:tc>
              <w:tc>
                <w:tcPr>
                  <w:tcW w:w="656" w:type="pct"/>
                  <w:noWrap w:val="0"/>
                  <w:vAlign w:val="center"/>
                </w:tcPr>
                <w:p w14:paraId="6BE14B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300</w:t>
                  </w:r>
                </w:p>
              </w:tc>
              <w:tc>
                <w:tcPr>
                  <w:tcW w:w="643" w:type="pct"/>
                  <w:noWrap w:val="0"/>
                  <w:vAlign w:val="center"/>
                </w:tcPr>
                <w:p w14:paraId="14D9B5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500</w:t>
                  </w:r>
                </w:p>
              </w:tc>
              <w:tc>
                <w:tcPr>
                  <w:tcW w:w="643" w:type="pct"/>
                  <w:noWrap w:val="0"/>
                  <w:vAlign w:val="center"/>
                </w:tcPr>
                <w:p w14:paraId="25C01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400</w:t>
                  </w:r>
                </w:p>
              </w:tc>
              <w:tc>
                <w:tcPr>
                  <w:tcW w:w="643" w:type="pct"/>
                  <w:noWrap w:val="0"/>
                  <w:vAlign w:val="center"/>
                </w:tcPr>
                <w:p w14:paraId="545B9B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45</w:t>
                  </w:r>
                </w:p>
              </w:tc>
              <w:tc>
                <w:tcPr>
                  <w:tcW w:w="643" w:type="pct"/>
                  <w:noWrap w:val="0"/>
                  <w:vAlign w:val="center"/>
                </w:tcPr>
                <w:p w14:paraId="3CB28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8</w:t>
                  </w:r>
                </w:p>
              </w:tc>
              <w:tc>
                <w:tcPr>
                  <w:tcW w:w="616" w:type="pct"/>
                  <w:noWrap w:val="0"/>
                  <w:vAlign w:val="center"/>
                </w:tcPr>
                <w:p w14:paraId="02E339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70</w:t>
                  </w:r>
                </w:p>
              </w:tc>
            </w:tr>
          </w:tbl>
          <w:p w14:paraId="435A8DA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3、噪声排放标准</w:t>
            </w:r>
          </w:p>
          <w:p w14:paraId="566C3337">
            <w:pPr>
              <w:keepNext w:val="0"/>
              <w:keepLines w:val="0"/>
              <w:numPr>
                <w:ilvl w:val="0"/>
                <w:numId w:val="0"/>
              </w:numPr>
              <w:suppressLineNumbers w:val="0"/>
              <w:wordWrap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施工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噪声排放执行《建筑施工场界环境噪声排放标准》（GB12523-2011）排放限值，具体标准值见下表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19FAC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表</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 xml:space="preserve">3-9  </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 建筑施工厂界噪声排放标准  单位：dB（A）</w:t>
            </w:r>
          </w:p>
          <w:tbl>
            <w:tblPr>
              <w:tblStyle w:val="23"/>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13"/>
              <w:gridCol w:w="2036"/>
              <w:gridCol w:w="2121"/>
            </w:tblGrid>
            <w:tr w14:paraId="3613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92" w:type="pct"/>
                  <w:tcBorders>
                    <w:tl2br w:val="nil"/>
                    <w:tr2bl w:val="nil"/>
                  </w:tcBorders>
                  <w:noWrap w:val="0"/>
                  <w:vAlign w:val="center"/>
                </w:tcPr>
                <w:p w14:paraId="09A51E1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highlight w:val="none"/>
                      <w:lang w:val="en-US" w:eastAsia="zh-CN" w:bidi="ar-SA"/>
                      <w14:textFill>
                        <w14:solidFill>
                          <w14:schemeClr w14:val="tx1"/>
                        </w14:solidFill>
                      </w14:textFill>
                    </w:rPr>
                    <w:t>执行标准</w:t>
                  </w:r>
                </w:p>
              </w:tc>
              <w:tc>
                <w:tcPr>
                  <w:tcW w:w="2607" w:type="pct"/>
                  <w:gridSpan w:val="2"/>
                  <w:tcBorders>
                    <w:tl2br w:val="nil"/>
                    <w:tr2bl w:val="nil"/>
                  </w:tcBorders>
                  <w:noWrap w:val="0"/>
                  <w:vAlign w:val="center"/>
                </w:tcPr>
                <w:p w14:paraId="184F1558">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b w:val="0"/>
                      <w:bCs w:val="0"/>
                      <w:color w:val="000000" w:themeColor="text1"/>
                      <w:sz w:val="21"/>
                      <w:szCs w:val="21"/>
                      <w:highlight w:val="none"/>
                      <w:lang w:val="en-US" w:eastAsia="zh-CN" w:bidi="ar-SA"/>
                      <w14:textFill>
                        <w14:solidFill>
                          <w14:schemeClr w14:val="tx1"/>
                        </w14:solidFill>
                      </w14:textFill>
                    </w:rPr>
                    <w:t>标准限值</w:t>
                  </w:r>
                </w:p>
              </w:tc>
            </w:tr>
            <w:tr w14:paraId="767E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92" w:type="pct"/>
                  <w:vMerge w:val="restart"/>
                  <w:tcBorders>
                    <w:tl2br w:val="nil"/>
                    <w:tr2bl w:val="nil"/>
                  </w:tcBorders>
                  <w:noWrap w:val="0"/>
                  <w:vAlign w:val="center"/>
                </w:tcPr>
                <w:p w14:paraId="2741E25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《建筑施工场界环境噪声排放标准》（GB12523-2011）</w:t>
                  </w:r>
                </w:p>
              </w:tc>
              <w:tc>
                <w:tcPr>
                  <w:tcW w:w="1277" w:type="pct"/>
                  <w:tcBorders>
                    <w:tl2br w:val="nil"/>
                    <w:tr2bl w:val="nil"/>
                  </w:tcBorders>
                  <w:noWrap w:val="0"/>
                  <w:vAlign w:val="center"/>
                </w:tcPr>
                <w:p w14:paraId="10E76BF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 xml:space="preserve">70 dB </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A</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w:t>
                  </w:r>
                </w:p>
              </w:tc>
              <w:tc>
                <w:tcPr>
                  <w:tcW w:w="1330" w:type="pct"/>
                  <w:tcBorders>
                    <w:tl2br w:val="nil"/>
                    <w:tr2bl w:val="nil"/>
                  </w:tcBorders>
                  <w:noWrap w:val="0"/>
                  <w:vAlign w:val="center"/>
                </w:tcPr>
                <w:p w14:paraId="5FBA0B6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昼间</w:t>
                  </w:r>
                </w:p>
              </w:tc>
            </w:tr>
            <w:tr w14:paraId="798D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92" w:type="pct"/>
                  <w:vMerge w:val="continue"/>
                  <w:tcBorders>
                    <w:tl2br w:val="nil"/>
                    <w:tr2bl w:val="nil"/>
                  </w:tcBorders>
                  <w:noWrap w:val="0"/>
                  <w:vAlign w:val="center"/>
                </w:tcPr>
                <w:p w14:paraId="4E2EC218">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p>
              </w:tc>
              <w:tc>
                <w:tcPr>
                  <w:tcW w:w="1277" w:type="pct"/>
                  <w:tcBorders>
                    <w:tl2br w:val="nil"/>
                    <w:tr2bl w:val="nil"/>
                  </w:tcBorders>
                  <w:noWrap w:val="0"/>
                  <w:vAlign w:val="center"/>
                </w:tcPr>
                <w:p w14:paraId="64CE24C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 xml:space="preserve">55 dB </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A</w:t>
                  </w: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w:t>
                  </w:r>
                </w:p>
              </w:tc>
              <w:tc>
                <w:tcPr>
                  <w:tcW w:w="1330" w:type="pct"/>
                  <w:tcBorders>
                    <w:tl2br w:val="nil"/>
                    <w:tr2bl w:val="nil"/>
                  </w:tcBorders>
                  <w:noWrap w:val="0"/>
                  <w:vAlign w:val="center"/>
                </w:tcPr>
                <w:p w14:paraId="3584DE58">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夜间</w:t>
                  </w:r>
                </w:p>
              </w:tc>
            </w:tr>
          </w:tbl>
          <w:p w14:paraId="0C00466C">
            <w:pPr>
              <w:keepNext w:val="0"/>
              <w:keepLines w:val="0"/>
              <w:numPr>
                <w:ilvl w:val="0"/>
                <w:numId w:val="0"/>
              </w:numPr>
              <w:suppressLineNumbers w:val="0"/>
              <w:wordWrap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运营期：厂界噪声排放执行《工业企业厂界环境噪声排放标准》（GB12348-2008）中的2类区标准，敏感点噪声执行《声环境质量标准》（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GB3096-2008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）中的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2类区标准。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具体标准值见表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E3C2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表</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3-10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 xml:space="preserve">  工业企业厂界环境噪声排放标准（摘录） 单位：dB</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A</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3362"/>
              <w:gridCol w:w="795"/>
              <w:gridCol w:w="1059"/>
              <w:gridCol w:w="750"/>
              <w:gridCol w:w="870"/>
            </w:tblGrid>
            <w:tr w14:paraId="683F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6" w:type="pct"/>
                  <w:vMerge w:val="restart"/>
                  <w:noWrap w:val="0"/>
                  <w:vAlign w:val="center"/>
                </w:tcPr>
                <w:p w14:paraId="75A83032">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监测点</w:t>
                  </w:r>
                </w:p>
              </w:tc>
              <w:tc>
                <w:tcPr>
                  <w:tcW w:w="2110" w:type="pct"/>
                  <w:vMerge w:val="restart"/>
                  <w:noWrap w:val="0"/>
                  <w:vAlign w:val="center"/>
                </w:tcPr>
                <w:p w14:paraId="31843938">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执行标准</w:t>
                  </w:r>
                </w:p>
              </w:tc>
              <w:tc>
                <w:tcPr>
                  <w:tcW w:w="499" w:type="pct"/>
                  <w:vMerge w:val="restart"/>
                  <w:noWrap w:val="0"/>
                  <w:vAlign w:val="center"/>
                </w:tcPr>
                <w:p w14:paraId="3905C23C">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级别</w:t>
                  </w:r>
                </w:p>
              </w:tc>
              <w:tc>
                <w:tcPr>
                  <w:tcW w:w="665" w:type="pct"/>
                  <w:vMerge w:val="restart"/>
                  <w:noWrap w:val="0"/>
                  <w:vAlign w:val="center"/>
                </w:tcPr>
                <w:p w14:paraId="546614B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单位</w:t>
                  </w:r>
                </w:p>
              </w:tc>
              <w:tc>
                <w:tcPr>
                  <w:tcW w:w="1017" w:type="pct"/>
                  <w:gridSpan w:val="2"/>
                  <w:noWrap w:val="0"/>
                  <w:vAlign w:val="center"/>
                </w:tcPr>
                <w:p w14:paraId="754B25EC">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标准限值</w:t>
                  </w:r>
                </w:p>
              </w:tc>
            </w:tr>
            <w:tr w14:paraId="7E64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6" w:type="pct"/>
                  <w:vMerge w:val="continue"/>
                  <w:noWrap w:val="0"/>
                  <w:vAlign w:val="center"/>
                </w:tcPr>
                <w:p w14:paraId="12A2ED11">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2110" w:type="pct"/>
                  <w:vMerge w:val="continue"/>
                  <w:noWrap w:val="0"/>
                  <w:vAlign w:val="center"/>
                </w:tcPr>
                <w:p w14:paraId="7262B79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499" w:type="pct"/>
                  <w:vMerge w:val="continue"/>
                  <w:noWrap w:val="0"/>
                  <w:vAlign w:val="center"/>
                </w:tcPr>
                <w:p w14:paraId="2637617E">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665" w:type="pct"/>
                  <w:vMerge w:val="continue"/>
                  <w:noWrap w:val="0"/>
                  <w:vAlign w:val="center"/>
                </w:tcPr>
                <w:p w14:paraId="6A96200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p>
              </w:tc>
              <w:tc>
                <w:tcPr>
                  <w:tcW w:w="471" w:type="pct"/>
                  <w:noWrap w:val="0"/>
                  <w:vAlign w:val="center"/>
                </w:tcPr>
                <w:p w14:paraId="07A5B644">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昼间</w:t>
                  </w:r>
                </w:p>
              </w:tc>
              <w:tc>
                <w:tcPr>
                  <w:tcW w:w="546" w:type="pct"/>
                  <w:noWrap w:val="0"/>
                  <w:vAlign w:val="center"/>
                </w:tcPr>
                <w:p w14:paraId="0ADE95F6">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夜间</w:t>
                  </w:r>
                </w:p>
              </w:tc>
            </w:tr>
            <w:tr w14:paraId="3AA2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6" w:type="pct"/>
                  <w:noWrap w:val="0"/>
                  <w:vAlign w:val="center"/>
                </w:tcPr>
                <w:p w14:paraId="61E6AB45">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厂界</w:t>
                  </w:r>
                </w:p>
              </w:tc>
              <w:tc>
                <w:tcPr>
                  <w:tcW w:w="2110" w:type="pct"/>
                  <w:noWrap w:val="0"/>
                  <w:vAlign w:val="center"/>
                </w:tcPr>
                <w:p w14:paraId="5A437981">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《工业企业厂界环境噪声排放标准》（GB12348-2008）</w:t>
                  </w:r>
                </w:p>
              </w:tc>
              <w:tc>
                <w:tcPr>
                  <w:tcW w:w="499" w:type="pct"/>
                  <w:noWrap w:val="0"/>
                  <w:vAlign w:val="center"/>
                </w:tcPr>
                <w:p w14:paraId="191019DB">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2类</w:t>
                  </w:r>
                </w:p>
              </w:tc>
              <w:tc>
                <w:tcPr>
                  <w:tcW w:w="665" w:type="pct"/>
                  <w:noWrap w:val="0"/>
                  <w:vAlign w:val="center"/>
                </w:tcPr>
                <w:p w14:paraId="70E7F466">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dB（A）</w:t>
                  </w:r>
                </w:p>
              </w:tc>
              <w:tc>
                <w:tcPr>
                  <w:tcW w:w="471" w:type="pct"/>
                  <w:noWrap w:val="0"/>
                  <w:vAlign w:val="center"/>
                </w:tcPr>
                <w:p w14:paraId="0940A37D">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60</w:t>
                  </w:r>
                </w:p>
              </w:tc>
              <w:tc>
                <w:tcPr>
                  <w:tcW w:w="546" w:type="pct"/>
                  <w:noWrap w:val="0"/>
                  <w:vAlign w:val="center"/>
                </w:tcPr>
                <w:p w14:paraId="2B00BD6A">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50</w:t>
                  </w:r>
                </w:p>
              </w:tc>
            </w:tr>
            <w:tr w14:paraId="22AC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06" w:type="pct"/>
                  <w:noWrap w:val="0"/>
                  <w:vAlign w:val="center"/>
                </w:tcPr>
                <w:p w14:paraId="0F89FFB4">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敏感点</w:t>
                  </w:r>
                </w:p>
              </w:tc>
              <w:tc>
                <w:tcPr>
                  <w:tcW w:w="2110" w:type="pct"/>
                  <w:noWrap w:val="0"/>
                  <w:vAlign w:val="center"/>
                </w:tcPr>
                <w:p w14:paraId="24FB42B4">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《声环境质量标准》（GB3096-2008）</w:t>
                  </w:r>
                </w:p>
              </w:tc>
              <w:tc>
                <w:tcPr>
                  <w:tcW w:w="499" w:type="pct"/>
                  <w:noWrap w:val="0"/>
                  <w:vAlign w:val="center"/>
                </w:tcPr>
                <w:p w14:paraId="4812160D">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2类</w:t>
                  </w:r>
                </w:p>
              </w:tc>
              <w:tc>
                <w:tcPr>
                  <w:tcW w:w="665" w:type="pct"/>
                  <w:noWrap w:val="0"/>
                  <w:vAlign w:val="center"/>
                </w:tcPr>
                <w:p w14:paraId="1ED43B7B">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dB（A）</w:t>
                  </w:r>
                </w:p>
              </w:tc>
              <w:tc>
                <w:tcPr>
                  <w:tcW w:w="471" w:type="pct"/>
                  <w:noWrap w:val="0"/>
                  <w:vAlign w:val="center"/>
                </w:tcPr>
                <w:p w14:paraId="054FC3B9">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60</w:t>
                  </w:r>
                </w:p>
              </w:tc>
              <w:tc>
                <w:tcPr>
                  <w:tcW w:w="546" w:type="pct"/>
                  <w:noWrap w:val="0"/>
                  <w:vAlign w:val="center"/>
                </w:tcPr>
                <w:p w14:paraId="6625A33B">
                  <w:pPr>
                    <w:keepNext w:val="0"/>
                    <w:keepLines w:val="0"/>
                    <w:widowControl w:val="0"/>
                    <w:suppressLineNumbers w:val="0"/>
                    <w:wordWrap w:val="0"/>
                    <w:bidi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16"/>
                      <w:highlight w:val="none"/>
                      <w:lang w:val="en-US" w:eastAsia="zh-CN" w:bidi="ar-SA"/>
                      <w14:textFill>
                        <w14:solidFill>
                          <w14:schemeClr w14:val="tx1"/>
                        </w14:solidFill>
                      </w14:textFill>
                    </w:rPr>
                    <w:t>50</w:t>
                  </w:r>
                </w:p>
              </w:tc>
            </w:tr>
          </w:tbl>
          <w:p w14:paraId="4792F73D">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4、固体废物执行标准</w:t>
            </w:r>
          </w:p>
          <w:p w14:paraId="2BCB118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一般固体废物执行《一般工业固体废物贮存和填埋污染控制标准》（GB18599-2020）；生活垃圾执行《生活垃圾填埋污染控制标准》（GB16889-2008）</w:t>
            </w:r>
            <w:r>
              <w:rPr>
                <w:rFonts w:hint="default" w:ascii="Times New Roman" w:hAnsi="Times New Roman" w:cs="Times New Roman"/>
                <w:color w:val="000000" w:themeColor="text1"/>
                <w:sz w:val="24"/>
                <w:szCs w:val="24"/>
                <w14:textFill>
                  <w14:solidFill>
                    <w14:schemeClr w14:val="tx1"/>
                  </w14:solidFill>
                </w14:textFill>
              </w:rPr>
              <w:t>。</w:t>
            </w:r>
          </w:p>
        </w:tc>
      </w:tr>
      <w:tr w14:paraId="4E36C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00" w:type="dxa"/>
            <w:noWrap w:val="0"/>
            <w:vAlign w:val="center"/>
          </w:tcPr>
          <w:p w14:paraId="4A3223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总量</w:t>
            </w:r>
          </w:p>
          <w:p w14:paraId="3E82CE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控制</w:t>
            </w:r>
          </w:p>
          <w:p w14:paraId="5C2409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指标</w:t>
            </w:r>
          </w:p>
        </w:tc>
        <w:tc>
          <w:tcPr>
            <w:tcW w:w="8190" w:type="dxa"/>
            <w:noWrap w:val="0"/>
            <w:vAlign w:val="center"/>
          </w:tcPr>
          <w:p w14:paraId="43513AD0">
            <w:pPr>
              <w:keepNext w:val="0"/>
              <w:keepLines w:val="0"/>
              <w:widowControl w:val="0"/>
              <w:suppressLineNumbers w:val="0"/>
              <w:autoSpaceDE w:val="0"/>
              <w:autoSpaceDN w:val="0"/>
              <w:spacing w:before="0" w:beforeAutospacing="0" w:after="0" w:afterAutospacing="0" w:line="360" w:lineRule="auto"/>
              <w:ind w:left="0" w:right="0" w:firstLine="46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现根据“十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四</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五”期间总量控制要求，“十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四</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五”期间污染物控制指标为</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化学需氧量、氨氮、氮氧化物、挥发性有机物</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p>
          <w:p w14:paraId="12C97B1A">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本项目污染物排放总量控制建议指标如下：</w:t>
            </w:r>
          </w:p>
          <w:p w14:paraId="517977D4">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bCs/>
                <w:color w:val="000000" w:themeColor="text1"/>
                <w:szCs w:val="21"/>
                <w:lang w:val="zh-CN"/>
                <w14:textFill>
                  <w14:solidFill>
                    <w14:schemeClr w14:val="tx1"/>
                  </w14:solidFill>
                </w14:textFill>
              </w:rPr>
            </w:pPr>
            <w:r>
              <w:rPr>
                <w:rFonts w:hint="default" w:ascii="Times New Roman" w:hAnsi="Times New Roman" w:eastAsia="宋体" w:cs="Times New Roman"/>
                <w:bCs/>
                <w:color w:val="000000" w:themeColor="text1"/>
                <w:szCs w:val="21"/>
                <w:lang w:val="zh-CN"/>
                <w14:textFill>
                  <w14:solidFill>
                    <w14:schemeClr w14:val="tx1"/>
                  </w14:solidFill>
                </w14:textFill>
              </w:rPr>
              <w:t>表</w:t>
            </w:r>
            <w:r>
              <w:rPr>
                <w:rFonts w:hint="eastAsia" w:ascii="Times New Roman" w:hAnsi="Times New Roman" w:eastAsia="宋体" w:cs="Times New Roman"/>
                <w:bCs/>
                <w:color w:val="000000" w:themeColor="text1"/>
                <w:szCs w:val="21"/>
                <w:lang w:val="en-US" w:eastAsia="zh-CN"/>
                <w14:textFill>
                  <w14:solidFill>
                    <w14:schemeClr w14:val="tx1"/>
                  </w14:solidFill>
                </w14:textFill>
              </w:rPr>
              <w:t>3-11</w:t>
            </w:r>
            <w:r>
              <w:rPr>
                <w:rFonts w:hint="default" w:ascii="Times New Roman" w:hAnsi="Times New Roman" w:eastAsia="宋体" w:cs="Times New Roman"/>
                <w:bCs/>
                <w:color w:val="000000" w:themeColor="text1"/>
                <w:szCs w:val="21"/>
                <w14:textFill>
                  <w14:solidFill>
                    <w14:schemeClr w14:val="tx1"/>
                  </w14:solidFill>
                </w14:textFill>
              </w:rPr>
              <w:t xml:space="preserve"> </w:t>
            </w:r>
            <w:r>
              <w:rPr>
                <w:rFonts w:hint="default" w:ascii="Times New Roman" w:hAnsi="Times New Roman" w:eastAsia="宋体" w:cs="Times New Roman"/>
                <w:bCs/>
                <w:color w:val="000000" w:themeColor="text1"/>
                <w:szCs w:val="21"/>
                <w:lang w:val="zh-CN"/>
                <w14:textFill>
                  <w14:solidFill>
                    <w14:schemeClr w14:val="tx1"/>
                  </w14:solidFill>
                </w14:textFill>
              </w:rPr>
              <w:t xml:space="preserve"> 项目总量控制指标   单位：</w:t>
            </w:r>
            <w:r>
              <w:rPr>
                <w:rFonts w:hint="eastAsia" w:ascii="Times New Roman" w:hAnsi="Times New Roman" w:eastAsia="宋体" w:cs="Times New Roman"/>
                <w:bCs/>
                <w:color w:val="000000" w:themeColor="text1"/>
                <w:szCs w:val="21"/>
                <w:lang w:val="en-US" w:eastAsia="zh-CN"/>
                <w14:textFill>
                  <w14:solidFill>
                    <w14:schemeClr w14:val="tx1"/>
                  </w14:solidFill>
                </w14:textFill>
              </w:rPr>
              <w:t>t</w:t>
            </w:r>
            <w:r>
              <w:rPr>
                <w:rFonts w:hint="default" w:ascii="Times New Roman" w:hAnsi="Times New Roman" w:eastAsia="宋体" w:cs="Times New Roman"/>
                <w:bCs/>
                <w:color w:val="000000" w:themeColor="text1"/>
                <w:szCs w:val="21"/>
                <w:lang w:val="zh-CN"/>
                <w14:textFill>
                  <w14:solidFill>
                    <w14:schemeClr w14:val="tx1"/>
                  </w14:solidFill>
                </w14:textFill>
              </w:rPr>
              <w:t>/a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633"/>
              <w:gridCol w:w="2540"/>
            </w:tblGrid>
            <w:tr w14:paraId="5DEB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pct"/>
                  <w:noWrap w:val="0"/>
                  <w:vAlign w:val="center"/>
                </w:tcPr>
                <w:p w14:paraId="1B45586C">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w:t>
                  </w:r>
                </w:p>
              </w:tc>
              <w:tc>
                <w:tcPr>
                  <w:tcW w:w="1653" w:type="pct"/>
                  <w:noWrap w:val="0"/>
                  <w:vAlign w:val="center"/>
                </w:tcPr>
                <w:p w14:paraId="14FD0BD2">
                  <w:pPr>
                    <w:keepNext w:val="0"/>
                    <w:keepLines w:val="0"/>
                    <w:widowControl w:val="0"/>
                    <w:suppressLineNumbers w:val="0"/>
                    <w:tabs>
                      <w:tab w:val="left" w:pos="2340"/>
                    </w:tabs>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本项目排放</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量</w:t>
                  </w:r>
                </w:p>
              </w:tc>
              <w:tc>
                <w:tcPr>
                  <w:tcW w:w="1595" w:type="pct"/>
                  <w:noWrap w:val="0"/>
                  <w:vAlign w:val="center"/>
                </w:tcPr>
                <w:p w14:paraId="296A4E99">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总</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指标</w:t>
                  </w:r>
                </w:p>
              </w:tc>
            </w:tr>
            <w:tr w14:paraId="2AB8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pct"/>
                  <w:noWrap w:val="0"/>
                  <w:vAlign w:val="center"/>
                </w:tcPr>
                <w:p w14:paraId="47B4646B">
                  <w:pPr>
                    <w:keepNext w:val="0"/>
                    <w:keepLines w:val="0"/>
                    <w:widowControl w:val="0"/>
                    <w:suppressLineNumbers w:val="0"/>
                    <w:tabs>
                      <w:tab w:val="left" w:pos="2340"/>
                    </w:tabs>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氮氧化物</w:t>
                  </w:r>
                </w:p>
              </w:tc>
              <w:tc>
                <w:tcPr>
                  <w:tcW w:w="1653" w:type="pct"/>
                  <w:noWrap w:val="0"/>
                  <w:vAlign w:val="center"/>
                </w:tcPr>
                <w:p w14:paraId="4AB55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45.486</w:t>
                  </w:r>
                </w:p>
              </w:tc>
              <w:tc>
                <w:tcPr>
                  <w:tcW w:w="1595" w:type="pct"/>
                  <w:noWrap w:val="0"/>
                  <w:vAlign w:val="center"/>
                </w:tcPr>
                <w:p w14:paraId="48738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45.486</w:t>
                  </w:r>
                </w:p>
              </w:tc>
            </w:tr>
          </w:tbl>
          <w:p w14:paraId="3A7E950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szCs w:val="24"/>
                <w:vertAlign w:val="baseline"/>
                <w:lang w:eastAsia="zh-Hans"/>
                <w14:textFill>
                  <w14:solidFill>
                    <w14:schemeClr w14:val="tx1"/>
                  </w14:solidFill>
                </w14:textFill>
              </w:rPr>
            </w:pPr>
            <w:r>
              <w:rPr>
                <w:rFonts w:hint="eastAsia" w:ascii="Times New Roman" w:hAnsi="Times New Roman" w:eastAsia="宋体" w:cs="Times New Roman"/>
                <w:color w:val="000000" w:themeColor="text1"/>
                <w:sz w:val="24"/>
                <w:szCs w:val="22"/>
                <w:lang w:eastAsia="zh-CN"/>
                <w14:textFill>
                  <w14:solidFill>
                    <w14:schemeClr w14:val="tx1"/>
                  </w14:solidFill>
                </w14:textFill>
              </w:rPr>
              <w:t>建设单位</w:t>
            </w:r>
            <w:r>
              <w:rPr>
                <w:rFonts w:hint="default" w:ascii="Times New Roman" w:hAnsi="Times New Roman" w:eastAsia="宋体" w:cs="Times New Roman"/>
                <w:color w:val="000000" w:themeColor="text1"/>
                <w:kern w:val="0"/>
                <w:sz w:val="24"/>
                <w14:textFill>
                  <w14:solidFill>
                    <w14:schemeClr w14:val="tx1"/>
                  </w14:solidFill>
                </w14:textFill>
              </w:rPr>
              <w:t>污染物排放总量</w:t>
            </w:r>
            <w:r>
              <w:rPr>
                <w:rFonts w:hint="eastAsia" w:ascii="Times New Roman" w:hAnsi="Times New Roman" w:eastAsia="宋体" w:cs="Times New Roman"/>
                <w:color w:val="000000" w:themeColor="text1"/>
                <w:sz w:val="24"/>
                <w:szCs w:val="22"/>
                <w:lang w:eastAsia="zh-CN"/>
                <w14:textFill>
                  <w14:solidFill>
                    <w14:schemeClr w14:val="tx1"/>
                  </w14:solidFill>
                </w14:textFill>
              </w:rPr>
              <w:t>来源于</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凤翔</w:t>
            </w:r>
            <w:r>
              <w:rPr>
                <w:rFonts w:hint="eastAsia" w:ascii="Times New Roman" w:hAnsi="Times New Roman" w:eastAsia="宋体" w:cs="Times New Roman"/>
                <w:color w:val="000000" w:themeColor="text1"/>
                <w:sz w:val="24"/>
                <w:szCs w:val="22"/>
                <w:lang w:eastAsia="zh-CN"/>
                <w14:textFill>
                  <w14:solidFill>
                    <w14:schemeClr w14:val="tx1"/>
                  </w14:solidFill>
                </w14:textFill>
              </w:rPr>
              <w:t>区合法企业通过升级改造、污染治理等措施削减的</w:t>
            </w:r>
            <w:r>
              <w:rPr>
                <w:rFonts w:hint="default" w:ascii="Times New Roman" w:hAnsi="Times New Roman" w:eastAsia="宋体" w:cs="Times New Roman"/>
                <w:color w:val="000000" w:themeColor="text1"/>
                <w:kern w:val="0"/>
                <w:sz w:val="24"/>
                <w14:textFill>
                  <w14:solidFill>
                    <w14:schemeClr w14:val="tx1"/>
                  </w14:solidFill>
                </w14:textFill>
              </w:rPr>
              <w:t>污染物</w:t>
            </w:r>
            <w:r>
              <w:rPr>
                <w:rFonts w:hint="eastAsia" w:ascii="Times New Roman" w:hAnsi="Times New Roman" w:eastAsia="宋体" w:cs="Times New Roman"/>
                <w:color w:val="000000" w:themeColor="text1"/>
                <w:sz w:val="24"/>
                <w:szCs w:val="22"/>
                <w:lang w:eastAsia="zh-CN"/>
                <w14:textFill>
                  <w14:solidFill>
                    <w14:schemeClr w14:val="tx1"/>
                  </w14:solidFill>
                </w14:textFill>
              </w:rPr>
              <w:t>排放量，</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建设单位通过参加排污权交易有偿使用污染物排污权指标</w:t>
            </w:r>
            <w:r>
              <w:rPr>
                <w:rFonts w:hint="eastAsia" w:ascii="Times New Roman" w:hAnsi="Times New Roman" w:eastAsia="宋体" w:cs="Times New Roman"/>
                <w:color w:val="000000" w:themeColor="text1"/>
                <w:sz w:val="24"/>
                <w:szCs w:val="22"/>
                <w:lang w:eastAsia="zh-CN"/>
                <w14:textFill>
                  <w14:solidFill>
                    <w14:schemeClr w14:val="tx1"/>
                  </w14:solidFill>
                </w14:textFill>
              </w:rPr>
              <w:t>。具体以对本项目环评报告表具有审批权限的环境保护主管部门下达的总量控制指标为准</w:t>
            </w:r>
            <w:r>
              <w:rPr>
                <w:rFonts w:hint="default" w:ascii="Times New Roman" w:hAnsi="Times New Roman" w:cs="Times New Roman"/>
                <w:color w:val="000000" w:themeColor="text1"/>
                <w:kern w:val="0"/>
                <w:sz w:val="24"/>
                <w:szCs w:val="24"/>
                <w:vertAlign w:val="baseline"/>
                <w:lang w:eastAsia="zh-Hans"/>
                <w14:textFill>
                  <w14:solidFill>
                    <w14:schemeClr w14:val="tx1"/>
                  </w14:solidFill>
                </w14:textFill>
              </w:rPr>
              <w:t>。</w:t>
            </w:r>
          </w:p>
        </w:tc>
      </w:tr>
    </w:tbl>
    <w:p w14:paraId="21B296D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4" w:name="_Toc75955705"/>
      <w:r>
        <w:rPr>
          <w:rFonts w:hint="default" w:ascii="Times New Roman" w:hAnsi="宋体" w:eastAsia="宋体"/>
          <w:b/>
          <w:bCs/>
          <w:snapToGrid w:val="0"/>
          <w:color w:val="000000" w:themeColor="text1"/>
          <w:sz w:val="30"/>
          <w:szCs w:val="30"/>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四、主要环境影响和保护措施</w:t>
      </w:r>
      <w:bookmarkEnd w:id="4"/>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8587"/>
      </w:tblGrid>
      <w:tr w14:paraId="0379A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72" w:type="dxa"/>
            <w:noWrap w:val="0"/>
            <w:tcMar>
              <w:left w:w="28" w:type="dxa"/>
              <w:right w:w="28" w:type="dxa"/>
            </w:tcMar>
            <w:vAlign w:val="center"/>
          </w:tcPr>
          <w:p w14:paraId="3801A8D5">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14:paraId="3E355F34">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14:paraId="26340DE9">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14:paraId="3EB0D12F">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14:paraId="33AB50A2">
            <w:pPr>
              <w:pStyle w:val="20"/>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8336" w:type="dxa"/>
            <w:noWrap w:val="0"/>
            <w:vAlign w:val="center"/>
          </w:tcPr>
          <w:p w14:paraId="408F3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1、施工期污染物的排放及治理</w:t>
            </w:r>
          </w:p>
          <w:p w14:paraId="3182ED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（1）废水</w:t>
            </w:r>
          </w:p>
          <w:p w14:paraId="09F3B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施工期废水主要为施工生产废水、管道试压废水、施工人员生活污水。</w:t>
            </w:r>
          </w:p>
          <w:p w14:paraId="5E8C4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①施工生产废水</w:t>
            </w:r>
          </w:p>
          <w:p w14:paraId="5BF6A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治理措施：评价</w:t>
            </w:r>
            <w:r>
              <w:rPr>
                <w:rFonts w:hint="default" w:ascii="Times New Roman" w:hAnsi="Times New Roman" w:eastAsia="宋体" w:cs="Times New Roman"/>
                <w:color w:val="000000" w:themeColor="text1"/>
                <w:spacing w:val="0"/>
                <w:w w:val="100"/>
                <w:sz w:val="24"/>
                <w:szCs w:val="24"/>
                <w:lang w:eastAsia="zh-CN"/>
                <w14:textFill>
                  <w14:solidFill>
                    <w14:schemeClr w14:val="tx1"/>
                  </w14:solidFill>
                </w14:textFill>
              </w:rPr>
              <w:t>建议</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建设单位应在施工场地进出口位置设置一个沉淀池，施工区域设置围堰，其施工过程所产生的泥浆水、冲洗水及进出机动车冲洗废水可通过围堰汇入沉淀池，经沉淀后，部分废水可循环使用，剩余部分可用于施工场地洒水降尘，其施工废水不外排。</w:t>
            </w:r>
            <w:r>
              <w:rPr>
                <w:rFonts w:hint="default" w:ascii="Times New Roman" w:hAnsi="Times New Roman" w:eastAsia="宋体" w:cs="Times New Roman"/>
                <w:color w:val="000000" w:themeColor="text1"/>
                <w:spacing w:val="0"/>
                <w:w w:val="100"/>
                <w:sz w:val="24"/>
                <w:szCs w:val="24"/>
                <w:lang w:eastAsia="zh-CN"/>
                <w14:textFill>
                  <w14:solidFill>
                    <w14:schemeClr w14:val="tx1"/>
                  </w14:solidFill>
                </w14:textFill>
              </w:rPr>
              <w:t>施工过程中产生的泥浆水或含有砂石的工程废水，未经沉淀一律不准排放，沉淀下来的泥浆和固体废物，应与建筑渣土一起处理。同时应尽量减少物料流失、散落和溢流</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pacing w:val="0"/>
                <w:w w:val="100"/>
                <w:sz w:val="24"/>
                <w:szCs w:val="24"/>
                <w:lang w:eastAsia="zh-CN"/>
                <w14:textFill>
                  <w14:solidFill>
                    <w14:schemeClr w14:val="tx1"/>
                  </w14:solidFill>
                </w14:textFill>
              </w:rPr>
              <w:t>现象。</w:t>
            </w:r>
          </w:p>
          <w:p w14:paraId="73DC2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②管道试压废水</w:t>
            </w:r>
          </w:p>
          <w:p w14:paraId="3AC1E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治理措施：试验结束后，移除堵头，其管道内废水可通过废水桶临时收集，循环使用，废水不外排。所有管道密封性检验结束后，其检验废水可作为砼养护用水或用于施工场地洒水降尘，其废水不外排。</w:t>
            </w:r>
          </w:p>
          <w:p w14:paraId="1CAB84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③施工期生活污水</w:t>
            </w:r>
          </w:p>
          <w:p w14:paraId="63C87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治理措施：本项目施工人员生活污水</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依托</w:t>
            </w:r>
            <w:r>
              <w:rPr>
                <w:rFonts w:hint="default" w:ascii="Times New Roman" w:hAnsi="Times New Roman" w:eastAsia="宋体" w:cs="Times New Roman"/>
                <w:color w:val="000000" w:themeColor="text1"/>
                <w:spacing w:val="0"/>
                <w:w w:val="100"/>
                <w:sz w:val="24"/>
                <w:szCs w:val="24"/>
                <w14:textFill>
                  <w14:solidFill>
                    <w14:schemeClr w14:val="tx1"/>
                  </w14:solidFill>
                </w14:textFill>
              </w:rPr>
              <w:t>陕西西凤酒基酒生产有限公司</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污水处理系统</w:t>
            </w:r>
            <w:r>
              <w:rPr>
                <w:rFonts w:hint="default" w:ascii="Times New Roman" w:hAnsi="Times New Roman" w:eastAsia="宋体" w:cs="Times New Roman"/>
                <w:color w:val="000000" w:themeColor="text1"/>
                <w:spacing w:val="0"/>
                <w:w w:val="100"/>
                <w:sz w:val="24"/>
                <w:szCs w:val="24"/>
                <w14:textFill>
                  <w14:solidFill>
                    <w14:schemeClr w14:val="tx1"/>
                  </w14:solidFill>
                </w14:textFill>
              </w:rPr>
              <w:t>。</w:t>
            </w:r>
          </w:p>
          <w:p w14:paraId="363C8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pP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综上所述，项目施工期废水均不外排，不会对西干河产生影响。</w:t>
            </w:r>
          </w:p>
          <w:p w14:paraId="094E8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（2）废气</w:t>
            </w:r>
          </w:p>
          <w:p w14:paraId="43FE2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施工废气主要为施工扬尘、施工机械及施工车辆尾气。</w:t>
            </w:r>
          </w:p>
          <w:p w14:paraId="65A8B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①施工扬尘</w:t>
            </w:r>
          </w:p>
          <w:p w14:paraId="5739F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治理措施：</w:t>
            </w:r>
          </w:p>
          <w:p w14:paraId="380F7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a.现场采取湿法作业，封闭施工现场，</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锅炉房四周</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及管</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线开挖</w:t>
            </w: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段</w:t>
            </w:r>
            <w:r>
              <w:rPr>
                <w:rFonts w:hint="default" w:ascii="Times New Roman" w:hAnsi="Times New Roman" w:eastAsia="宋体" w:cs="Times New Roman"/>
                <w:color w:val="000000" w:themeColor="text1"/>
                <w:spacing w:val="0"/>
                <w:w w:val="100"/>
                <w:sz w:val="24"/>
                <w:szCs w:val="24"/>
                <w14:textFill>
                  <w14:solidFill>
                    <w14:schemeClr w14:val="tx1"/>
                  </w14:solidFill>
                </w14:textFill>
              </w:rPr>
              <w:t>沿线设置1.8m以上的围挡。</w:t>
            </w:r>
          </w:p>
          <w:p w14:paraId="37985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b.对挖方临时堆放点、原辅材料采用篷布覆盖，定期洒水降尘；</w:t>
            </w:r>
          </w:p>
          <w:p w14:paraId="744B8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c.安排合理施工工序，挖方及时回填；</w:t>
            </w:r>
          </w:p>
          <w:p w14:paraId="29379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d.定期对地面洒水，并对撒落在路面的渣土及时清除，清理阶段做到先洒水后清扫，避免产生扬尘对周边住户正常生活造成影响。</w:t>
            </w:r>
          </w:p>
          <w:p w14:paraId="0CD5A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e.加强工地和道路扬尘整治，严格控制建设施工扬尘，针对临时施工场地、堆料场等，还应进行绿化恢复；全面督查建设工地现场管理“六必须</w:t>
            </w: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六不准”执行情况。</w:t>
            </w:r>
          </w:p>
          <w:p w14:paraId="11FCA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②</w:t>
            </w: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其他</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废气：运输车辆、施工机械尾气</w:t>
            </w:r>
          </w:p>
          <w:p w14:paraId="2925F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施工机械设备和运输车辆排放的尾气产生量较小，属间断性、分散性排放，项目所在地空气流通性好，通过空气自然扩散，尾气对环境影响很小。</w:t>
            </w:r>
          </w:p>
          <w:p w14:paraId="7A947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（3）噪声</w:t>
            </w:r>
          </w:p>
          <w:p w14:paraId="3ABD9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施工过程会对周围声学环境产生一定的影响，因此本项目在施工过程中应根据外环境合理进行施工平面布置，采取相应的治理措施，具体措施如下：</w:t>
            </w:r>
          </w:p>
          <w:p w14:paraId="40FF3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①合理安排施工时间，夜间（22：00～6：00）禁止进行高噪声施工。在施工进度组织方面，通过合理组织以尽量</w:t>
            </w: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远离人群</w:t>
            </w:r>
            <w:r>
              <w:rPr>
                <w:rFonts w:hint="default" w:ascii="Times New Roman" w:hAnsi="Times New Roman" w:eastAsia="宋体" w:cs="Times New Roman"/>
                <w:color w:val="000000" w:themeColor="text1"/>
                <w:spacing w:val="0"/>
                <w:w w:val="100"/>
                <w:sz w:val="24"/>
                <w:szCs w:val="24"/>
                <w14:textFill>
                  <w14:solidFill>
                    <w14:schemeClr w14:val="tx1"/>
                  </w14:solidFill>
                </w14:textFill>
              </w:rPr>
              <w:t>施工。</w:t>
            </w:r>
          </w:p>
          <w:p w14:paraId="1785B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②施工设备选用低噪声设备，对噪声施工设备加强维护工作，高噪音设备作业时要进行围挡。</w:t>
            </w:r>
          </w:p>
          <w:p w14:paraId="2CB36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③施工单位要加强与施工点周围农户的沟通和联系，讲清项目建设的必要性和重要意义，做好受影响群众的思想工作，提高广大群众的认识，争取群众的理解和支持。</w:t>
            </w:r>
          </w:p>
          <w:p w14:paraId="0F050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在采取上述措施后，施工噪声将得到有效控制，满足《建筑施工场界环境噪声排放标准》（</w:t>
            </w:r>
            <w:r>
              <w:rPr>
                <w:rFonts w:hint="default" w:ascii="Times New Roman" w:hAnsi="Times New Roman" w:eastAsia="宋体" w:cs="Times New Roman"/>
                <w:color w:val="000000" w:themeColor="text1"/>
                <w:spacing w:val="0"/>
                <w:w w:val="100"/>
                <w:sz w:val="24"/>
                <w:szCs w:val="24"/>
                <w:lang w:val="en-US" w:eastAsia="zh-CN"/>
                <w14:textFill>
                  <w14:solidFill>
                    <w14:schemeClr w14:val="tx1"/>
                  </w14:solidFill>
                </w14:textFill>
              </w:rPr>
              <w:t>GB12523-2011</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）噪声限值的要求。在一定程度上减轻了噪声对周边环境的影响，施工噪声将随着施工活动的结束而停止。采取上述降噪措施后，噪声对环境的影响在可接受范围内。</w:t>
            </w:r>
          </w:p>
          <w:p w14:paraId="01092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（4）固废</w:t>
            </w:r>
          </w:p>
          <w:p w14:paraId="685F3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本项目施工过程产生的固体废物包括土石方开挖工程产生的弃土方、施工过程中产生的建筑垃圾以及施工人员的生活垃圾等。</w:t>
            </w:r>
          </w:p>
          <w:p w14:paraId="7C25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土石方：本项目管网建设挖方总量约为</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3960</w:t>
            </w:r>
            <w:r>
              <w:rPr>
                <w:rFonts w:hint="default" w:ascii="Times New Roman" w:hAnsi="Times New Roman" w:eastAsia="宋体" w:cs="Times New Roman"/>
                <w:color w:val="000000" w:themeColor="text1"/>
                <w:spacing w:val="0"/>
                <w:w w:val="100"/>
                <w:sz w:val="24"/>
                <w:szCs w:val="24"/>
                <w14:textFill>
                  <w14:solidFill>
                    <w14:schemeClr w14:val="tx1"/>
                  </w14:solidFill>
                </w14:textFill>
              </w:rPr>
              <w:t>m</w:t>
            </w:r>
            <w:r>
              <w:rPr>
                <w:rFonts w:hint="default" w:ascii="Times New Roman" w:hAnsi="Times New Roman" w:eastAsia="宋体" w:cs="Times New Roman"/>
                <w:color w:val="000000" w:themeColor="text1"/>
                <w:spacing w:val="0"/>
                <w:w w:val="10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，填方量（</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1980</w:t>
            </w:r>
            <w:r>
              <w:rPr>
                <w:rFonts w:hint="default" w:ascii="Times New Roman" w:hAnsi="Times New Roman" w:eastAsia="宋体" w:cs="Times New Roman"/>
                <w:color w:val="000000" w:themeColor="text1"/>
                <w:spacing w:val="0"/>
                <w:w w:val="100"/>
                <w:sz w:val="24"/>
                <w:szCs w:val="24"/>
                <w14:textFill>
                  <w14:solidFill>
                    <w14:schemeClr w14:val="tx1"/>
                  </w14:solidFill>
                </w14:textFill>
              </w:rPr>
              <w:t>m</w:t>
            </w:r>
            <w:r>
              <w:rPr>
                <w:rFonts w:hint="default" w:ascii="Times New Roman" w:hAnsi="Times New Roman" w:eastAsia="宋体" w:cs="Times New Roman"/>
                <w:color w:val="000000" w:themeColor="text1"/>
                <w:spacing w:val="0"/>
                <w:w w:val="10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），弃方量</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1980</w:t>
            </w:r>
            <w:r>
              <w:rPr>
                <w:rFonts w:hint="default" w:ascii="Times New Roman" w:hAnsi="Times New Roman" w:eastAsia="宋体" w:cs="Times New Roman"/>
                <w:color w:val="000000" w:themeColor="text1"/>
                <w:spacing w:val="0"/>
                <w:w w:val="100"/>
                <w:sz w:val="24"/>
                <w:szCs w:val="24"/>
                <w14:textFill>
                  <w14:solidFill>
                    <w14:schemeClr w14:val="tx1"/>
                  </w14:solidFill>
                </w14:textFill>
              </w:rPr>
              <w:t>m</w:t>
            </w:r>
            <w:r>
              <w:rPr>
                <w:rFonts w:hint="default" w:ascii="Times New Roman" w:hAnsi="Times New Roman" w:eastAsia="宋体" w:cs="Times New Roman"/>
                <w:color w:val="000000" w:themeColor="text1"/>
                <w:spacing w:val="0"/>
                <w:w w:val="100"/>
                <w:sz w:val="24"/>
                <w:szCs w:val="24"/>
                <w:vertAlign w:val="superscript"/>
                <w14:textFill>
                  <w14:solidFill>
                    <w14:schemeClr w14:val="tx1"/>
                  </w14:solidFill>
                </w14:textFill>
              </w:rPr>
              <w:t>3</w:t>
            </w: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剩余土方由市政道路建设单位用于道路建设或绿化等综合利用</w:t>
            </w:r>
            <w:r>
              <w:rPr>
                <w:rFonts w:hint="default" w:ascii="Times New Roman" w:hAnsi="Times New Roman" w:eastAsia="宋体" w:cs="Times New Roman"/>
                <w:color w:val="000000" w:themeColor="text1"/>
                <w:spacing w:val="0"/>
                <w:w w:val="100"/>
                <w:sz w:val="24"/>
                <w:szCs w:val="24"/>
                <w14:textFill>
                  <w14:solidFill>
                    <w14:schemeClr w14:val="tx1"/>
                  </w14:solidFill>
                </w14:textFill>
              </w:rPr>
              <w:t>。</w:t>
            </w:r>
          </w:p>
          <w:p w14:paraId="2E919108">
            <w:pPr>
              <w:keepNext w:val="0"/>
              <w:keepLines w:val="0"/>
              <w:pageBreakBefore w:val="0"/>
              <w:suppressLineNumbers w:val="0"/>
              <w:wordWrap/>
              <w:overflowPunct/>
              <w:topLinePunct w:val="0"/>
              <w:bidi w:val="0"/>
              <w:spacing w:before="0" w:beforeAutospacing="0" w:after="0" w:afterAutospacing="0" w:line="360" w:lineRule="auto"/>
              <w:ind w:left="0" w:right="0" w:firstLine="420" w:firstLineChars="200"/>
              <w:jc w:val="center"/>
              <w:textAlignment w:val="baseline"/>
              <w:rPr>
                <w:rFonts w:hint="eastAsia" w:ascii="宋体" w:hAnsi="宋体" w:eastAsia="宋体" w:cs="宋体"/>
                <w:b w:val="0"/>
                <w:bCs w:val="0"/>
                <w:color w:val="000000" w:themeColor="text1"/>
                <w:spacing w:val="0"/>
                <w:w w:val="100"/>
                <w:sz w:val="24"/>
                <w:szCs w:val="24"/>
                <w14:textFill>
                  <w14:solidFill>
                    <w14:schemeClr w14:val="tx1"/>
                  </w14:solidFill>
                </w14:textFill>
              </w:rPr>
            </w:pPr>
            <w:r>
              <w:rPr>
                <w:rFonts w:hint="eastAsia" w:ascii="Times New Roman" w:hAnsi="Times New Roman" w:eastAsia="宋体" w:cs="Times New Roman"/>
                <w:color w:val="000000" w:themeColor="text1"/>
                <w:spacing w:val="0"/>
                <w:w w:val="100"/>
                <w:sz w:val="21"/>
                <w:szCs w:val="21"/>
                <w14:textFill>
                  <w14:solidFill>
                    <w14:schemeClr w14:val="tx1"/>
                  </w14:solidFill>
                </w14:textFill>
              </w:rPr>
              <w:t>表</w:t>
            </w: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 xml:space="preserve">4-1  </w:t>
            </w:r>
            <w:r>
              <w:rPr>
                <w:rFonts w:hint="eastAsia" w:ascii="Times New Roman" w:hAnsi="Times New Roman" w:eastAsia="宋体" w:cs="Times New Roman"/>
                <w:color w:val="000000" w:themeColor="text1"/>
                <w:spacing w:val="0"/>
                <w:w w:val="100"/>
                <w:sz w:val="21"/>
                <w:szCs w:val="21"/>
                <w14:textFill>
                  <w14:solidFill>
                    <w14:schemeClr w14:val="tx1"/>
                  </w14:solidFill>
                </w14:textFill>
              </w:rPr>
              <w:t>建设工程土石方平衡分析表单位：m</w:t>
            </w:r>
            <w:r>
              <w:rPr>
                <w:rFonts w:hint="eastAsia" w:ascii="Times New Roman" w:hAnsi="Times New Roman" w:eastAsia="宋体" w:cs="Times New Roman"/>
                <w:color w:val="000000" w:themeColor="text1"/>
                <w:spacing w:val="0"/>
                <w:w w:val="100"/>
                <w:sz w:val="21"/>
                <w:szCs w:val="21"/>
                <w:vertAlign w:val="superscript"/>
                <w14:textFill>
                  <w14:solidFill>
                    <w14:schemeClr w14:val="tx1"/>
                  </w14:solidFill>
                </w14:textFill>
              </w:rPr>
              <w:t>3</w:t>
            </w:r>
          </w:p>
          <w:tbl>
            <w:tblPr>
              <w:tblStyle w:val="8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4"/>
              <w:gridCol w:w="2125"/>
              <w:gridCol w:w="2122"/>
              <w:gridCol w:w="2252"/>
            </w:tblGrid>
            <w:tr w14:paraId="574D1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114" w:type="pct"/>
                  <w:noWrap w:val="0"/>
                  <w:vAlign w:val="center"/>
                </w:tcPr>
                <w:p w14:paraId="060381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挖方</w:t>
                  </w:r>
                </w:p>
              </w:tc>
              <w:tc>
                <w:tcPr>
                  <w:tcW w:w="1270" w:type="pct"/>
                  <w:noWrap w:val="0"/>
                  <w:vAlign w:val="center"/>
                </w:tcPr>
                <w:p w14:paraId="3DE21E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填方</w:t>
                  </w:r>
                </w:p>
              </w:tc>
              <w:tc>
                <w:tcPr>
                  <w:tcW w:w="1268" w:type="pct"/>
                  <w:noWrap w:val="0"/>
                  <w:vAlign w:val="center"/>
                </w:tcPr>
                <w:p w14:paraId="63D72D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综合利用</w:t>
                  </w:r>
                </w:p>
              </w:tc>
              <w:tc>
                <w:tcPr>
                  <w:tcW w:w="1346" w:type="pct"/>
                  <w:tcBorders>
                    <w:right w:val="single" w:color="000000" w:sz="6" w:space="0"/>
                  </w:tcBorders>
                  <w:noWrap w:val="0"/>
                  <w:vAlign w:val="center"/>
                </w:tcPr>
                <w:p w14:paraId="407E05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弃方</w:t>
                  </w:r>
                </w:p>
              </w:tc>
            </w:tr>
            <w:tr w14:paraId="0C79C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14" w:type="pct"/>
                  <w:tcBorders>
                    <w:bottom w:val="single" w:color="000000" w:sz="6" w:space="0"/>
                  </w:tcBorders>
                  <w:noWrap w:val="0"/>
                  <w:vAlign w:val="center"/>
                </w:tcPr>
                <w:p w14:paraId="5C622A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3960</w:t>
                  </w:r>
                </w:p>
              </w:tc>
              <w:tc>
                <w:tcPr>
                  <w:tcW w:w="1270" w:type="pct"/>
                  <w:tcBorders>
                    <w:bottom w:val="single" w:color="000000" w:sz="6" w:space="0"/>
                  </w:tcBorders>
                  <w:noWrap w:val="0"/>
                  <w:vAlign w:val="center"/>
                </w:tcPr>
                <w:p w14:paraId="0AABFB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1980</w:t>
                  </w:r>
                </w:p>
              </w:tc>
              <w:tc>
                <w:tcPr>
                  <w:tcW w:w="1268" w:type="pct"/>
                  <w:tcBorders>
                    <w:bottom w:val="single" w:color="000000" w:sz="6" w:space="0"/>
                  </w:tcBorders>
                  <w:noWrap w:val="0"/>
                  <w:vAlign w:val="center"/>
                </w:tcPr>
                <w:p w14:paraId="597425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1980</w:t>
                  </w:r>
                </w:p>
              </w:tc>
              <w:tc>
                <w:tcPr>
                  <w:tcW w:w="1346" w:type="pct"/>
                  <w:tcBorders>
                    <w:bottom w:val="single" w:color="000000" w:sz="6" w:space="0"/>
                    <w:right w:val="single" w:color="000000" w:sz="6" w:space="0"/>
                  </w:tcBorders>
                  <w:noWrap w:val="0"/>
                  <w:vAlign w:val="center"/>
                </w:tcPr>
                <w:p w14:paraId="2D8476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0</w:t>
                  </w:r>
                </w:p>
              </w:tc>
            </w:tr>
          </w:tbl>
          <w:p w14:paraId="18392591">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建筑垃圾：建筑垃圾主要为施工中废弃的混凝土块、废钢筋、废砂石、碎砖瓦等杂物。经类比同类项目建筑垃圾产生量，本项目建筑垃圾产生量约为</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0.3</w:t>
            </w:r>
            <w:r>
              <w:rPr>
                <w:rFonts w:hint="default" w:ascii="Times New Roman" w:hAnsi="Times New Roman" w:eastAsia="宋体" w:cs="Times New Roman"/>
                <w:color w:val="000000" w:themeColor="text1"/>
                <w:spacing w:val="0"/>
                <w:w w:val="100"/>
                <w:sz w:val="24"/>
                <w:szCs w:val="24"/>
                <w14:textFill>
                  <w14:solidFill>
                    <w14:schemeClr w14:val="tx1"/>
                  </w14:solidFill>
                </w14:textFill>
              </w:rPr>
              <w:t>t。能够回收利用的可回收利用，不能回收的应运往城乡规划部门指定的建筑垃圾堆放场，不得任意倾倒，污染环境。</w:t>
            </w:r>
          </w:p>
          <w:p w14:paraId="783B1B2B">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生活垃圾：项目高峰期施工人数约30人，生活垃圾产生量按0.5kg/d•人计，则生活垃圾产生量约15kg/d，经集中收集后由环卫部门统一清运处理，不会造成二次污染。</w:t>
            </w:r>
          </w:p>
          <w:p w14:paraId="02F2F18E">
            <w:pPr>
              <w:keepNext w:val="0"/>
              <w:keepLines w:val="0"/>
              <w:pageBreakBefore w:val="0"/>
              <w:suppressLineNumbers w:val="0"/>
              <w:wordWrap/>
              <w:overflowPunct/>
              <w:topLinePunct w:val="0"/>
              <w:bidi w:val="0"/>
              <w:spacing w:before="0" w:beforeAutospacing="0" w:after="0" w:afterAutospacing="0" w:line="360" w:lineRule="auto"/>
              <w:ind w:left="0" w:right="0" w:firstLine="420" w:firstLineChars="20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表</w:t>
            </w: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4-2</w:t>
            </w:r>
            <w:r>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sz w:val="21"/>
                <w:szCs w:val="21"/>
                <w14:textFill>
                  <w14:solidFill>
                    <w14:schemeClr w14:val="tx1"/>
                  </w14:solidFill>
                </w14:textFill>
              </w:rPr>
              <w:t>项目施工期固废产生及处置措施一览表</w:t>
            </w:r>
          </w:p>
          <w:tbl>
            <w:tblPr>
              <w:tblStyle w:val="8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01"/>
              <w:gridCol w:w="1979"/>
              <w:gridCol w:w="1805"/>
              <w:gridCol w:w="2978"/>
            </w:tblGrid>
            <w:tr w14:paraId="1FE28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957" w:type="pct"/>
                  <w:noWrap w:val="0"/>
                  <w:vAlign w:val="center"/>
                </w:tcPr>
                <w:p w14:paraId="54F5A3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项目</w:t>
                  </w:r>
                </w:p>
              </w:tc>
              <w:tc>
                <w:tcPr>
                  <w:tcW w:w="1183" w:type="pct"/>
                  <w:noWrap w:val="0"/>
                  <w:vAlign w:val="center"/>
                </w:tcPr>
                <w:p w14:paraId="17186D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主要成分</w:t>
                  </w:r>
                </w:p>
              </w:tc>
              <w:tc>
                <w:tcPr>
                  <w:tcW w:w="1079" w:type="pct"/>
                  <w:noWrap w:val="0"/>
                  <w:vAlign w:val="center"/>
                </w:tcPr>
                <w:p w14:paraId="0F6B49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数量</w:t>
                  </w:r>
                </w:p>
              </w:tc>
              <w:tc>
                <w:tcPr>
                  <w:tcW w:w="1779" w:type="pct"/>
                  <w:noWrap w:val="0"/>
                  <w:vAlign w:val="center"/>
                </w:tcPr>
                <w:p w14:paraId="3AFB87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处置措施</w:t>
                  </w:r>
                </w:p>
              </w:tc>
            </w:tr>
            <w:tr w14:paraId="08081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jc w:val="center"/>
              </w:trPr>
              <w:tc>
                <w:tcPr>
                  <w:tcW w:w="957" w:type="pct"/>
                  <w:noWrap w:val="0"/>
                  <w:vAlign w:val="center"/>
                </w:tcPr>
                <w:p w14:paraId="4783A3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弃土</w:t>
                  </w:r>
                </w:p>
              </w:tc>
              <w:tc>
                <w:tcPr>
                  <w:tcW w:w="1183" w:type="pct"/>
                  <w:noWrap w:val="0"/>
                  <w:vAlign w:val="center"/>
                </w:tcPr>
                <w:p w14:paraId="696A01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土、石</w:t>
                  </w:r>
                </w:p>
              </w:tc>
              <w:tc>
                <w:tcPr>
                  <w:tcW w:w="1079" w:type="pct"/>
                  <w:noWrap w:val="0"/>
                  <w:vAlign w:val="center"/>
                </w:tcPr>
                <w:p w14:paraId="7CC2FE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000000" w:themeColor="text1"/>
                      <w:spacing w:val="0"/>
                      <w:w w:val="100"/>
                      <w:sz w:val="14"/>
                      <w:szCs w:val="14"/>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0</w:t>
                  </w:r>
                  <w:r>
                    <w:rPr>
                      <w:rFonts w:hint="default" w:ascii="Times New Roman" w:hAnsi="Times New Roman" w:eastAsia="Times New Roman" w:cs="Times New Roman"/>
                      <w:color w:val="000000" w:themeColor="text1"/>
                      <w:spacing w:val="0"/>
                      <w:w w:val="100"/>
                      <w:sz w:val="21"/>
                      <w:szCs w:val="21"/>
                      <w14:textFill>
                        <w14:solidFill>
                          <w14:schemeClr w14:val="tx1"/>
                        </w14:solidFill>
                      </w14:textFill>
                    </w:rPr>
                    <w:t>m</w:t>
                  </w:r>
                  <w:r>
                    <w:rPr>
                      <w:rFonts w:hint="default" w:ascii="Times New Roman" w:hAnsi="Times New Roman" w:eastAsia="Times New Roman" w:cs="Times New Roman"/>
                      <w:color w:val="000000" w:themeColor="text1"/>
                      <w:spacing w:val="0"/>
                      <w:w w:val="100"/>
                      <w:position w:val="6"/>
                      <w:sz w:val="14"/>
                      <w:szCs w:val="14"/>
                      <w14:textFill>
                        <w14:solidFill>
                          <w14:schemeClr w14:val="tx1"/>
                        </w14:solidFill>
                      </w14:textFill>
                    </w:rPr>
                    <w:t>3</w:t>
                  </w:r>
                </w:p>
              </w:tc>
              <w:tc>
                <w:tcPr>
                  <w:tcW w:w="1779" w:type="pct"/>
                  <w:noWrap w:val="0"/>
                  <w:vAlign w:val="center"/>
                </w:tcPr>
                <w:p w14:paraId="6DD2E6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由市政道路建设单位用于道路建设或绿化等综合利用</w:t>
                  </w:r>
                  <w:r>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t>。</w:t>
                  </w:r>
                </w:p>
              </w:tc>
            </w:tr>
            <w:tr w14:paraId="3C75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957" w:type="pct"/>
                  <w:noWrap w:val="0"/>
                  <w:vAlign w:val="center"/>
                </w:tcPr>
                <w:p w14:paraId="752062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建筑垃圾</w:t>
                  </w:r>
                </w:p>
              </w:tc>
              <w:tc>
                <w:tcPr>
                  <w:tcW w:w="1183" w:type="pct"/>
                  <w:noWrap w:val="0"/>
                  <w:vAlign w:val="center"/>
                </w:tcPr>
                <w:p w14:paraId="242ADC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t>混凝土</w:t>
                  </w:r>
                  <w:r>
                    <w:rPr>
                      <w:rFonts w:hint="default" w:ascii="Times New Roman" w:hAnsi="Times New Roman" w:eastAsia="宋体" w:cs="Times New Roman"/>
                      <w:color w:val="000000" w:themeColor="text1"/>
                      <w:spacing w:val="0"/>
                      <w:w w:val="100"/>
                      <w:sz w:val="21"/>
                      <w:szCs w:val="21"/>
                      <w14:textFill>
                        <w14:solidFill>
                          <w14:schemeClr w14:val="tx1"/>
                        </w14:solidFill>
                      </w14:textFill>
                    </w:rPr>
                    <w:t>块、钢筋头等</w:t>
                  </w:r>
                </w:p>
              </w:tc>
              <w:tc>
                <w:tcPr>
                  <w:tcW w:w="1079" w:type="pct"/>
                  <w:noWrap w:val="0"/>
                  <w:vAlign w:val="center"/>
                </w:tcPr>
                <w:p w14:paraId="278AFF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000000" w:themeColor="text1"/>
                      <w:spacing w:val="0"/>
                      <w:w w:val="100"/>
                      <w:sz w:val="21"/>
                      <w:szCs w:val="21"/>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t>0.3</w:t>
                  </w:r>
                  <w:r>
                    <w:rPr>
                      <w:rFonts w:hint="default" w:ascii="Times New Roman" w:hAnsi="Times New Roman" w:eastAsia="Times New Roman" w:cs="Times New Roman"/>
                      <w:color w:val="000000" w:themeColor="text1"/>
                      <w:spacing w:val="0"/>
                      <w:w w:val="100"/>
                      <w:sz w:val="21"/>
                      <w:szCs w:val="21"/>
                      <w14:textFill>
                        <w14:solidFill>
                          <w14:schemeClr w14:val="tx1"/>
                        </w14:solidFill>
                      </w14:textFill>
                    </w:rPr>
                    <w:t>t</w:t>
                  </w:r>
                </w:p>
              </w:tc>
              <w:tc>
                <w:tcPr>
                  <w:tcW w:w="1779" w:type="pct"/>
                  <w:noWrap w:val="0"/>
                  <w:vAlign w:val="center"/>
                </w:tcPr>
                <w:p w14:paraId="0C0EE0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运往乡镇规划部门指定地点堆放</w:t>
                  </w:r>
                </w:p>
              </w:tc>
            </w:tr>
            <w:tr w14:paraId="3BC94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57" w:type="pct"/>
                  <w:noWrap w:val="0"/>
                  <w:vAlign w:val="center"/>
                </w:tcPr>
                <w:p w14:paraId="1AE9D2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生活垃圾</w:t>
                  </w:r>
                </w:p>
              </w:tc>
              <w:tc>
                <w:tcPr>
                  <w:tcW w:w="1183" w:type="pct"/>
                  <w:noWrap w:val="0"/>
                  <w:vAlign w:val="center"/>
                </w:tcPr>
                <w:p w14:paraId="3CE0B5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000000" w:themeColor="text1"/>
                      <w:spacing w:val="0"/>
                      <w:w w:val="100"/>
                      <w:sz w:val="21"/>
                      <w:szCs w:val="21"/>
                      <w14:textFill>
                        <w14:solidFill>
                          <w14:schemeClr w14:val="tx1"/>
                        </w14:solidFill>
                      </w14:textFill>
                    </w:rPr>
                  </w:pPr>
                  <w:r>
                    <w:rPr>
                      <w:rFonts w:hint="default" w:ascii="Times New Roman" w:hAnsi="Times New Roman" w:eastAsia="Times New Roman" w:cs="Times New Roman"/>
                      <w:color w:val="000000" w:themeColor="text1"/>
                      <w:spacing w:val="0"/>
                      <w:w w:val="100"/>
                      <w:sz w:val="21"/>
                      <w:szCs w:val="21"/>
                      <w14:textFill>
                        <w14:solidFill>
                          <w14:schemeClr w14:val="tx1"/>
                        </w14:solidFill>
                      </w14:textFill>
                    </w:rPr>
                    <w:t>-</w:t>
                  </w:r>
                </w:p>
              </w:tc>
              <w:tc>
                <w:tcPr>
                  <w:tcW w:w="1079" w:type="pct"/>
                  <w:noWrap w:val="0"/>
                  <w:vAlign w:val="center"/>
                </w:tcPr>
                <w:p w14:paraId="0742C5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000000" w:themeColor="text1"/>
                      <w:spacing w:val="0"/>
                      <w:w w:val="100"/>
                      <w:sz w:val="21"/>
                      <w:szCs w:val="21"/>
                      <w14:textFill>
                        <w14:solidFill>
                          <w14:schemeClr w14:val="tx1"/>
                        </w14:solidFill>
                      </w14:textFill>
                    </w:rPr>
                  </w:pPr>
                  <w:r>
                    <w:rPr>
                      <w:rFonts w:hint="default" w:ascii="Times New Roman" w:hAnsi="Times New Roman" w:eastAsia="Times New Roman" w:cs="Times New Roman"/>
                      <w:color w:val="000000" w:themeColor="text1"/>
                      <w:spacing w:val="0"/>
                      <w:w w:val="100"/>
                      <w:sz w:val="21"/>
                      <w:szCs w:val="21"/>
                      <w14:textFill>
                        <w14:solidFill>
                          <w14:schemeClr w14:val="tx1"/>
                        </w14:solidFill>
                      </w14:textFill>
                    </w:rPr>
                    <w:t>15kg/d</w:t>
                  </w:r>
                </w:p>
              </w:tc>
              <w:tc>
                <w:tcPr>
                  <w:tcW w:w="1779" w:type="pct"/>
                  <w:noWrap w:val="0"/>
                  <w:vAlign w:val="center"/>
                </w:tcPr>
                <w:p w14:paraId="6EFB80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0"/>
                      <w:w w:val="100"/>
                      <w:sz w:val="21"/>
                      <w:szCs w:val="21"/>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由环卫部门统一清运处理</w:t>
                  </w:r>
                </w:p>
              </w:tc>
            </w:tr>
          </w:tbl>
          <w:p w14:paraId="5171E7C1">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（5）生态治理</w:t>
            </w:r>
          </w:p>
          <w:p w14:paraId="4BD99236">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①对土壤的影响</w:t>
            </w:r>
          </w:p>
          <w:p w14:paraId="795758B0">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部分</w:t>
            </w:r>
            <w:r>
              <w:rPr>
                <w:rFonts w:hint="default" w:ascii="Times New Roman" w:hAnsi="Times New Roman" w:eastAsia="宋体" w:cs="Times New Roman"/>
                <w:color w:val="000000" w:themeColor="text1"/>
                <w:spacing w:val="0"/>
                <w:w w:val="100"/>
                <w:sz w:val="24"/>
                <w:szCs w:val="24"/>
                <w14:textFill>
                  <w14:solidFill>
                    <w14:schemeClr w14:val="tx1"/>
                  </w14:solidFill>
                </w14:textFill>
              </w:rPr>
              <w:t>管道施工方法为</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管沟敷设</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，对土壤进行开挖和填埋，将对土壤产生一定的影响，本项目管径及埋深均较小，</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且管沟敷设段为市政道路建设范围内，</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因此项目施工对土壤破坏较小。</w:t>
            </w:r>
          </w:p>
          <w:p w14:paraId="3C369486">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②生态保护措施</w:t>
            </w:r>
          </w:p>
          <w:p w14:paraId="476A43A1">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本工程施工期由于机械的</w:t>
            </w:r>
            <w:r>
              <w:rPr>
                <w:rFonts w:hint="eastAsia"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t>碾压</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及施工人员的踩踏，在施工作业区周围的土壤将被严重压实，部分施工区域的表土将被铲去，另一些区域的表土将可能被填埋，从而使施工完成后的土壤物理结构和化学成分发生改变。此外，临时占地短期内</w:t>
            </w:r>
            <w:r>
              <w:rPr>
                <w:rFonts w:hint="eastAsia"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t>会</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丧失原有的生态功能。工程管线敷设采用分层开挖的方法，将表土（耕作层土）与底土分别堆放，回填时分层回填，尽可能保护植物原有的土壤类型。通过现场查勘，本项目沿线主要为普通的人工栽种植被，无珍稀、名贵树种分布。评价要求本项目施工过程中应充分利用原有植被，植被的恢复应跟施工期同步进行，使植被破坏向最小化方向发展。施工结束后的补偿措施，可以使施工期间造成的影响最小化。</w:t>
            </w:r>
          </w:p>
          <w:p w14:paraId="41D33506">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项目管线施工完成后，及时进行迹地恢复。环评要求在管线两侧</w:t>
            </w:r>
            <w:r>
              <w:rPr>
                <w:rFonts w:hint="default" w:ascii="Times New Roman" w:hAnsi="Times New Roman" w:eastAsia="Times New Roman" w:cs="Times New Roman"/>
                <w:b w:val="0"/>
                <w:bCs w:val="0"/>
                <w:color w:val="000000" w:themeColor="text1"/>
                <w:spacing w:val="0"/>
                <w:w w:val="100"/>
                <w:sz w:val="24"/>
                <w:szCs w:val="24"/>
                <w14:textFill>
                  <w14:solidFill>
                    <w14:schemeClr w14:val="tx1"/>
                  </w14:solidFill>
                </w14:textFill>
              </w:rPr>
              <w:t>5m</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的范围内不得种植深根系植物，可恢复浅根系植物，不会影响绿化</w:t>
            </w:r>
            <w:r>
              <w:rPr>
                <w:rFonts w:hint="default" w:ascii="Times New Roman" w:hAnsi="Times New Roman" w:eastAsia="宋体" w:cs="Times New Roman"/>
                <w:b w:val="0"/>
                <w:bCs w:val="0"/>
                <w:color w:val="000000" w:themeColor="text1"/>
                <w:spacing w:val="0"/>
                <w:w w:val="100"/>
                <w:sz w:val="24"/>
                <w:szCs w:val="24"/>
                <w:lang w:eastAsia="zh-CN"/>
                <w14:textFill>
                  <w14:solidFill>
                    <w14:schemeClr w14:val="tx1"/>
                  </w14:solidFill>
                </w14:textFill>
              </w:rPr>
              <w:t>。</w:t>
            </w:r>
          </w:p>
          <w:p w14:paraId="3FDC65AC">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③临时工程恢复措施</w:t>
            </w:r>
          </w:p>
          <w:p w14:paraId="0855750B">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本项目临时工程位于</w:t>
            </w:r>
            <w:r>
              <w:rPr>
                <w:rFonts w:hint="eastAsia" w:ascii="Times New Roman" w:hAnsi="Times New Roman" w:eastAsia="宋体" w:cs="Times New Roman"/>
                <w:b w:val="0"/>
                <w:bCs w:val="0"/>
                <w:color w:val="000000" w:themeColor="text1"/>
                <w:spacing w:val="0"/>
                <w:w w:val="100"/>
                <w:sz w:val="24"/>
                <w:szCs w:val="24"/>
                <w:lang w:val="en-US" w:eastAsia="zh-CN"/>
                <w14:textFill>
                  <w14:solidFill>
                    <w14:schemeClr w14:val="tx1"/>
                  </w14:solidFill>
                </w14:textFill>
              </w:rPr>
              <w:t>厂区</w:t>
            </w:r>
            <w:r>
              <w:rPr>
                <w:rFonts w:hint="default" w:ascii="Times New Roman" w:hAnsi="Times New Roman" w:eastAsia="宋体" w:cs="Times New Roman"/>
                <w:b w:val="0"/>
                <w:bCs w:val="0"/>
                <w:color w:val="000000" w:themeColor="text1"/>
                <w:spacing w:val="0"/>
                <w:w w:val="100"/>
                <w:sz w:val="24"/>
                <w:szCs w:val="24"/>
                <w14:textFill>
                  <w14:solidFill>
                    <w14:schemeClr w14:val="tx1"/>
                  </w14:solidFill>
                </w14:textFill>
              </w:rPr>
              <w:t>用地范围内，完工后，及时回填，防止雨水冲刷</w:t>
            </w:r>
            <w:r>
              <w:rPr>
                <w:rFonts w:hint="default" w:ascii="Times New Roman" w:hAnsi="Times New Roman" w:eastAsia="宋体" w:cs="Times New Roman"/>
                <w:color w:val="000000" w:themeColor="text1"/>
                <w:spacing w:val="0"/>
                <w:w w:val="100"/>
                <w:sz w:val="24"/>
                <w:szCs w:val="24"/>
                <w14:textFill>
                  <w14:solidFill>
                    <w14:schemeClr w14:val="tx1"/>
                  </w14:solidFill>
                </w14:textFill>
              </w:rPr>
              <w:t>。</w:t>
            </w:r>
          </w:p>
          <w:p w14:paraId="508DFD6E">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（6）水土流失</w:t>
            </w:r>
          </w:p>
          <w:p w14:paraId="51FDDAA4">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项目施工期间，由于地表开挖，导致土壤裸露、结构松散，</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容易</w:t>
            </w:r>
            <w:r>
              <w:rPr>
                <w:rFonts w:hint="default" w:ascii="Times New Roman" w:hAnsi="Times New Roman" w:eastAsia="宋体" w:cs="Times New Roman"/>
                <w:color w:val="000000" w:themeColor="text1"/>
                <w:spacing w:val="0"/>
                <w:w w:val="100"/>
                <w:sz w:val="24"/>
                <w:szCs w:val="24"/>
                <w14:textFill>
                  <w14:solidFill>
                    <w14:schemeClr w14:val="tx1"/>
                  </w14:solidFill>
                </w14:textFill>
              </w:rPr>
              <w:t>被雨水冲刷而造成水土流失。为减少施工场地水土流失量，施工单位应采取以下防治措施：</w:t>
            </w:r>
          </w:p>
          <w:p w14:paraId="5A365CF0">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①应尽量避开雨季施工，强降雨来临前做好预防工作；</w:t>
            </w:r>
          </w:p>
          <w:p w14:paraId="3B9974AB">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②制定合理的施工方案，施工材料堆放场应选择较为平整的场地；</w:t>
            </w:r>
          </w:p>
          <w:p w14:paraId="792C1DBA">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③工程施工应</w:t>
            </w:r>
            <w:r>
              <w:rPr>
                <w:rFonts w:hint="eastAsia" w:ascii="Times New Roman" w:hAnsi="Times New Roman" w:eastAsia="宋体" w:cs="Times New Roman"/>
                <w:color w:val="000000" w:themeColor="text1"/>
                <w:spacing w:val="0"/>
                <w:w w:val="100"/>
                <w:sz w:val="24"/>
                <w:szCs w:val="24"/>
                <w:lang w:val="en-US" w:eastAsia="zh-CN"/>
                <w14:textFill>
                  <w14:solidFill>
                    <w14:schemeClr w14:val="tx1"/>
                  </w14:solidFill>
                </w14:textFill>
              </w:rPr>
              <w:t>合理安排施工时序，</w:t>
            </w:r>
            <w:r>
              <w:rPr>
                <w:rFonts w:hint="default" w:ascii="Times New Roman" w:hAnsi="Times New Roman" w:eastAsia="宋体" w:cs="Times New Roman"/>
                <w:color w:val="000000" w:themeColor="text1"/>
                <w:spacing w:val="0"/>
                <w:w w:val="100"/>
                <w:sz w:val="24"/>
                <w:szCs w:val="24"/>
                <w14:textFill>
                  <w14:solidFill>
                    <w14:schemeClr w14:val="tx1"/>
                  </w14:solidFill>
                </w14:textFill>
              </w:rPr>
              <w:t>缩短单项工期，减少开挖的裸露面；</w:t>
            </w:r>
          </w:p>
          <w:p w14:paraId="4F0214D2">
            <w:pPr>
              <w:keepNext w:val="0"/>
              <w:keepLines w:val="0"/>
              <w:pageBreakBefore w:val="0"/>
              <w:suppressLineNumbers w:val="0"/>
              <w:wordWrap/>
              <w:overflowPunct/>
              <w:topLinePunct w:val="0"/>
              <w:bidi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pacing w:val="0"/>
                <w:w w:val="100"/>
                <w:sz w:val="24"/>
                <w:szCs w:val="24"/>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④根据工程施工进度，开挖的裸露面要有</w:t>
            </w:r>
            <w:r>
              <w:rPr>
                <w:rFonts w:hint="eastAsia" w:ascii="Times New Roman" w:hAnsi="Times New Roman" w:eastAsia="宋体" w:cs="Times New Roman"/>
                <w:color w:val="000000" w:themeColor="text1"/>
                <w:spacing w:val="0"/>
                <w:w w:val="100"/>
                <w:sz w:val="24"/>
                <w:szCs w:val="24"/>
                <w:lang w:eastAsia="zh-CN"/>
                <w14:textFill>
                  <w14:solidFill>
                    <w14:schemeClr w14:val="tx1"/>
                  </w14:solidFill>
                </w14:textFill>
              </w:rPr>
              <w:t>防治措施</w:t>
            </w:r>
            <w:r>
              <w:rPr>
                <w:rFonts w:hint="default" w:ascii="Times New Roman" w:hAnsi="Times New Roman" w:eastAsia="宋体" w:cs="Times New Roman"/>
                <w:color w:val="000000" w:themeColor="text1"/>
                <w:spacing w:val="0"/>
                <w:w w:val="100"/>
                <w:sz w:val="24"/>
                <w:szCs w:val="24"/>
                <w14:textFill>
                  <w14:solidFill>
                    <w14:schemeClr w14:val="tx1"/>
                  </w14:solidFill>
                </w14:textFill>
              </w:rPr>
              <w:t>，尽量缩短暴露时间，减少水土流失。</w:t>
            </w:r>
          </w:p>
          <w:p w14:paraId="1811F86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14:textFill>
                  <w14:solidFill>
                    <w14:schemeClr w14:val="tx1"/>
                  </w14:solidFill>
                </w14:textFill>
              </w:rPr>
              <w:t>综上所述，项目施工期虽然对所在区域的生态环境造成一定的影响，但此影响是暂时的，将随着施工期的结束而结束；且项目施工期将采取必要的水土流失防治措施，项目建成后将对区域内地表进行绿化，种植花草树木，以恢复施工期造成的生态破坏，因此，项目施工期对生态环境的影响很小</w:t>
            </w:r>
            <w:r>
              <w:rPr>
                <w:rFonts w:hint="eastAsia" w:ascii="Times New Roman" w:hAnsi="Times New Roman" w:cs="Times New Roman"/>
                <w:color w:val="000000" w:themeColor="text1"/>
                <w:sz w:val="24"/>
                <w:szCs w:val="24"/>
                <w:lang w:val="en-US" w:eastAsia="zh-CN"/>
                <w14:textFill>
                  <w14:solidFill>
                    <w14:schemeClr w14:val="tx1"/>
                  </w14:solidFill>
                </w14:textFill>
              </w:rPr>
              <w:t>。</w:t>
            </w:r>
          </w:p>
        </w:tc>
      </w:tr>
      <w:tr w14:paraId="22CA1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572" w:type="dxa"/>
            <w:noWrap w:val="0"/>
            <w:tcMar>
              <w:left w:w="28" w:type="dxa"/>
              <w:right w:w="28" w:type="dxa"/>
            </w:tcMar>
            <w:vAlign w:val="center"/>
          </w:tcPr>
          <w:p w14:paraId="58EBD8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7D21B6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78A5D2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700320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726B83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050998A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措施</w:t>
            </w:r>
          </w:p>
        </w:tc>
        <w:tc>
          <w:tcPr>
            <w:tcW w:w="8336" w:type="dxa"/>
            <w:noWrap w:val="0"/>
            <w:vAlign w:val="center"/>
          </w:tcPr>
          <w:p w14:paraId="53DF4D38">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1、大气环境影响及保护措施</w:t>
            </w:r>
          </w:p>
          <w:p w14:paraId="7F0BC8FB">
            <w:pPr>
              <w:keepNext w:val="0"/>
              <w:keepLines w:val="0"/>
              <w:suppressLineNumbers w:val="0"/>
              <w:adjustRightInd w:val="0"/>
              <w:snapToGrid w:val="0"/>
              <w:spacing w:before="0" w:beforeAutospacing="0" w:after="0" w:afterAutospacing="0" w:line="360" w:lineRule="auto"/>
              <w:ind w:left="0" w:right="0" w:firstLine="44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⑴废气污染物排放源</w:t>
            </w:r>
          </w:p>
          <w:p w14:paraId="1C6741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废气排放信息一览表</w:t>
            </w:r>
          </w:p>
          <w:tbl>
            <w:tblPr>
              <w:tblStyle w:val="23"/>
              <w:tblW w:w="4999" w:type="pct"/>
              <w:tblInd w:w="0" w:type="dxa"/>
              <w:tblLayout w:type="autofit"/>
              <w:tblCellMar>
                <w:top w:w="0" w:type="dxa"/>
                <w:left w:w="108" w:type="dxa"/>
                <w:bottom w:w="0" w:type="dxa"/>
                <w:right w:w="108" w:type="dxa"/>
              </w:tblCellMar>
            </w:tblPr>
            <w:tblGrid>
              <w:gridCol w:w="719"/>
              <w:gridCol w:w="732"/>
              <w:gridCol w:w="846"/>
              <w:gridCol w:w="846"/>
              <w:gridCol w:w="1056"/>
              <w:gridCol w:w="1056"/>
              <w:gridCol w:w="923"/>
              <w:gridCol w:w="1135"/>
              <w:gridCol w:w="1056"/>
            </w:tblGrid>
            <w:tr w14:paraId="11BB12DC">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56762CF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产污环节</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43BF4E6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1#锅炉50</w:t>
                  </w:r>
                  <w:r>
                    <w:rPr>
                      <w:rFonts w:hint="default" w:ascii="Times New Roman" w:hAnsi="Times New Roman" w:cs="Times New Roman"/>
                      <w:color w:val="000000" w:themeColor="text1"/>
                      <w:szCs w:val="21"/>
                      <w14:textFill>
                        <w14:solidFill>
                          <w14:schemeClr w14:val="tx1"/>
                        </w14:solidFill>
                      </w14:textFill>
                    </w:rPr>
                    <w:t>t/h</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2#锅炉50</w:t>
                  </w:r>
                  <w:r>
                    <w:rPr>
                      <w:rFonts w:hint="default" w:ascii="Times New Roman" w:hAnsi="Times New Roman" w:cs="Times New Roman"/>
                      <w:color w:val="000000" w:themeColor="text1"/>
                      <w:szCs w:val="21"/>
                      <w14:textFill>
                        <w14:solidFill>
                          <w14:schemeClr w14:val="tx1"/>
                        </w14:solidFill>
                      </w14:textFill>
                    </w:rPr>
                    <w:t>t/h</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45A95C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#锅炉50t/h、</w:t>
                  </w:r>
                  <w:r>
                    <w:rPr>
                      <w:rFonts w:hint="eastAsia"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#锅炉50t/h</w:t>
                  </w:r>
                </w:p>
              </w:tc>
            </w:tr>
            <w:tr w14:paraId="26635BA6">
              <w:tblPrEx>
                <w:tblCellMar>
                  <w:top w:w="0" w:type="dxa"/>
                  <w:left w:w="108" w:type="dxa"/>
                  <w:bottom w:w="0" w:type="dxa"/>
                  <w:right w:w="108" w:type="dxa"/>
                </w:tblCellMar>
              </w:tblPrEx>
              <w:trPr>
                <w:trHeight w:val="51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2A1E52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污染物种类</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6D487E8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1AE4D32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二氧化硫</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A50AA0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氮氧化物</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C7F17B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CEC70F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二氧化硫</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02CBEE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氮氧化物</w:t>
                  </w:r>
                </w:p>
              </w:tc>
            </w:tr>
            <w:tr w14:paraId="0688A2CD">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29FFD3E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污染物产生量t/a</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05C347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5AB1E9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2438E2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15.162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28A21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287E1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0.106</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71AA05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15.162</w:t>
                  </w:r>
                </w:p>
              </w:tc>
            </w:tr>
            <w:tr w14:paraId="276DE771">
              <w:tblPrEx>
                <w:tblCellMar>
                  <w:top w:w="0" w:type="dxa"/>
                  <w:left w:w="108" w:type="dxa"/>
                  <w:bottom w:w="0" w:type="dxa"/>
                  <w:right w:w="108" w:type="dxa"/>
                </w:tblCellMar>
              </w:tblPrEx>
              <w:trPr>
                <w:trHeight w:val="489"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7743D2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污染物产生浓度mg/m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5DCFDEE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 xml:space="preserve"> </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4D85C8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0.195 </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2E72E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28.12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1C7622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 xml:space="preserve"> </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7E33632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0.195 </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70D052C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28.12</w:t>
                  </w:r>
                </w:p>
              </w:tc>
            </w:tr>
            <w:tr w14:paraId="5F80A6A4">
              <w:tblPrEx>
                <w:tblCellMar>
                  <w:top w:w="0" w:type="dxa"/>
                  <w:left w:w="108" w:type="dxa"/>
                  <w:bottom w:w="0" w:type="dxa"/>
                  <w:right w:w="108" w:type="dxa"/>
                </w:tblCellMar>
              </w:tblPrEx>
              <w:trPr>
                <w:trHeight w:val="51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268672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排放形式</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60F3EF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4C05EC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6F1A9D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405FD8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7C7A8A4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5FA1CF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有组织</w:t>
                  </w:r>
                </w:p>
              </w:tc>
            </w:tr>
            <w:tr w14:paraId="3E12037F">
              <w:tblPrEx>
                <w:tblCellMar>
                  <w:top w:w="0" w:type="dxa"/>
                  <w:left w:w="108" w:type="dxa"/>
                  <w:bottom w:w="0" w:type="dxa"/>
                  <w:right w:w="108" w:type="dxa"/>
                </w:tblCellMar>
              </w:tblPrEx>
              <w:trPr>
                <w:trHeight w:val="522"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1D0179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治理设施</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39E5416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529" w:type="pct"/>
                  <w:tcBorders>
                    <w:top w:val="single" w:color="000000" w:sz="4" w:space="0"/>
                    <w:left w:val="single" w:color="000000" w:sz="4" w:space="0"/>
                    <w:bottom w:val="single" w:color="000000" w:sz="4" w:space="0"/>
                    <w:right w:val="single" w:color="auto" w:sz="4" w:space="0"/>
                  </w:tcBorders>
                  <w:noWrap w:val="0"/>
                  <w:vAlign w:val="center"/>
                </w:tcPr>
                <w:p w14:paraId="705865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74" w:type="pct"/>
                  <w:tcBorders>
                    <w:top w:val="single" w:color="000000" w:sz="4" w:space="0"/>
                    <w:left w:val="single" w:color="auto" w:sz="4" w:space="0"/>
                    <w:bottom w:val="single" w:color="000000" w:sz="4" w:space="0"/>
                    <w:right w:val="single" w:color="auto" w:sz="4" w:space="0"/>
                  </w:tcBorders>
                  <w:noWrap w:val="0"/>
                  <w:vAlign w:val="center"/>
                </w:tcPr>
                <w:p w14:paraId="1E4D44D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0" w:type="pct"/>
                  <w:tcBorders>
                    <w:top w:val="single" w:color="000000" w:sz="4" w:space="0"/>
                    <w:left w:val="single" w:color="auto" w:sz="4" w:space="0"/>
                    <w:bottom w:val="single" w:color="000000" w:sz="4" w:space="0"/>
                    <w:right w:val="single" w:color="000000" w:sz="4" w:space="0"/>
                  </w:tcBorders>
                  <w:noWrap w:val="0"/>
                  <w:vAlign w:val="center"/>
                </w:tcPr>
                <w:p w14:paraId="53FD0C6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低氮燃烧设备</w:t>
                  </w:r>
                </w:p>
              </w:tc>
              <w:tc>
                <w:tcPr>
                  <w:tcW w:w="575" w:type="pct"/>
                  <w:tcBorders>
                    <w:top w:val="single" w:color="000000" w:sz="4" w:space="0"/>
                    <w:left w:val="single" w:color="auto" w:sz="4" w:space="0"/>
                    <w:bottom w:val="single" w:color="000000" w:sz="4" w:space="0"/>
                    <w:right w:val="single" w:color="000000" w:sz="4" w:space="0"/>
                  </w:tcBorders>
                  <w:noWrap w:val="0"/>
                  <w:vAlign w:val="center"/>
                </w:tcPr>
                <w:p w14:paraId="4B830DF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90" w:type="pct"/>
                  <w:tcBorders>
                    <w:top w:val="single" w:color="000000" w:sz="4" w:space="0"/>
                    <w:left w:val="single" w:color="auto" w:sz="4" w:space="0"/>
                    <w:bottom w:val="single" w:color="000000" w:sz="4" w:space="0"/>
                    <w:right w:val="single" w:color="000000" w:sz="4" w:space="0"/>
                  </w:tcBorders>
                  <w:noWrap w:val="0"/>
                  <w:vAlign w:val="center"/>
                </w:tcPr>
                <w:p w14:paraId="0FE572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5" w:type="pct"/>
                  <w:tcBorders>
                    <w:top w:val="single" w:color="000000" w:sz="4" w:space="0"/>
                    <w:left w:val="single" w:color="auto" w:sz="4" w:space="0"/>
                    <w:bottom w:val="single" w:color="000000" w:sz="4" w:space="0"/>
                    <w:right w:val="single" w:color="000000" w:sz="4" w:space="0"/>
                  </w:tcBorders>
                  <w:noWrap w:val="0"/>
                  <w:vAlign w:val="center"/>
                </w:tcPr>
                <w:p w14:paraId="0956E88E">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低氮燃烧设备</w:t>
                  </w:r>
                </w:p>
              </w:tc>
            </w:tr>
            <w:tr w14:paraId="2B9A2449">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DBC39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018CE07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处理能力m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/h</w:t>
                  </w:r>
                </w:p>
              </w:tc>
              <w:tc>
                <w:tcPr>
                  <w:tcW w:w="529" w:type="pct"/>
                  <w:tcBorders>
                    <w:top w:val="single" w:color="000000" w:sz="4" w:space="0"/>
                    <w:left w:val="single" w:color="000000" w:sz="4" w:space="0"/>
                    <w:bottom w:val="single" w:color="000000" w:sz="4" w:space="0"/>
                    <w:right w:val="single" w:color="auto" w:sz="4" w:space="0"/>
                  </w:tcBorders>
                  <w:noWrap/>
                  <w:vAlign w:val="center"/>
                </w:tcPr>
                <w:p w14:paraId="7F733E0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74" w:type="pct"/>
                  <w:tcBorders>
                    <w:top w:val="single" w:color="000000" w:sz="4" w:space="0"/>
                    <w:left w:val="single" w:color="auto" w:sz="4" w:space="0"/>
                    <w:bottom w:val="single" w:color="000000" w:sz="4" w:space="0"/>
                    <w:right w:val="single" w:color="auto" w:sz="4" w:space="0"/>
                  </w:tcBorders>
                  <w:noWrap/>
                  <w:vAlign w:val="center"/>
                </w:tcPr>
                <w:p w14:paraId="06AA05F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0" w:type="pct"/>
                  <w:tcBorders>
                    <w:top w:val="single" w:color="000000" w:sz="4" w:space="0"/>
                    <w:left w:val="single" w:color="auto" w:sz="4" w:space="0"/>
                    <w:bottom w:val="single" w:color="000000" w:sz="4" w:space="0"/>
                    <w:right w:val="single" w:color="000000" w:sz="4" w:space="0"/>
                  </w:tcBorders>
                  <w:noWrap/>
                  <w:vAlign w:val="center"/>
                </w:tcPr>
                <w:p w14:paraId="1FC100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75" w:type="pct"/>
                  <w:tcBorders>
                    <w:top w:val="single" w:color="000000" w:sz="4" w:space="0"/>
                    <w:left w:val="single" w:color="auto" w:sz="4" w:space="0"/>
                    <w:bottom w:val="single" w:color="000000" w:sz="4" w:space="0"/>
                    <w:right w:val="single" w:color="000000" w:sz="4" w:space="0"/>
                  </w:tcBorders>
                  <w:noWrap/>
                  <w:vAlign w:val="center"/>
                </w:tcPr>
                <w:p w14:paraId="569BCC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90" w:type="pct"/>
                  <w:tcBorders>
                    <w:top w:val="single" w:color="000000" w:sz="4" w:space="0"/>
                    <w:left w:val="single" w:color="auto" w:sz="4" w:space="0"/>
                    <w:bottom w:val="single" w:color="000000" w:sz="4" w:space="0"/>
                    <w:right w:val="single" w:color="000000" w:sz="4" w:space="0"/>
                  </w:tcBorders>
                  <w:noWrap/>
                  <w:vAlign w:val="center"/>
                </w:tcPr>
                <w:p w14:paraId="06054F4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5" w:type="pct"/>
                  <w:tcBorders>
                    <w:top w:val="single" w:color="000000" w:sz="4" w:space="0"/>
                    <w:left w:val="single" w:color="auto" w:sz="4" w:space="0"/>
                    <w:bottom w:val="single" w:color="000000" w:sz="4" w:space="0"/>
                    <w:right w:val="single" w:color="000000" w:sz="4" w:space="0"/>
                  </w:tcBorders>
                  <w:noWrap/>
                  <w:vAlign w:val="center"/>
                </w:tcPr>
                <w:p w14:paraId="35DAD9D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1DD8224C">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AA95F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ign w:val="center"/>
                </w:tcPr>
                <w:p w14:paraId="7B44B11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收集效率</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47A94C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590C2F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1D3C1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5D9645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870785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71574A9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r>
            <w:tr w14:paraId="6C46246E">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248E0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B4462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去除效率</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14B64A7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44E74C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9F377D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FB961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EBC19F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5626B1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r>
            <w:tr w14:paraId="6E6AE3B2">
              <w:tblPrEx>
                <w:tblCellMar>
                  <w:top w:w="0" w:type="dxa"/>
                  <w:left w:w="108" w:type="dxa"/>
                  <w:bottom w:w="0" w:type="dxa"/>
                  <w:right w:w="108" w:type="dxa"/>
                </w:tblCellMar>
              </w:tblPrEx>
              <w:trPr>
                <w:trHeight w:val="31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C257E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ign w:val="center"/>
                </w:tcPr>
                <w:p w14:paraId="5AAE163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是否可行</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0DA76A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42030E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w:t>
                  </w:r>
                </w:p>
              </w:tc>
            </w:tr>
            <w:tr w14:paraId="3A3AFA71">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38B7BCD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排放浓度mg/m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7A675D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3</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69C737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0.195</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B15343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28.12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C52F3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3</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C5EFA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0.195</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5D5E6C0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28.12</w:t>
                  </w:r>
                </w:p>
              </w:tc>
            </w:tr>
            <w:tr w14:paraId="6BBCC808">
              <w:tblPrEx>
                <w:tblCellMar>
                  <w:top w:w="0" w:type="dxa"/>
                  <w:left w:w="108" w:type="dxa"/>
                  <w:bottom w:w="0" w:type="dxa"/>
                  <w:right w:w="108" w:type="dxa"/>
                </w:tblCellMar>
              </w:tblPrEx>
              <w:trPr>
                <w:trHeight w:val="33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218CFA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排放速率kg/h</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792275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105</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B128B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0015</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5C653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225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E8310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105</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2D6F0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0015</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74CAC3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225</w:t>
                  </w:r>
                </w:p>
              </w:tc>
            </w:tr>
            <w:tr w14:paraId="39DC5CA0">
              <w:tblPrEx>
                <w:tblCellMar>
                  <w:top w:w="0" w:type="dxa"/>
                  <w:left w:w="108" w:type="dxa"/>
                  <w:bottom w:w="0" w:type="dxa"/>
                  <w:right w:w="108" w:type="dxa"/>
                </w:tblCellMar>
              </w:tblPrEx>
              <w:trPr>
                <w:trHeight w:val="30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2119747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排放量t/a</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78C4B6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0.70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954061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0.106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29326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15.162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665D765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085</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FCD92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lang w:val="en-US" w:eastAsia="zh-CN"/>
                      <w14:textFill>
                        <w14:solidFill>
                          <w14:schemeClr w14:val="tx1"/>
                        </w14:solidFill>
                      </w14:textFill>
                    </w:rPr>
                    <w:t>012</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54AF77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2.85</w:t>
                  </w:r>
                </w:p>
              </w:tc>
            </w:tr>
            <w:tr w14:paraId="5728C3B1">
              <w:tblPrEx>
                <w:tblCellMar>
                  <w:top w:w="0" w:type="dxa"/>
                  <w:left w:w="108" w:type="dxa"/>
                  <w:bottom w:w="0" w:type="dxa"/>
                  <w:right w:w="108" w:type="dxa"/>
                </w:tblCellMar>
              </w:tblPrEx>
              <w:trPr>
                <w:trHeight w:val="334"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5026D66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排放口基本情况</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EBAE0B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高度m</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5CAE34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20.8</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3A4F16D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8</w:t>
                  </w:r>
                </w:p>
              </w:tc>
            </w:tr>
            <w:tr w14:paraId="167CF6C1">
              <w:tblPrEx>
                <w:tblCellMar>
                  <w:top w:w="0" w:type="dxa"/>
                  <w:left w:w="108" w:type="dxa"/>
                  <w:bottom w:w="0" w:type="dxa"/>
                  <w:right w:w="108" w:type="dxa"/>
                </w:tblCellMar>
              </w:tblPrEx>
              <w:trPr>
                <w:trHeight w:val="35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9B447F">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785046C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排气筒内径m</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6BB2BF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C5FF9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w:t>
                  </w:r>
                </w:p>
              </w:tc>
            </w:tr>
            <w:tr w14:paraId="11566CB4">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4DB393">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3897E6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温度℃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07C470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常温</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377C01D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常温</w:t>
                  </w:r>
                </w:p>
              </w:tc>
            </w:tr>
            <w:tr w14:paraId="76C82754">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6D0FD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2A9226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编号</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3740276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3C158C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DA00</w:t>
                  </w:r>
                  <w:r>
                    <w:rPr>
                      <w:rFonts w:hint="eastAsia" w:ascii="Times New Roman" w:hAnsi="Times New Roman" w:cs="Times New Roman"/>
                      <w:color w:val="000000" w:themeColor="text1"/>
                      <w:szCs w:val="21"/>
                      <w:lang w:val="en-US" w:eastAsia="zh-CN"/>
                      <w14:textFill>
                        <w14:solidFill>
                          <w14:schemeClr w14:val="tx1"/>
                        </w14:solidFill>
                      </w14:textFill>
                    </w:rPr>
                    <w:t>2</w:t>
                  </w:r>
                </w:p>
              </w:tc>
            </w:tr>
            <w:tr w14:paraId="5557A9E8">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B1288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40F91E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B02FE5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锅炉废气排气筒</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3CFD6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锅炉废气排气筒</w:t>
                  </w:r>
                </w:p>
              </w:tc>
            </w:tr>
            <w:tr w14:paraId="45DF2B20">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26314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360967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类型</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469AC1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一般排放口</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7C08A50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一般排放口</w:t>
                  </w:r>
                </w:p>
              </w:tc>
            </w:tr>
            <w:tr w14:paraId="458183C4">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B721D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441" w:type="pct"/>
                  <w:vMerge w:val="restart"/>
                  <w:tcBorders>
                    <w:top w:val="single" w:color="000000" w:sz="4" w:space="0"/>
                    <w:left w:val="single" w:color="000000" w:sz="4" w:space="0"/>
                    <w:bottom w:val="single" w:color="000000" w:sz="4" w:space="0"/>
                    <w:right w:val="single" w:color="000000" w:sz="4" w:space="0"/>
                  </w:tcBorders>
                  <w:noWrap w:val="0"/>
                  <w:vAlign w:val="center"/>
                </w:tcPr>
                <w:p w14:paraId="2F0821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469882B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5AD79EC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107°19′0.988″</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4D825B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107°19′2.03</w:t>
                  </w:r>
                  <w:r>
                    <w:rPr>
                      <w:rFonts w:hint="eastAsia"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w:t>
                  </w:r>
                </w:p>
              </w:tc>
            </w:tr>
            <w:tr w14:paraId="5F68707C">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F4A77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4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DF9C2D">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1434138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纬度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FB7934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34°33′42.21</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42806A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34°33′42.079″</w:t>
                  </w:r>
                </w:p>
              </w:tc>
            </w:tr>
            <w:tr w14:paraId="465953BA">
              <w:tblPrEx>
                <w:tblCellMar>
                  <w:top w:w="0" w:type="dxa"/>
                  <w:left w:w="108" w:type="dxa"/>
                  <w:bottom w:w="0" w:type="dxa"/>
                  <w:right w:w="108" w:type="dxa"/>
                </w:tblCellMar>
              </w:tblPrEx>
              <w:trPr>
                <w:trHeight w:val="770"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73AC04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排放标准</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495BD7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标准名称</w:t>
                  </w:r>
                </w:p>
              </w:tc>
              <w:tc>
                <w:tcPr>
                  <w:tcW w:w="3615" w:type="pct"/>
                  <w:gridSpan w:val="6"/>
                  <w:tcBorders>
                    <w:top w:val="single" w:color="000000" w:sz="4" w:space="0"/>
                    <w:left w:val="single" w:color="000000" w:sz="4" w:space="0"/>
                    <w:bottom w:val="single" w:color="000000" w:sz="4" w:space="0"/>
                    <w:right w:val="single" w:color="000000" w:sz="4" w:space="0"/>
                  </w:tcBorders>
                  <w:noWrap w:val="0"/>
                  <w:vAlign w:val="center"/>
                </w:tcPr>
                <w:p w14:paraId="5A7B29B9">
                  <w:pPr>
                    <w:keepNext w:val="0"/>
                    <w:keepLines w:val="0"/>
                    <w:widowControl/>
                    <w:suppressLineNumbers w:val="0"/>
                    <w:spacing w:before="0" w:beforeAutospacing="0" w:after="0" w:afterAutospacing="0"/>
                    <w:ind w:left="0" w:right="0"/>
                    <w:jc w:val="both"/>
                    <w:rPr>
                      <w:rFonts w:hint="default" w:ascii="Times New Roman" w:hAnsi="Times New Roman" w:cs="Times New Roman"/>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颗粒物、二氧化硫执行</w:t>
                  </w:r>
                  <w:r>
                    <w:rPr>
                      <w:rFonts w:hint="default" w:ascii="Times New Roman" w:hAnsi="Times New Roman" w:cs="Times New Roman"/>
                      <w:b w:val="0"/>
                      <w:bCs w:val="0"/>
                      <w:color w:val="000000" w:themeColor="text1"/>
                      <w:szCs w:val="21"/>
                      <w14:textFill>
                        <w14:solidFill>
                          <w14:schemeClr w14:val="tx1"/>
                        </w14:solidFill>
                      </w14:textFill>
                    </w:rPr>
                    <w:t>《锅炉大气污染物排放标准》（DB61/1226-2018）中表3标准</w:t>
                  </w:r>
                  <w:r>
                    <w:rPr>
                      <w:rFonts w:hint="default" w:ascii="Times New Roman" w:hAnsi="Times New Roman" w:cs="Times New Roman"/>
                      <w:b w:val="0"/>
                      <w:bCs w:val="0"/>
                      <w:color w:val="000000" w:themeColor="text1"/>
                      <w:szCs w:val="21"/>
                      <w:lang w:eastAsia="zh-CN"/>
                      <w14:textFill>
                        <w14:solidFill>
                          <w14:schemeClr w14:val="tx1"/>
                        </w14:solidFill>
                      </w14:textFill>
                    </w:rPr>
                    <w:t>；</w:t>
                  </w:r>
                </w:p>
                <w:p w14:paraId="4D7C6D1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zCs w:val="21"/>
                      <w:lang w:val="en-US" w:eastAsia="zh-CN"/>
                      <w14:textFill>
                        <w14:solidFill>
                          <w14:schemeClr w14:val="tx1"/>
                        </w14:solidFill>
                      </w14:textFill>
                    </w:rPr>
                    <w:t>氮氧化物执行《宝鸡市锅炉大气污染专项整治行动方案》（宝气专办发</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Cs w:val="21"/>
                      <w:lang w:val="en-US" w:eastAsia="zh-CN"/>
                      <w14:textFill>
                        <w14:solidFill>
                          <w14:schemeClr w14:val="tx1"/>
                        </w14:solidFill>
                      </w14:textFill>
                    </w:rPr>
                    <w:t>2023</w:t>
                  </w:r>
                  <w:r>
                    <w:rPr>
                      <w:rFonts w:hint="eastAsia" w:ascii="Times New Roman" w:hAnsi="Times New Roman" w:cs="Times New Roman"/>
                      <w:b w:val="0"/>
                      <w:bCs w:val="0"/>
                      <w:color w:val="000000" w:themeColor="text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Cs w:val="21"/>
                      <w:lang w:val="en-US" w:eastAsia="zh-CN"/>
                      <w14:textFill>
                        <w14:solidFill>
                          <w14:schemeClr w14:val="tx1"/>
                        </w14:solidFill>
                      </w14:textFill>
                    </w:rPr>
                    <w:t>7号）</w:t>
                  </w:r>
                  <w:r>
                    <w:rPr>
                      <w:rFonts w:hint="default" w:ascii="Times New Roman" w:hAnsi="Times New Roman" w:cs="Times New Roman"/>
                      <w:b w:val="0"/>
                      <w:bCs w:val="0"/>
                      <w:color w:val="000000" w:themeColor="text1"/>
                      <w:kern w:val="0"/>
                      <w:szCs w:val="21"/>
                      <w:lang w:val="en-US" w:eastAsia="zh-CN"/>
                      <w14:textFill>
                        <w14:solidFill>
                          <w14:schemeClr w14:val="tx1"/>
                        </w14:solidFill>
                      </w14:textFill>
                    </w:rPr>
                    <w:t>浓度要求</w:t>
                  </w:r>
                  <w:r>
                    <w:rPr>
                      <w:rFonts w:hint="eastAsia" w:ascii="Times New Roman" w:hAnsi="Times New Roman" w:cs="Times New Roman"/>
                      <w:b w:val="0"/>
                      <w:bCs w:val="0"/>
                      <w:color w:val="000000" w:themeColor="text1"/>
                      <w:kern w:val="0"/>
                      <w:szCs w:val="21"/>
                      <w:lang w:val="en-US" w:eastAsia="zh-CN"/>
                      <w14:textFill>
                        <w14:solidFill>
                          <w14:schemeClr w14:val="tx1"/>
                        </w14:solidFill>
                      </w14:textFill>
                    </w:rPr>
                    <w:t>。</w:t>
                  </w:r>
                </w:p>
              </w:tc>
            </w:tr>
            <w:tr w14:paraId="13DFBA12">
              <w:tblPrEx>
                <w:tblCellMar>
                  <w:top w:w="0" w:type="dxa"/>
                  <w:left w:w="108" w:type="dxa"/>
                  <w:bottom w:w="0" w:type="dxa"/>
                  <w:right w:w="108" w:type="dxa"/>
                </w:tblCellMar>
              </w:tblPrEx>
              <w:trPr>
                <w:trHeight w:val="48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04E4C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7DF200B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浓度限值mg/m³</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4849E67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15155D1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06046D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14:paraId="7B80AC6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14:paraId="6A49BEC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625" w:type="pct"/>
                  <w:tcBorders>
                    <w:top w:val="single" w:color="000000" w:sz="4" w:space="0"/>
                    <w:left w:val="single" w:color="000000" w:sz="4" w:space="0"/>
                    <w:bottom w:val="single" w:color="000000" w:sz="4" w:space="0"/>
                    <w:right w:val="single" w:color="000000" w:sz="4" w:space="0"/>
                  </w:tcBorders>
                  <w:noWrap w:val="0"/>
                  <w:vAlign w:val="center"/>
                </w:tcPr>
                <w:p w14:paraId="6A1531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r>
            <w:tr w14:paraId="344CACBC">
              <w:tblPrEx>
                <w:tblCellMar>
                  <w:top w:w="0" w:type="dxa"/>
                  <w:left w:w="108" w:type="dxa"/>
                  <w:bottom w:w="0" w:type="dxa"/>
                  <w:right w:w="108" w:type="dxa"/>
                </w:tblCellMar>
              </w:tblPrEx>
              <w:trPr>
                <w:trHeight w:val="35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59584D">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479C2B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速率限制kg/h</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251546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5D2318D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1A593C7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14:paraId="24E6EEC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14:paraId="77BDF0B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25" w:type="pct"/>
                  <w:tcBorders>
                    <w:top w:val="single" w:color="000000" w:sz="4" w:space="0"/>
                    <w:left w:val="single" w:color="000000" w:sz="4" w:space="0"/>
                    <w:bottom w:val="single" w:color="000000" w:sz="4" w:space="0"/>
                    <w:right w:val="single" w:color="000000" w:sz="4" w:space="0"/>
                  </w:tcBorders>
                  <w:noWrap w:val="0"/>
                  <w:vAlign w:val="center"/>
                </w:tcPr>
                <w:p w14:paraId="16B6CB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09A76499">
              <w:tblPrEx>
                <w:tblCellMar>
                  <w:top w:w="0" w:type="dxa"/>
                  <w:left w:w="108" w:type="dxa"/>
                  <w:bottom w:w="0" w:type="dxa"/>
                  <w:right w:w="108" w:type="dxa"/>
                </w:tblCellMar>
              </w:tblPrEx>
              <w:trPr>
                <w:trHeight w:val="41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526A68E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是否达标</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0B3FF95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1C537A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w:t>
                  </w:r>
                </w:p>
              </w:tc>
            </w:tr>
          </w:tbl>
          <w:p w14:paraId="1D8814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废气排放信息一览表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续）</w:t>
            </w:r>
          </w:p>
          <w:tbl>
            <w:tblPr>
              <w:tblStyle w:val="23"/>
              <w:tblW w:w="4999" w:type="pct"/>
              <w:tblInd w:w="0" w:type="dxa"/>
              <w:tblLayout w:type="autofit"/>
              <w:tblCellMar>
                <w:top w:w="0" w:type="dxa"/>
                <w:left w:w="108" w:type="dxa"/>
                <w:bottom w:w="0" w:type="dxa"/>
                <w:right w:w="108" w:type="dxa"/>
              </w:tblCellMar>
            </w:tblPr>
            <w:tblGrid>
              <w:gridCol w:w="719"/>
              <w:gridCol w:w="732"/>
              <w:gridCol w:w="846"/>
              <w:gridCol w:w="846"/>
              <w:gridCol w:w="1056"/>
              <w:gridCol w:w="1056"/>
              <w:gridCol w:w="934"/>
              <w:gridCol w:w="1124"/>
              <w:gridCol w:w="1056"/>
            </w:tblGrid>
            <w:tr w14:paraId="01EDB2CB">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63090B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产污环节</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6F95D70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5#锅炉50</w:t>
                  </w:r>
                  <w:r>
                    <w:rPr>
                      <w:rFonts w:hint="default" w:ascii="Times New Roman" w:hAnsi="Times New Roman" w:eastAsia="宋体" w:cs="Times New Roman"/>
                      <w:color w:val="000000" w:themeColor="text1"/>
                      <w:szCs w:val="21"/>
                      <w14:textFill>
                        <w14:solidFill>
                          <w14:schemeClr w14:val="tx1"/>
                        </w14:solidFill>
                      </w14:textFill>
                    </w:rPr>
                    <w:t>t/h</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6#锅炉50</w:t>
                  </w:r>
                  <w:r>
                    <w:rPr>
                      <w:rFonts w:hint="default" w:ascii="Times New Roman" w:hAnsi="Times New Roman" w:eastAsia="宋体" w:cs="Times New Roman"/>
                      <w:color w:val="000000" w:themeColor="text1"/>
                      <w:szCs w:val="21"/>
                      <w14:textFill>
                        <w14:solidFill>
                          <w14:schemeClr w14:val="tx1"/>
                        </w14:solidFill>
                      </w14:textFill>
                    </w:rPr>
                    <w:t>t/h</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41A65C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#锅炉50t/h</w:t>
                  </w:r>
                </w:p>
              </w:tc>
            </w:tr>
            <w:tr w14:paraId="487F43AC">
              <w:tblPrEx>
                <w:tblCellMar>
                  <w:top w:w="0" w:type="dxa"/>
                  <w:left w:w="108" w:type="dxa"/>
                  <w:bottom w:w="0" w:type="dxa"/>
                  <w:right w:w="108" w:type="dxa"/>
                </w:tblCellMar>
              </w:tblPrEx>
              <w:trPr>
                <w:trHeight w:val="51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5488E0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污染物种类</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7ABBFC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470787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二氧化硫</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D5C1D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氮氧化物</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67BA8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05945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二氧化硫</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6991CD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氮氧化物</w:t>
                  </w:r>
                </w:p>
              </w:tc>
            </w:tr>
            <w:tr w14:paraId="7BF8C70C">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01BB8C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污染物产生量t/a</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46CBC6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61B523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CBCB7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15.162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48DE3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0.350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63DEB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0.053</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5EE843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Han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7.581</w:t>
                  </w:r>
                </w:p>
              </w:tc>
            </w:tr>
            <w:tr w14:paraId="10A8A22D">
              <w:tblPrEx>
                <w:tblCellMar>
                  <w:top w:w="0" w:type="dxa"/>
                  <w:left w:w="108" w:type="dxa"/>
                  <w:bottom w:w="0" w:type="dxa"/>
                  <w:right w:w="108" w:type="dxa"/>
                </w:tblCellMar>
              </w:tblPrEx>
              <w:trPr>
                <w:trHeight w:val="489"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20C786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污染物产生浓度mg/m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728522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 xml:space="preserve"> </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7D1B4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0.195 </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1F2DC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28.12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5FEE38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 xml:space="preserve"> </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7A436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0.195 </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69900A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28.12</w:t>
                  </w:r>
                </w:p>
              </w:tc>
            </w:tr>
            <w:tr w14:paraId="2468C067">
              <w:tblPrEx>
                <w:tblCellMar>
                  <w:top w:w="0" w:type="dxa"/>
                  <w:left w:w="108" w:type="dxa"/>
                  <w:bottom w:w="0" w:type="dxa"/>
                  <w:right w:w="108" w:type="dxa"/>
                </w:tblCellMar>
              </w:tblPrEx>
              <w:trPr>
                <w:trHeight w:val="518" w:hRule="atLeast"/>
              </w:trPr>
              <w:tc>
                <w:tcPr>
                  <w:tcW w:w="1384" w:type="pct"/>
                  <w:gridSpan w:val="3"/>
                  <w:tcBorders>
                    <w:top w:val="single" w:color="000000" w:sz="4" w:space="0"/>
                    <w:left w:val="single" w:color="000000" w:sz="4" w:space="0"/>
                    <w:bottom w:val="single" w:color="000000" w:sz="4" w:space="0"/>
                    <w:right w:val="single" w:color="000000" w:sz="4" w:space="0"/>
                  </w:tcBorders>
                  <w:noWrap/>
                  <w:vAlign w:val="center"/>
                </w:tcPr>
                <w:p w14:paraId="53C0E5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排放形式</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12E84B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235000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4377F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90C1A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CF9FB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363E47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w:t>
                  </w:r>
                </w:p>
              </w:tc>
            </w:tr>
            <w:tr w14:paraId="20A4E21B">
              <w:tblPrEx>
                <w:tblCellMar>
                  <w:top w:w="0" w:type="dxa"/>
                  <w:left w:w="108" w:type="dxa"/>
                  <w:bottom w:w="0" w:type="dxa"/>
                  <w:right w:w="108" w:type="dxa"/>
                </w:tblCellMar>
              </w:tblPrEx>
              <w:trPr>
                <w:trHeight w:val="522"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017C03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治理设施</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0E85EF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529" w:type="pct"/>
                  <w:tcBorders>
                    <w:top w:val="single" w:color="000000" w:sz="4" w:space="0"/>
                    <w:left w:val="single" w:color="000000" w:sz="4" w:space="0"/>
                    <w:bottom w:val="single" w:color="000000" w:sz="4" w:space="0"/>
                    <w:right w:val="single" w:color="auto" w:sz="4" w:space="0"/>
                  </w:tcBorders>
                  <w:noWrap w:val="0"/>
                  <w:vAlign w:val="center"/>
                </w:tcPr>
                <w:p w14:paraId="1C5A81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74" w:type="pct"/>
                  <w:tcBorders>
                    <w:top w:val="single" w:color="000000" w:sz="4" w:space="0"/>
                    <w:left w:val="single" w:color="auto" w:sz="4" w:space="0"/>
                    <w:bottom w:val="single" w:color="000000" w:sz="4" w:space="0"/>
                    <w:right w:val="single" w:color="auto" w:sz="4" w:space="0"/>
                  </w:tcBorders>
                  <w:noWrap w:val="0"/>
                  <w:vAlign w:val="center"/>
                </w:tcPr>
                <w:p w14:paraId="4B1AEB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0" w:type="pct"/>
                  <w:tcBorders>
                    <w:top w:val="single" w:color="000000" w:sz="4" w:space="0"/>
                    <w:left w:val="single" w:color="auto" w:sz="4" w:space="0"/>
                    <w:bottom w:val="single" w:color="000000" w:sz="4" w:space="0"/>
                    <w:right w:val="single" w:color="000000" w:sz="4" w:space="0"/>
                  </w:tcBorders>
                  <w:noWrap w:val="0"/>
                  <w:vAlign w:val="center"/>
                </w:tcPr>
                <w:p w14:paraId="7BB813A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低氮燃烧设备</w:t>
                  </w:r>
                </w:p>
              </w:tc>
              <w:tc>
                <w:tcPr>
                  <w:tcW w:w="575" w:type="pct"/>
                  <w:tcBorders>
                    <w:top w:val="single" w:color="000000" w:sz="4" w:space="0"/>
                    <w:left w:val="single" w:color="auto" w:sz="4" w:space="0"/>
                    <w:bottom w:val="single" w:color="000000" w:sz="4" w:space="0"/>
                    <w:right w:val="single" w:color="000000" w:sz="4" w:space="0"/>
                  </w:tcBorders>
                  <w:noWrap w:val="0"/>
                  <w:vAlign w:val="center"/>
                </w:tcPr>
                <w:p w14:paraId="18D780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0" w:type="pct"/>
                  <w:tcBorders>
                    <w:top w:val="single" w:color="000000" w:sz="4" w:space="0"/>
                    <w:left w:val="single" w:color="auto" w:sz="4" w:space="0"/>
                    <w:bottom w:val="single" w:color="000000" w:sz="4" w:space="0"/>
                    <w:right w:val="single" w:color="000000" w:sz="4" w:space="0"/>
                  </w:tcBorders>
                  <w:noWrap w:val="0"/>
                  <w:vAlign w:val="center"/>
                </w:tcPr>
                <w:p w14:paraId="670406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5" w:type="pct"/>
                  <w:tcBorders>
                    <w:top w:val="single" w:color="000000" w:sz="4" w:space="0"/>
                    <w:left w:val="single" w:color="auto" w:sz="4" w:space="0"/>
                    <w:bottom w:val="single" w:color="000000" w:sz="4" w:space="0"/>
                    <w:right w:val="single" w:color="000000" w:sz="4" w:space="0"/>
                  </w:tcBorders>
                  <w:noWrap w:val="0"/>
                  <w:vAlign w:val="center"/>
                </w:tcPr>
                <w:p w14:paraId="1BEAA5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低氮燃烧设备</w:t>
                  </w:r>
                </w:p>
              </w:tc>
            </w:tr>
            <w:tr w14:paraId="5ED6D9A2">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CDA78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367023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处理能力m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w:t>
                  </w:r>
                </w:p>
              </w:tc>
              <w:tc>
                <w:tcPr>
                  <w:tcW w:w="529" w:type="pct"/>
                  <w:tcBorders>
                    <w:top w:val="single" w:color="000000" w:sz="4" w:space="0"/>
                    <w:left w:val="single" w:color="000000" w:sz="4" w:space="0"/>
                    <w:bottom w:val="single" w:color="000000" w:sz="4" w:space="0"/>
                    <w:right w:val="single" w:color="auto" w:sz="4" w:space="0"/>
                  </w:tcBorders>
                  <w:noWrap/>
                  <w:vAlign w:val="center"/>
                </w:tcPr>
                <w:p w14:paraId="45B5B3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74" w:type="pct"/>
                  <w:tcBorders>
                    <w:top w:val="single" w:color="000000" w:sz="4" w:space="0"/>
                    <w:left w:val="single" w:color="auto" w:sz="4" w:space="0"/>
                    <w:bottom w:val="single" w:color="000000" w:sz="4" w:space="0"/>
                    <w:right w:val="single" w:color="auto" w:sz="4" w:space="0"/>
                  </w:tcBorders>
                  <w:noWrap/>
                  <w:vAlign w:val="center"/>
                </w:tcPr>
                <w:p w14:paraId="3C0DD9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0" w:type="pct"/>
                  <w:tcBorders>
                    <w:top w:val="single" w:color="000000" w:sz="4" w:space="0"/>
                    <w:left w:val="single" w:color="auto" w:sz="4" w:space="0"/>
                    <w:bottom w:val="single" w:color="000000" w:sz="4" w:space="0"/>
                    <w:right w:val="single" w:color="000000" w:sz="4" w:space="0"/>
                  </w:tcBorders>
                  <w:noWrap/>
                  <w:vAlign w:val="center"/>
                </w:tcPr>
                <w:p w14:paraId="76B97F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75" w:type="pct"/>
                  <w:tcBorders>
                    <w:top w:val="single" w:color="000000" w:sz="4" w:space="0"/>
                    <w:left w:val="single" w:color="auto" w:sz="4" w:space="0"/>
                    <w:bottom w:val="single" w:color="000000" w:sz="4" w:space="0"/>
                    <w:right w:val="single" w:color="000000" w:sz="4" w:space="0"/>
                  </w:tcBorders>
                  <w:noWrap/>
                  <w:vAlign w:val="center"/>
                </w:tcPr>
                <w:p w14:paraId="78C939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0" w:type="pct"/>
                  <w:tcBorders>
                    <w:top w:val="single" w:color="000000" w:sz="4" w:space="0"/>
                    <w:left w:val="single" w:color="auto" w:sz="4" w:space="0"/>
                    <w:bottom w:val="single" w:color="000000" w:sz="4" w:space="0"/>
                    <w:right w:val="single" w:color="000000" w:sz="4" w:space="0"/>
                  </w:tcBorders>
                  <w:noWrap/>
                  <w:vAlign w:val="center"/>
                </w:tcPr>
                <w:p w14:paraId="7CD6B7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5" w:type="pct"/>
                  <w:tcBorders>
                    <w:top w:val="single" w:color="000000" w:sz="4" w:space="0"/>
                    <w:left w:val="single" w:color="auto" w:sz="4" w:space="0"/>
                    <w:bottom w:val="single" w:color="000000" w:sz="4" w:space="0"/>
                    <w:right w:val="single" w:color="000000" w:sz="4" w:space="0"/>
                  </w:tcBorders>
                  <w:noWrap/>
                  <w:vAlign w:val="center"/>
                </w:tcPr>
                <w:p w14:paraId="0AB3AA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61182A92">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F2B48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ign w:val="center"/>
                </w:tcPr>
                <w:p w14:paraId="26AB8C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收集效率</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66DC5E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532706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6D9B9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AFE88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1148DA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1B98F3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r>
            <w:tr w14:paraId="2D8BF09E">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E3382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138807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去除效率</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01BCC3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CA008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BD89B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2B6F51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A9BB5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2590E7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p>
              </w:tc>
            </w:tr>
            <w:tr w14:paraId="7212E5F2">
              <w:tblPrEx>
                <w:tblCellMar>
                  <w:top w:w="0" w:type="dxa"/>
                  <w:left w:w="108" w:type="dxa"/>
                  <w:bottom w:w="0" w:type="dxa"/>
                  <w:right w:w="108" w:type="dxa"/>
                </w:tblCellMar>
              </w:tblPrEx>
              <w:trPr>
                <w:trHeight w:val="31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7519D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ign w:val="center"/>
                </w:tcPr>
                <w:p w14:paraId="576E59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是否可行</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4B81D6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336B19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w:t>
                  </w:r>
                </w:p>
              </w:tc>
            </w:tr>
            <w:tr w14:paraId="185C3974">
              <w:tblPrEx>
                <w:tblCellMar>
                  <w:top w:w="0" w:type="dxa"/>
                  <w:left w:w="108" w:type="dxa"/>
                  <w:bottom w:w="0" w:type="dxa"/>
                  <w:right w:w="108" w:type="dxa"/>
                </w:tblCellMar>
              </w:tblPrEx>
              <w:trPr>
                <w:trHeight w:val="388"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0C1F47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排放浓度mg/m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6DD5A9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3</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F8E0F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0.195</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2B72AE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28.12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6E5D5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3</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15B65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0.195</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7922FD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28.12</w:t>
                  </w:r>
                </w:p>
              </w:tc>
            </w:tr>
            <w:tr w14:paraId="2E60E0A9">
              <w:tblPrEx>
                <w:tblCellMar>
                  <w:top w:w="0" w:type="dxa"/>
                  <w:left w:w="108" w:type="dxa"/>
                  <w:bottom w:w="0" w:type="dxa"/>
                  <w:right w:w="108" w:type="dxa"/>
                </w:tblCellMar>
              </w:tblPrEx>
              <w:trPr>
                <w:trHeight w:val="33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176F80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排放速率kg/h</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4013E2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105</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7CE3B4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2A9C7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225</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96DB4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default" w:ascii="Times New Roman" w:hAnsi="Times New Roman" w:eastAsia="宋体" w:cs="Times New Roman"/>
                      <w:color w:val="000000" w:themeColor="text1"/>
                      <w:szCs w:val="21"/>
                      <w:lang w:eastAsia="zh-Hans"/>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105</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61336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default" w:ascii="Times New Roman" w:hAnsi="Times New Roman" w:eastAsia="宋体" w:cs="Times New Roman"/>
                      <w:color w:val="000000" w:themeColor="text1"/>
                      <w:szCs w:val="21"/>
                      <w:lang w:val="en-US" w:eastAsia="zh-Hans"/>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0015</w:t>
                  </w:r>
                </w:p>
              </w:tc>
              <w:tc>
                <w:tcPr>
                  <w:tcW w:w="625" w:type="pct"/>
                  <w:tcBorders>
                    <w:top w:val="single" w:color="000000" w:sz="4" w:space="0"/>
                    <w:left w:val="single" w:color="000000" w:sz="4" w:space="0"/>
                    <w:bottom w:val="single" w:color="000000" w:sz="4" w:space="0"/>
                    <w:right w:val="single" w:color="000000" w:sz="4" w:space="0"/>
                  </w:tcBorders>
                  <w:noWrap/>
                  <w:vAlign w:val="center"/>
                </w:tcPr>
                <w:p w14:paraId="1A2379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225</w:t>
                  </w:r>
                </w:p>
              </w:tc>
            </w:tr>
            <w:tr w14:paraId="10FA8D74">
              <w:tblPrEx>
                <w:tblCellMar>
                  <w:top w:w="0" w:type="dxa"/>
                  <w:left w:w="108" w:type="dxa"/>
                  <w:bottom w:w="0" w:type="dxa"/>
                  <w:right w:w="108" w:type="dxa"/>
                </w:tblCellMar>
              </w:tblPrEx>
              <w:trPr>
                <w:trHeight w:val="30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2DFACE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排放量t/a</w:t>
                  </w:r>
                </w:p>
              </w:tc>
              <w:tc>
                <w:tcPr>
                  <w:tcW w:w="529" w:type="pct"/>
                  <w:tcBorders>
                    <w:top w:val="single" w:color="000000" w:sz="4" w:space="0"/>
                    <w:left w:val="single" w:color="000000" w:sz="4" w:space="0"/>
                    <w:bottom w:val="single" w:color="000000" w:sz="4" w:space="0"/>
                    <w:right w:val="single" w:color="000000" w:sz="4" w:space="0"/>
                  </w:tcBorders>
                  <w:noWrap/>
                  <w:vAlign w:val="center"/>
                </w:tcPr>
                <w:p w14:paraId="14B25B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0.70</w:t>
                  </w:r>
                </w:p>
              </w:tc>
              <w:tc>
                <w:tcPr>
                  <w:tcW w:w="574" w:type="pct"/>
                  <w:tcBorders>
                    <w:top w:val="single" w:color="000000" w:sz="4" w:space="0"/>
                    <w:left w:val="single" w:color="000000" w:sz="4" w:space="0"/>
                    <w:bottom w:val="single" w:color="000000" w:sz="4" w:space="0"/>
                    <w:right w:val="single" w:color="000000" w:sz="4" w:space="0"/>
                  </w:tcBorders>
                  <w:noWrap/>
                  <w:vAlign w:val="center"/>
                </w:tcPr>
                <w:p w14:paraId="059303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0.106</w:t>
                  </w:r>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FB8E1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15.162</w:t>
                  </w:r>
                </w:p>
              </w:tc>
              <w:tc>
                <w:tcPr>
                  <w:tcW w:w="934" w:type="dxa"/>
                  <w:tcBorders>
                    <w:top w:val="single" w:color="000000" w:sz="4" w:space="0"/>
                    <w:left w:val="single" w:color="000000" w:sz="4" w:space="0"/>
                    <w:bottom w:val="single" w:color="000000" w:sz="4" w:space="0"/>
                    <w:right w:val="single" w:color="000000" w:sz="4" w:space="0"/>
                  </w:tcBorders>
                  <w:noWrap/>
                  <w:vAlign w:val="center"/>
                </w:tcPr>
                <w:p w14:paraId="6CA582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0.350</w:t>
                  </w:r>
                </w:p>
              </w:tc>
              <w:tc>
                <w:tcPr>
                  <w:tcW w:w="1121" w:type="dxa"/>
                  <w:tcBorders>
                    <w:top w:val="single" w:color="000000" w:sz="4" w:space="0"/>
                    <w:left w:val="single" w:color="000000" w:sz="4" w:space="0"/>
                    <w:bottom w:val="single" w:color="000000" w:sz="4" w:space="0"/>
                    <w:right w:val="single" w:color="000000" w:sz="4" w:space="0"/>
                  </w:tcBorders>
                  <w:noWrap/>
                  <w:vAlign w:val="center"/>
                </w:tcPr>
                <w:p w14:paraId="7A5A79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0.053</w:t>
                  </w:r>
                </w:p>
              </w:tc>
              <w:tc>
                <w:tcPr>
                  <w:tcW w:w="1015" w:type="dxa"/>
                  <w:tcBorders>
                    <w:top w:val="single" w:color="000000" w:sz="4" w:space="0"/>
                    <w:left w:val="single" w:color="000000" w:sz="4" w:space="0"/>
                    <w:bottom w:val="single" w:color="000000" w:sz="4" w:space="0"/>
                    <w:right w:val="single" w:color="000000" w:sz="4" w:space="0"/>
                  </w:tcBorders>
                  <w:noWrap/>
                  <w:vAlign w:val="center"/>
                </w:tcPr>
                <w:p w14:paraId="6D5F7D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7.581</w:t>
                  </w:r>
                </w:p>
              </w:tc>
            </w:tr>
            <w:tr w14:paraId="38159253">
              <w:tblPrEx>
                <w:tblCellMar>
                  <w:top w:w="0" w:type="dxa"/>
                  <w:left w:w="108" w:type="dxa"/>
                  <w:bottom w:w="0" w:type="dxa"/>
                  <w:right w:w="108" w:type="dxa"/>
                </w:tblCellMar>
              </w:tblPrEx>
              <w:trPr>
                <w:trHeight w:val="334"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72D368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排放口基本情况</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6F7154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高度m</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3FAF4A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20.8</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BFE9D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w:t>
                  </w:r>
                  <w:r>
                    <w:rPr>
                      <w:rFonts w:hint="default" w:ascii="Times New Roman" w:hAnsi="Times New Roman" w:eastAsia="宋体" w:cs="Times New Roman"/>
                      <w:color w:val="000000" w:themeColor="text1"/>
                      <w:szCs w:val="21"/>
                      <w14:textFill>
                        <w14:solidFill>
                          <w14:schemeClr w14:val="tx1"/>
                        </w14:solidFill>
                      </w14:textFill>
                    </w:rPr>
                    <w:t>8</w:t>
                  </w:r>
                </w:p>
              </w:tc>
            </w:tr>
            <w:tr w14:paraId="5410F6BF">
              <w:tblPrEx>
                <w:tblCellMar>
                  <w:top w:w="0" w:type="dxa"/>
                  <w:left w:w="108" w:type="dxa"/>
                  <w:bottom w:w="0" w:type="dxa"/>
                  <w:right w:w="108" w:type="dxa"/>
                </w:tblCellMar>
              </w:tblPrEx>
              <w:trPr>
                <w:trHeight w:val="35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15C37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2312D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排气筒内径m</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6229CF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20C59D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r>
            <w:tr w14:paraId="49B297BA">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7515B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2DCB7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温度℃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FBF04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常温</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5AAAE2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常温</w:t>
                  </w:r>
                </w:p>
              </w:tc>
            </w:tr>
            <w:tr w14:paraId="20CD4211">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14448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753159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编号</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723E8F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6548A5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p>
              </w:tc>
            </w:tr>
            <w:tr w14:paraId="397B6E2D">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30D68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5C22C3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20C310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锅炉废气排气筒</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2D9D1C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锅炉废气排气筒</w:t>
                  </w:r>
                </w:p>
              </w:tc>
            </w:tr>
            <w:tr w14:paraId="5FDEED79">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525B0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2719B8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类型</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18D5B5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一般排放口</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40F5E2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一般排放口</w:t>
                  </w:r>
                </w:p>
              </w:tc>
            </w:tr>
            <w:tr w14:paraId="0ABAA6B4">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1D5AD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441" w:type="pct"/>
                  <w:vMerge w:val="restart"/>
                  <w:tcBorders>
                    <w:top w:val="single" w:color="000000" w:sz="4" w:space="0"/>
                    <w:left w:val="single" w:color="000000" w:sz="4" w:space="0"/>
                    <w:bottom w:val="single" w:color="000000" w:sz="4" w:space="0"/>
                    <w:right w:val="single" w:color="000000" w:sz="4" w:space="0"/>
                  </w:tcBorders>
                  <w:noWrap w:val="0"/>
                  <w:vAlign w:val="center"/>
                </w:tcPr>
                <w:p w14:paraId="22D13F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地理</w:t>
                  </w: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4601B7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经度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4B7652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107°19′3.228″</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10C759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107°19′4.42</w:t>
                  </w:r>
                  <w:r>
                    <w:rPr>
                      <w:rFonts w:hint="eastAsia" w:ascii="Times New Roman" w:hAnsi="Times New Roman" w:eastAsia="宋体"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w:t>
                  </w:r>
                </w:p>
              </w:tc>
            </w:tr>
            <w:tr w14:paraId="2276C38F">
              <w:tblPrEx>
                <w:tblCellMar>
                  <w:top w:w="0" w:type="dxa"/>
                  <w:left w:w="108" w:type="dxa"/>
                  <w:bottom w:w="0" w:type="dxa"/>
                  <w:right w:w="108" w:type="dxa"/>
                </w:tblCellMar>
              </w:tblPrEx>
              <w:trPr>
                <w:trHeight w:val="388"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9BF27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4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14703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509" w:type="pct"/>
                  <w:tcBorders>
                    <w:top w:val="single" w:color="000000" w:sz="4" w:space="0"/>
                    <w:left w:val="single" w:color="000000" w:sz="4" w:space="0"/>
                    <w:bottom w:val="single" w:color="000000" w:sz="4" w:space="0"/>
                    <w:right w:val="single" w:color="000000" w:sz="4" w:space="0"/>
                  </w:tcBorders>
                  <w:noWrap w:val="0"/>
                  <w:vAlign w:val="center"/>
                </w:tcPr>
                <w:p w14:paraId="0266F94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纬度</w:t>
                  </w:r>
                </w:p>
              </w:tc>
              <w:tc>
                <w:tcPr>
                  <w:tcW w:w="1724" w:type="pct"/>
                  <w:gridSpan w:val="3"/>
                  <w:tcBorders>
                    <w:top w:val="single" w:color="000000" w:sz="4" w:space="0"/>
                    <w:left w:val="single" w:color="000000" w:sz="4" w:space="0"/>
                    <w:bottom w:val="single" w:color="000000" w:sz="4" w:space="0"/>
                    <w:right w:val="single" w:color="000000" w:sz="4" w:space="0"/>
                  </w:tcBorders>
                  <w:noWrap w:val="0"/>
                  <w:vAlign w:val="center"/>
                </w:tcPr>
                <w:p w14:paraId="34EA6D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34°33′41.96</w:t>
                  </w:r>
                  <w:r>
                    <w:rPr>
                      <w:rFonts w:hint="eastAsia"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w:t>
                  </w:r>
                </w:p>
              </w:tc>
              <w:tc>
                <w:tcPr>
                  <w:tcW w:w="1890" w:type="pct"/>
                  <w:gridSpan w:val="3"/>
                  <w:tcBorders>
                    <w:top w:val="single" w:color="000000" w:sz="4" w:space="0"/>
                    <w:left w:val="single" w:color="000000" w:sz="4" w:space="0"/>
                    <w:bottom w:val="single" w:color="000000" w:sz="4" w:space="0"/>
                    <w:right w:val="single" w:color="000000" w:sz="4" w:space="0"/>
                  </w:tcBorders>
                  <w:noWrap w:val="0"/>
                  <w:vAlign w:val="center"/>
                </w:tcPr>
                <w:p w14:paraId="6A1997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34°33′41.73</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w:t>
                  </w:r>
                </w:p>
              </w:tc>
            </w:tr>
            <w:tr w14:paraId="44C71782">
              <w:tblPrEx>
                <w:tblCellMar>
                  <w:top w:w="0" w:type="dxa"/>
                  <w:left w:w="108" w:type="dxa"/>
                  <w:bottom w:w="0" w:type="dxa"/>
                  <w:right w:w="108" w:type="dxa"/>
                </w:tblCellMar>
              </w:tblPrEx>
              <w:trPr>
                <w:trHeight w:val="770" w:hRule="atLeast"/>
              </w:trPr>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14:paraId="7504A5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排放标准</w:t>
                  </w: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79FE58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标准名称</w:t>
                  </w:r>
                </w:p>
              </w:tc>
              <w:tc>
                <w:tcPr>
                  <w:tcW w:w="3615" w:type="pct"/>
                  <w:gridSpan w:val="6"/>
                  <w:tcBorders>
                    <w:top w:val="single" w:color="000000" w:sz="4" w:space="0"/>
                    <w:left w:val="single" w:color="000000" w:sz="4" w:space="0"/>
                    <w:bottom w:val="single" w:color="000000" w:sz="4" w:space="0"/>
                    <w:right w:val="single" w:color="000000" w:sz="4" w:space="0"/>
                  </w:tcBorders>
                  <w:noWrap w:val="0"/>
                  <w:vAlign w:val="center"/>
                </w:tcPr>
                <w:p w14:paraId="1079A8E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b w:val="0"/>
                      <w:bCs w:val="0"/>
                      <w:color w:val="000000" w:themeColor="text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颗粒物、二氧化硫执行</w:t>
                  </w:r>
                  <w:r>
                    <w:rPr>
                      <w:rFonts w:hint="default" w:ascii="Times New Roman" w:hAnsi="Times New Roman" w:eastAsia="宋体" w:cs="Times New Roman"/>
                      <w:b w:val="0"/>
                      <w:bCs w:val="0"/>
                      <w:color w:val="000000" w:themeColor="text1"/>
                      <w:szCs w:val="21"/>
                      <w14:textFill>
                        <w14:solidFill>
                          <w14:schemeClr w14:val="tx1"/>
                        </w14:solidFill>
                      </w14:textFill>
                    </w:rPr>
                    <w:t>《锅炉大气污染物排放标准》（DB61/1226-2018）中表3标准</w:t>
                  </w:r>
                  <w:r>
                    <w:rPr>
                      <w:rFonts w:hint="default" w:ascii="Times New Roman" w:hAnsi="Times New Roman" w:eastAsia="宋体" w:cs="Times New Roman"/>
                      <w:b w:val="0"/>
                      <w:bCs w:val="0"/>
                      <w:color w:val="000000" w:themeColor="text1"/>
                      <w:szCs w:val="21"/>
                      <w:lang w:eastAsia="zh-CN"/>
                      <w14:textFill>
                        <w14:solidFill>
                          <w14:schemeClr w14:val="tx1"/>
                        </w14:solidFill>
                      </w14:textFill>
                    </w:rPr>
                    <w:t>；</w:t>
                  </w:r>
                </w:p>
                <w:p w14:paraId="3CFE503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氮氧化物执行《宝鸡市锅炉大气污染专项整治行动方案》（宝气专办发</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2023</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7号）</w:t>
                  </w:r>
                  <w:r>
                    <w:rPr>
                      <w:rFonts w:hint="default" w:ascii="Times New Roman" w:hAnsi="Times New Roman" w:eastAsia="宋体" w:cs="Times New Roman"/>
                      <w:b w:val="0"/>
                      <w:bCs w:val="0"/>
                      <w:color w:val="000000" w:themeColor="text1"/>
                      <w:kern w:val="0"/>
                      <w:szCs w:val="21"/>
                      <w:lang w:val="en-US" w:eastAsia="zh-CN"/>
                      <w14:textFill>
                        <w14:solidFill>
                          <w14:schemeClr w14:val="tx1"/>
                        </w14:solidFill>
                      </w14:textFill>
                    </w:rPr>
                    <w:t>浓度要求</w:t>
                  </w:r>
                  <w:r>
                    <w:rPr>
                      <w:rFonts w:hint="eastAsia" w:ascii="Times New Roman" w:hAnsi="Times New Roman" w:eastAsia="宋体" w:cs="Times New Roman"/>
                      <w:b w:val="0"/>
                      <w:bCs w:val="0"/>
                      <w:color w:val="000000" w:themeColor="text1"/>
                      <w:kern w:val="0"/>
                      <w:szCs w:val="21"/>
                      <w:lang w:val="en-US" w:eastAsia="zh-CN"/>
                      <w14:textFill>
                        <w14:solidFill>
                          <w14:schemeClr w14:val="tx1"/>
                        </w14:solidFill>
                      </w14:textFill>
                    </w:rPr>
                    <w:t>。</w:t>
                  </w:r>
                </w:p>
              </w:tc>
            </w:tr>
            <w:tr w14:paraId="6A29D46E">
              <w:tblPrEx>
                <w:tblCellMar>
                  <w:top w:w="0" w:type="dxa"/>
                  <w:left w:w="108" w:type="dxa"/>
                  <w:bottom w:w="0" w:type="dxa"/>
                  <w:right w:w="108" w:type="dxa"/>
                </w:tblCellMar>
              </w:tblPrEx>
              <w:trPr>
                <w:trHeight w:val="48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8246F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319B79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浓度限值mg/m³</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7C4796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196A85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6D186D5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14:paraId="11DB2B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14:paraId="1D1CBC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625" w:type="pct"/>
                  <w:tcBorders>
                    <w:top w:val="single" w:color="000000" w:sz="4" w:space="0"/>
                    <w:left w:val="single" w:color="000000" w:sz="4" w:space="0"/>
                    <w:bottom w:val="single" w:color="000000" w:sz="4" w:space="0"/>
                    <w:right w:val="single" w:color="000000" w:sz="4" w:space="0"/>
                  </w:tcBorders>
                  <w:noWrap w:val="0"/>
                  <w:vAlign w:val="center"/>
                </w:tcPr>
                <w:p w14:paraId="584B00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30</w:t>
                  </w:r>
                </w:p>
              </w:tc>
            </w:tr>
            <w:tr w14:paraId="2C1D5E63">
              <w:tblPrEx>
                <w:tblCellMar>
                  <w:top w:w="0" w:type="dxa"/>
                  <w:left w:w="108" w:type="dxa"/>
                  <w:bottom w:w="0" w:type="dxa"/>
                  <w:right w:w="108" w:type="dxa"/>
                </w:tblCellMar>
              </w:tblPrEx>
              <w:trPr>
                <w:trHeight w:val="359" w:hRule="atLeast"/>
              </w:trPr>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69F69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14:textFill>
                        <w14:solidFill>
                          <w14:schemeClr w14:val="tx1"/>
                        </w14:solidFill>
                      </w14:textFill>
                    </w:rPr>
                  </w:pPr>
                </w:p>
              </w:tc>
              <w:tc>
                <w:tcPr>
                  <w:tcW w:w="950" w:type="pct"/>
                  <w:gridSpan w:val="2"/>
                  <w:tcBorders>
                    <w:top w:val="single" w:color="000000" w:sz="4" w:space="0"/>
                    <w:left w:val="single" w:color="000000" w:sz="4" w:space="0"/>
                    <w:bottom w:val="single" w:color="000000" w:sz="4" w:space="0"/>
                    <w:right w:val="single" w:color="000000" w:sz="4" w:space="0"/>
                  </w:tcBorders>
                  <w:noWrap w:val="0"/>
                  <w:vAlign w:val="center"/>
                </w:tcPr>
                <w:p w14:paraId="04132F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速率限制kg/h</w:t>
                  </w:r>
                </w:p>
              </w:tc>
              <w:tc>
                <w:tcPr>
                  <w:tcW w:w="529" w:type="pct"/>
                  <w:tcBorders>
                    <w:top w:val="single" w:color="000000" w:sz="4" w:space="0"/>
                    <w:left w:val="single" w:color="000000" w:sz="4" w:space="0"/>
                    <w:bottom w:val="single" w:color="000000" w:sz="4" w:space="0"/>
                    <w:right w:val="single" w:color="000000" w:sz="4" w:space="0"/>
                  </w:tcBorders>
                  <w:noWrap w:val="0"/>
                  <w:vAlign w:val="center"/>
                </w:tcPr>
                <w:p w14:paraId="59D463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440D39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0" w:type="pct"/>
                  <w:tcBorders>
                    <w:top w:val="single" w:color="000000" w:sz="4" w:space="0"/>
                    <w:left w:val="single" w:color="000000" w:sz="4" w:space="0"/>
                    <w:bottom w:val="single" w:color="000000" w:sz="4" w:space="0"/>
                    <w:right w:val="single" w:color="000000" w:sz="4" w:space="0"/>
                  </w:tcBorders>
                  <w:noWrap w:val="0"/>
                  <w:vAlign w:val="center"/>
                </w:tcPr>
                <w:p w14:paraId="7261E8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14:paraId="1FCAC8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90" w:type="pct"/>
                  <w:tcBorders>
                    <w:top w:val="single" w:color="000000" w:sz="4" w:space="0"/>
                    <w:left w:val="single" w:color="000000" w:sz="4" w:space="0"/>
                    <w:bottom w:val="single" w:color="000000" w:sz="4" w:space="0"/>
                    <w:right w:val="single" w:color="000000" w:sz="4" w:space="0"/>
                  </w:tcBorders>
                  <w:noWrap w:val="0"/>
                  <w:vAlign w:val="center"/>
                </w:tcPr>
                <w:p w14:paraId="07BEF3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625" w:type="pct"/>
                  <w:tcBorders>
                    <w:top w:val="single" w:color="000000" w:sz="4" w:space="0"/>
                    <w:left w:val="single" w:color="000000" w:sz="4" w:space="0"/>
                    <w:bottom w:val="single" w:color="000000" w:sz="4" w:space="0"/>
                    <w:right w:val="single" w:color="000000" w:sz="4" w:space="0"/>
                  </w:tcBorders>
                  <w:noWrap w:val="0"/>
                  <w:vAlign w:val="center"/>
                </w:tcPr>
                <w:p w14:paraId="7AEE6B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74248B1A">
              <w:tblPrEx>
                <w:tblCellMar>
                  <w:top w:w="0" w:type="dxa"/>
                  <w:left w:w="108" w:type="dxa"/>
                  <w:bottom w:w="0" w:type="dxa"/>
                  <w:right w:w="108" w:type="dxa"/>
                </w:tblCellMar>
              </w:tblPrEx>
              <w:trPr>
                <w:trHeight w:val="414" w:hRule="atLeast"/>
              </w:trPr>
              <w:tc>
                <w:tcPr>
                  <w:tcW w:w="1384" w:type="pct"/>
                  <w:gridSpan w:val="3"/>
                  <w:tcBorders>
                    <w:top w:val="single" w:color="000000" w:sz="4" w:space="0"/>
                    <w:left w:val="single" w:color="000000" w:sz="4" w:space="0"/>
                    <w:bottom w:val="single" w:color="000000" w:sz="4" w:space="0"/>
                    <w:right w:val="single" w:color="000000" w:sz="4" w:space="0"/>
                  </w:tcBorders>
                  <w:noWrap w:val="0"/>
                  <w:vAlign w:val="center"/>
                </w:tcPr>
                <w:p w14:paraId="29FFC7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是否达标</w:t>
                  </w:r>
                </w:p>
              </w:tc>
              <w:tc>
                <w:tcPr>
                  <w:tcW w:w="1724" w:type="pct"/>
                  <w:gridSpan w:val="3"/>
                  <w:tcBorders>
                    <w:top w:val="single" w:color="000000" w:sz="4" w:space="0"/>
                    <w:left w:val="single" w:color="000000" w:sz="4" w:space="0"/>
                    <w:bottom w:val="single" w:color="000000" w:sz="4" w:space="0"/>
                    <w:right w:val="single" w:color="000000" w:sz="4" w:space="0"/>
                  </w:tcBorders>
                  <w:noWrap/>
                  <w:vAlign w:val="center"/>
                </w:tcPr>
                <w:p w14:paraId="6CFE22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w:t>
                  </w:r>
                </w:p>
              </w:tc>
              <w:tc>
                <w:tcPr>
                  <w:tcW w:w="1890" w:type="pct"/>
                  <w:gridSpan w:val="3"/>
                  <w:tcBorders>
                    <w:top w:val="single" w:color="000000" w:sz="4" w:space="0"/>
                    <w:left w:val="single" w:color="000000" w:sz="4" w:space="0"/>
                    <w:bottom w:val="single" w:color="000000" w:sz="4" w:space="0"/>
                    <w:right w:val="single" w:color="000000" w:sz="4" w:space="0"/>
                  </w:tcBorders>
                  <w:noWrap/>
                  <w:vAlign w:val="center"/>
                </w:tcPr>
                <w:p w14:paraId="17A81D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w:t>
                  </w:r>
                </w:p>
              </w:tc>
            </w:tr>
          </w:tbl>
          <w:p w14:paraId="29DC94CC">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⑵废气污染物源强核算过程</w:t>
            </w:r>
          </w:p>
          <w:p w14:paraId="33E4E74A">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项目锅炉废气为天然气燃烧产生的废气，天然气属清洁能源，主要污染物为天然气燃烧产生的颗粒物、SO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及NO</w:t>
            </w:r>
            <w:r>
              <w:rPr>
                <w:rFonts w:hint="default" w:ascii="Times New Roman" w:hAnsi="Times New Roman" w:cs="Times New Roman"/>
                <w:color w:val="000000" w:themeColor="text1"/>
                <w:sz w:val="24"/>
                <w:szCs w:val="24"/>
                <w:vertAlign w:val="subscript"/>
                <w14:textFill>
                  <w14:solidFill>
                    <w14:schemeClr w14:val="tx1"/>
                  </w14:solidFill>
                </w14:textFill>
              </w:rPr>
              <w:t>X</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台天然气锅炉</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6用1备）</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t/h锅炉，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台锅炉各配套1台意大利进口低氮燃烧器（属于国际领先设备，降低氮氧化物排放），为西凤酒10万吨优质基酒产业园和西凤酒现有厂区供应蒸汽。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每台</w:t>
            </w:r>
            <w:r>
              <w:rPr>
                <w:rFonts w:hint="default" w:ascii="Times New Roman" w:hAnsi="Times New Roman" w:eastAsia="宋体" w:cs="Times New Roman"/>
                <w:color w:val="000000" w:themeColor="text1"/>
                <w:sz w:val="24"/>
                <w:szCs w:val="24"/>
                <w14:textFill>
                  <w14:solidFill>
                    <w14:schemeClr w14:val="tx1"/>
                  </w14:solidFill>
                </w14:textFill>
              </w:rPr>
              <w:t>锅炉年工作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24h/d，</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消耗</w:t>
            </w:r>
            <w:r>
              <w:rPr>
                <w:rFonts w:hint="default" w:ascii="Times New Roman" w:hAnsi="Times New Roman" w:eastAsia="宋体" w:cs="Times New Roman"/>
                <w:color w:val="000000" w:themeColor="text1"/>
                <w:sz w:val="24"/>
                <w:szCs w:val="24"/>
                <w14:textFill>
                  <w14:solidFill>
                    <w14:schemeClr w14:val="tx1"/>
                  </w14:solidFill>
                </w14:textFill>
              </w:rPr>
              <w:t>天然气量为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2502</w:t>
            </w:r>
            <w:r>
              <w:rPr>
                <w:rFonts w:hint="default" w:ascii="Times New Roman" w:hAnsi="Times New Roman" w:eastAsia="宋体" w:cs="Times New Roman"/>
                <w:color w:val="000000" w:themeColor="text1"/>
                <w:sz w:val="24"/>
                <w:szCs w:val="24"/>
                <w:lang w:val="en-US" w:eastAsia="zh-Hans"/>
                <w14:textFill>
                  <w14:solidFill>
                    <w14:schemeClr w14:val="tx1"/>
                  </w14:solidFill>
                </w14:textFill>
              </w:rPr>
              <w:t>万</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p>
          <w:p w14:paraId="49D659D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锅炉废气污染因子SO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及氮氧化物源强计算采用系数法，参照《排放源统计调查产排污核算方法和系数手册》中“4430工业锅炉（热力供应）行业系数手册”可知，燃气工业锅炉天然气燃烧工业废气量产污系数为107753标立方米/万立方米－原料，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产污系数</w:t>
            </w:r>
            <w:r>
              <w:rPr>
                <w:rFonts w:hint="eastAsia" w:ascii="Times New Roman" w:hAnsi="Times New Roman"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14:textFill>
                  <w14:solidFill>
                    <w14:schemeClr w14:val="tx1"/>
                  </w14:solidFill>
                </w14:textFill>
              </w:rPr>
              <w:t>0.02Skg/万m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－原料（依据质检报告H</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S1.12 mg/m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，依据理论折算S=1.05），氮氧化物产污系数3.03kg/万m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－原料（低氮燃烧－国际领先）。</w:t>
            </w:r>
            <w:r>
              <w:rPr>
                <w:rFonts w:hint="default" w:ascii="Times New Roman" w:hAnsi="Times New Roman" w:cs="Times New Roman"/>
                <w:color w:val="000000" w:themeColor="text1"/>
                <w:kern w:val="0"/>
                <w:sz w:val="24"/>
                <w:lang w:bidi="ar"/>
                <w14:textFill>
                  <w14:solidFill>
                    <w14:schemeClr w14:val="tx1"/>
                  </w14:solidFill>
                </w14:textFill>
              </w:rPr>
              <w:t>烟尘的产生量参照《社会区域类环境影响评价》表4-12中油、气燃料的污染物</w:t>
            </w:r>
            <w:r>
              <w:rPr>
                <w:rFonts w:hint="eastAsia" w:ascii="Times New Roman" w:hAnsi="Times New Roman" w:cs="Times New Roman"/>
                <w:color w:val="000000" w:themeColor="text1"/>
                <w:kern w:val="0"/>
                <w:sz w:val="24"/>
                <w:lang w:eastAsia="zh-CN" w:bidi="ar"/>
                <w14:textFill>
                  <w14:solidFill>
                    <w14:schemeClr w14:val="tx1"/>
                  </w14:solidFill>
                </w14:textFill>
              </w:rPr>
              <w:t>排放</w:t>
            </w:r>
            <w:r>
              <w:rPr>
                <w:rFonts w:hint="default" w:ascii="Times New Roman" w:hAnsi="Times New Roman" w:cs="Times New Roman"/>
                <w:color w:val="000000" w:themeColor="text1"/>
                <w:kern w:val="0"/>
                <w:sz w:val="24"/>
                <w:lang w:bidi="ar"/>
                <w14:textFill>
                  <w14:solidFill>
                    <w14:schemeClr w14:val="tx1"/>
                  </w14:solidFill>
                </w14:textFill>
              </w:rPr>
              <w:t>系数（0.14kg烟尘/万m</w:t>
            </w:r>
            <w:r>
              <w:rPr>
                <w:rFonts w:hint="default" w:ascii="Times New Roman" w:hAnsi="Times New Roman" w:cs="Times New Roman"/>
                <w:color w:val="000000" w:themeColor="text1"/>
                <w:kern w:val="0"/>
                <w:sz w:val="24"/>
                <w:vertAlign w:val="superscript"/>
                <w:lang w:bidi="ar"/>
                <w14:textFill>
                  <w14:solidFill>
                    <w14:schemeClr w14:val="tx1"/>
                  </w14:solidFill>
                </w14:textFill>
              </w:rPr>
              <w:t>3</w:t>
            </w:r>
            <w:r>
              <w:rPr>
                <w:rFonts w:hint="default" w:ascii="Times New Roman" w:hAnsi="Times New Roman" w:cs="Times New Roman"/>
                <w:color w:val="000000" w:themeColor="text1"/>
                <w:kern w:val="0"/>
                <w:sz w:val="24"/>
                <w:lang w:bidi="ar"/>
                <w14:textFill>
                  <w14:solidFill>
                    <w14:schemeClr w14:val="tx1"/>
                  </w14:solidFill>
                </w14:textFill>
              </w:rPr>
              <w:t>天然气）</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产污系数见下表4-</w:t>
            </w:r>
            <w:r>
              <w:rPr>
                <w:rFonts w:hint="eastAsia" w:ascii="Times New Roman" w:hAnsi="Times New Roman" w:cs="Times New Roman"/>
                <w:color w:val="000000" w:themeColor="text1"/>
                <w:kern w:val="0"/>
                <w:sz w:val="24"/>
                <w:lang w:val="en-US" w:eastAsia="zh-CN" w:bidi="ar"/>
                <w14:textFill>
                  <w14:solidFill>
                    <w14:schemeClr w14:val="tx1"/>
                  </w14:solidFill>
                </w14:textFill>
              </w:rPr>
              <w:t>4</w:t>
            </w:r>
            <w:r>
              <w:rPr>
                <w:rFonts w:hint="default" w:ascii="Times New Roman" w:hAnsi="Times New Roman" w:cs="Times New Roman"/>
                <w:color w:val="000000" w:themeColor="text1"/>
                <w:kern w:val="0"/>
                <w:sz w:val="24"/>
                <w:lang w:bidi="ar"/>
                <w14:textFill>
                  <w14:solidFill>
                    <w14:schemeClr w14:val="tx1"/>
                  </w14:solidFill>
                </w14:textFill>
              </w:rPr>
              <w:t>。</w:t>
            </w:r>
          </w:p>
          <w:p w14:paraId="2641BB25">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表4-</w:t>
            </w:r>
            <w:r>
              <w:rPr>
                <w:rFonts w:hint="eastAsia" w:ascii="Times New Roman" w:hAnsi="Times New Roman" w:cs="Times New Roman"/>
                <w:b w:val="0"/>
                <w:bCs w:val="0"/>
                <w:color w:val="000000" w:themeColor="text1"/>
                <w:lang w:val="en-US" w:eastAsia="zh-CN"/>
                <w14:textFill>
                  <w14:solidFill>
                    <w14:schemeClr w14:val="tx1"/>
                  </w14:solidFill>
                </w14:textFill>
              </w:rPr>
              <w:t>4</w:t>
            </w:r>
            <w:r>
              <w:rPr>
                <w:rFonts w:hint="default" w:ascii="Times New Roman" w:hAnsi="Times New Roman" w:cs="Times New Roman"/>
                <w:b w:val="0"/>
                <w:bCs w:val="0"/>
                <w:color w:val="000000" w:themeColor="text1"/>
                <w14:textFill>
                  <w14:solidFill>
                    <w14:schemeClr w14:val="tx1"/>
                  </w14:solidFill>
                </w14:textFill>
              </w:rPr>
              <w:t xml:space="preserve">  燃气工业锅炉废气产污系数</w:t>
            </w:r>
            <w:r>
              <w:rPr>
                <w:rFonts w:hint="eastAsia" w:ascii="Times New Roman" w:hAnsi="Times New Roman" w:cs="Times New Roman"/>
                <w:b w:val="0"/>
                <w:bCs w:val="0"/>
                <w:color w:val="000000" w:themeColor="text1"/>
                <w:lang w:val="en-US" w:eastAsia="zh-CN"/>
                <w14:textFill>
                  <w14:solidFill>
                    <w14:schemeClr w14:val="tx1"/>
                  </w14:solidFill>
                </w14:textFill>
              </w:rPr>
              <w:t>一</w:t>
            </w:r>
            <w:r>
              <w:rPr>
                <w:rFonts w:hint="default" w:ascii="Times New Roman" w:hAnsi="Times New Roman" w:cs="Times New Roman"/>
                <w:b w:val="0"/>
                <w:bCs w:val="0"/>
                <w:color w:val="000000" w:themeColor="text1"/>
                <w14:textFill>
                  <w14:solidFill>
                    <w14:schemeClr w14:val="tx1"/>
                  </w14:solidFill>
                </w14:textFill>
              </w:rPr>
              <w:t>览表</w:t>
            </w:r>
          </w:p>
          <w:tbl>
            <w:tblPr>
              <w:tblStyle w:val="23"/>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083"/>
              <w:gridCol w:w="1148"/>
              <w:gridCol w:w="1428"/>
              <w:gridCol w:w="1613"/>
              <w:gridCol w:w="1659"/>
            </w:tblGrid>
            <w:tr w14:paraId="398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126" w:type="dxa"/>
                  <w:noWrap w:val="0"/>
                  <w:vAlign w:val="center"/>
                </w:tcPr>
                <w:p w14:paraId="2F984056">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产品名称</w:t>
                  </w:r>
                </w:p>
              </w:tc>
              <w:tc>
                <w:tcPr>
                  <w:tcW w:w="1083" w:type="dxa"/>
                  <w:noWrap w:val="0"/>
                  <w:vAlign w:val="center"/>
                </w:tcPr>
                <w:p w14:paraId="63D540A9">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燃料名称</w:t>
                  </w:r>
                </w:p>
              </w:tc>
              <w:tc>
                <w:tcPr>
                  <w:tcW w:w="1148" w:type="dxa"/>
                  <w:noWrap w:val="0"/>
                  <w:vAlign w:val="center"/>
                </w:tcPr>
                <w:p w14:paraId="24690AA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工艺名称</w:t>
                  </w:r>
                </w:p>
              </w:tc>
              <w:tc>
                <w:tcPr>
                  <w:tcW w:w="1428" w:type="dxa"/>
                  <w:noWrap w:val="0"/>
                  <w:vAlign w:val="center"/>
                </w:tcPr>
                <w:p w14:paraId="0A8F0AE4">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污染物指标</w:t>
                  </w:r>
                </w:p>
              </w:tc>
              <w:tc>
                <w:tcPr>
                  <w:tcW w:w="1613" w:type="dxa"/>
                  <w:noWrap w:val="0"/>
                  <w:vAlign w:val="center"/>
                </w:tcPr>
                <w:p w14:paraId="52C85EAB">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单位</w:t>
                  </w:r>
                </w:p>
              </w:tc>
              <w:tc>
                <w:tcPr>
                  <w:tcW w:w="1659" w:type="dxa"/>
                  <w:noWrap w:val="0"/>
                  <w:vAlign w:val="center"/>
                </w:tcPr>
                <w:p w14:paraId="432863D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产污系数</w:t>
                  </w:r>
                </w:p>
              </w:tc>
            </w:tr>
            <w:tr w14:paraId="0DDB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6" w:type="dxa"/>
                  <w:vMerge w:val="restart"/>
                  <w:noWrap w:val="0"/>
                  <w:vAlign w:val="center"/>
                </w:tcPr>
                <w:p w14:paraId="2D19E2EB">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蒸汽/热水/其他</w:t>
                  </w:r>
                </w:p>
              </w:tc>
              <w:tc>
                <w:tcPr>
                  <w:tcW w:w="1083" w:type="dxa"/>
                  <w:vMerge w:val="restart"/>
                  <w:noWrap w:val="0"/>
                  <w:vAlign w:val="center"/>
                </w:tcPr>
                <w:p w14:paraId="5A112F5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天然气</w:t>
                  </w:r>
                </w:p>
              </w:tc>
              <w:tc>
                <w:tcPr>
                  <w:tcW w:w="1148" w:type="dxa"/>
                  <w:vMerge w:val="restart"/>
                  <w:noWrap w:val="0"/>
                  <w:vAlign w:val="center"/>
                </w:tcPr>
                <w:p w14:paraId="69269DAD">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室燃炉</w:t>
                  </w:r>
                </w:p>
              </w:tc>
              <w:tc>
                <w:tcPr>
                  <w:tcW w:w="1428" w:type="dxa"/>
                  <w:noWrap w:val="0"/>
                  <w:vAlign w:val="center"/>
                </w:tcPr>
                <w:p w14:paraId="639EE2D6">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烟气量</w:t>
                  </w:r>
                </w:p>
              </w:tc>
              <w:tc>
                <w:tcPr>
                  <w:tcW w:w="1613" w:type="dxa"/>
                  <w:noWrap w:val="0"/>
                  <w:vAlign w:val="center"/>
                </w:tcPr>
                <w:p w14:paraId="67D81BAC">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Nm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/万m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-燃料</w:t>
                  </w:r>
                </w:p>
              </w:tc>
              <w:tc>
                <w:tcPr>
                  <w:tcW w:w="1659" w:type="dxa"/>
                  <w:noWrap w:val="0"/>
                  <w:vAlign w:val="center"/>
                </w:tcPr>
                <w:p w14:paraId="390BB71C">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107753</w:t>
                  </w:r>
                </w:p>
              </w:tc>
            </w:tr>
            <w:tr w14:paraId="6CB9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6" w:type="dxa"/>
                  <w:vMerge w:val="continue"/>
                  <w:noWrap w:val="0"/>
                  <w:vAlign w:val="center"/>
                </w:tcPr>
                <w:p w14:paraId="27F946C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083" w:type="dxa"/>
                  <w:vMerge w:val="continue"/>
                  <w:noWrap w:val="0"/>
                  <w:vAlign w:val="center"/>
                </w:tcPr>
                <w:p w14:paraId="29B31F90">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148" w:type="dxa"/>
                  <w:vMerge w:val="continue"/>
                  <w:noWrap w:val="0"/>
                  <w:vAlign w:val="center"/>
                </w:tcPr>
                <w:p w14:paraId="08BB3031">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428" w:type="dxa"/>
                  <w:noWrap w:val="0"/>
                  <w:vAlign w:val="center"/>
                </w:tcPr>
                <w:p w14:paraId="52E17B21">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颗粒物</w:t>
                  </w:r>
                </w:p>
              </w:tc>
              <w:tc>
                <w:tcPr>
                  <w:tcW w:w="1613" w:type="dxa"/>
                  <w:noWrap w:val="0"/>
                  <w:vAlign w:val="center"/>
                </w:tcPr>
                <w:p w14:paraId="01C65557">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kg/万m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-燃料</w:t>
                  </w:r>
                </w:p>
              </w:tc>
              <w:tc>
                <w:tcPr>
                  <w:tcW w:w="1659" w:type="dxa"/>
                  <w:noWrap w:val="0"/>
                  <w:vAlign w:val="center"/>
                </w:tcPr>
                <w:p w14:paraId="17EB7097">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0.14</w:t>
                  </w:r>
                </w:p>
              </w:tc>
            </w:tr>
            <w:tr w14:paraId="6213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6" w:type="dxa"/>
                  <w:vMerge w:val="continue"/>
                  <w:noWrap w:val="0"/>
                  <w:vAlign w:val="center"/>
                </w:tcPr>
                <w:p w14:paraId="45085B5D">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083" w:type="dxa"/>
                  <w:vMerge w:val="continue"/>
                  <w:noWrap w:val="0"/>
                  <w:vAlign w:val="center"/>
                </w:tcPr>
                <w:p w14:paraId="442C27C6">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148" w:type="dxa"/>
                  <w:vMerge w:val="continue"/>
                  <w:noWrap w:val="0"/>
                  <w:vAlign w:val="center"/>
                </w:tcPr>
                <w:p w14:paraId="432A8EEE">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428" w:type="dxa"/>
                  <w:noWrap w:val="0"/>
                  <w:vAlign w:val="center"/>
                </w:tcPr>
                <w:p w14:paraId="7674C05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SO</w:t>
                  </w:r>
                  <w:r>
                    <w:rPr>
                      <w:rFonts w:hint="default" w:ascii="Times New Roman" w:hAnsi="Times New Roman" w:cs="Times New Roman"/>
                      <w:b w:val="0"/>
                      <w:bCs w:val="0"/>
                      <w:color w:val="000000" w:themeColor="text1"/>
                      <w:vertAlign w:val="subscript"/>
                      <w14:textFill>
                        <w14:solidFill>
                          <w14:schemeClr w14:val="tx1"/>
                        </w14:solidFill>
                      </w14:textFill>
                    </w:rPr>
                    <w:t>2</w:t>
                  </w:r>
                </w:p>
              </w:tc>
              <w:tc>
                <w:tcPr>
                  <w:tcW w:w="1613" w:type="dxa"/>
                  <w:noWrap w:val="0"/>
                  <w:vAlign w:val="center"/>
                </w:tcPr>
                <w:p w14:paraId="49964EA1">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kg/万m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-燃料</w:t>
                  </w:r>
                </w:p>
              </w:tc>
              <w:tc>
                <w:tcPr>
                  <w:tcW w:w="1659" w:type="dxa"/>
                  <w:noWrap w:val="0"/>
                  <w:vAlign w:val="center"/>
                </w:tcPr>
                <w:p w14:paraId="42C9C39C">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0.02S</w:t>
                  </w:r>
                </w:p>
              </w:tc>
            </w:tr>
            <w:tr w14:paraId="59FE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6" w:type="dxa"/>
                  <w:vMerge w:val="continue"/>
                  <w:noWrap w:val="0"/>
                  <w:vAlign w:val="center"/>
                </w:tcPr>
                <w:p w14:paraId="074A9789">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083" w:type="dxa"/>
                  <w:vMerge w:val="continue"/>
                  <w:noWrap w:val="0"/>
                  <w:vAlign w:val="center"/>
                </w:tcPr>
                <w:p w14:paraId="4EC401F5">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148" w:type="dxa"/>
                  <w:vMerge w:val="continue"/>
                  <w:noWrap w:val="0"/>
                  <w:vAlign w:val="center"/>
                </w:tcPr>
                <w:p w14:paraId="1B7FD7B6">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p>
              </w:tc>
              <w:tc>
                <w:tcPr>
                  <w:tcW w:w="1428" w:type="dxa"/>
                  <w:noWrap w:val="0"/>
                  <w:vAlign w:val="center"/>
                </w:tcPr>
                <w:p w14:paraId="46B2D5DF">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NOx</w:t>
                  </w:r>
                </w:p>
              </w:tc>
              <w:tc>
                <w:tcPr>
                  <w:tcW w:w="1613" w:type="dxa"/>
                  <w:noWrap w:val="0"/>
                  <w:vAlign w:val="center"/>
                </w:tcPr>
                <w:p w14:paraId="3154FF04">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kg/万m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-燃料</w:t>
                  </w:r>
                </w:p>
              </w:tc>
              <w:tc>
                <w:tcPr>
                  <w:tcW w:w="1659" w:type="dxa"/>
                  <w:noWrap w:val="0"/>
                  <w:vAlign w:val="center"/>
                </w:tcPr>
                <w:p w14:paraId="401FAA69">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3.03（低氮燃烧）</w:t>
                  </w:r>
                </w:p>
              </w:tc>
            </w:tr>
            <w:tr w14:paraId="0732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057" w:type="dxa"/>
                  <w:gridSpan w:val="6"/>
                  <w:noWrap w:val="0"/>
                  <w:vAlign w:val="center"/>
                </w:tcPr>
                <w:p w14:paraId="6EBA18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left"/>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备注：含硫量（S）是指燃气硫分含量，单位为mg/m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，根据《GB17820-2018天然气》</w:t>
                  </w:r>
                </w:p>
                <w:p w14:paraId="02F70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jc w:val="left"/>
                    <w:textAlignment w:val="auto"/>
                    <w:rPr>
                      <w:rFonts w:hint="default" w:ascii="Times New Roman" w:hAnsi="Times New Roman" w:cs="Times New Roman"/>
                      <w:b w:val="0"/>
                      <w:bCs w:val="0"/>
                      <w:color w:val="000000" w:themeColor="text1"/>
                      <w:kern w:val="0"/>
                      <w:sz w:val="20"/>
                      <w:szCs w:val="20"/>
                      <w:lang w:bidi="ar"/>
                      <w14:textFill>
                        <w14:solidFill>
                          <w14:schemeClr w14:val="tx1"/>
                        </w14:solidFill>
                      </w14:textFill>
                    </w:rPr>
                  </w:pPr>
                  <w:r>
                    <w:rPr>
                      <w:rFonts w:hint="default" w:ascii="Times New Roman" w:hAnsi="Times New Roman" w:cs="Times New Roman"/>
                      <w:b w:val="0"/>
                      <w:bCs w:val="0"/>
                      <w:color w:val="000000" w:themeColor="text1"/>
                      <w:kern w:val="0"/>
                      <w:sz w:val="20"/>
                      <w:szCs w:val="20"/>
                      <w:lang w:bidi="ar"/>
                      <w14:textFill>
                        <w14:solidFill>
                          <w14:schemeClr w14:val="tx1"/>
                        </w14:solidFill>
                      </w14:textFill>
                    </w:rPr>
                    <w:t>二类天然气中硫分含量总硫≤100mg/m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，本次环评S取值为1.05。</w:t>
                  </w:r>
                </w:p>
              </w:tc>
            </w:tr>
          </w:tbl>
          <w:p w14:paraId="5DD6E38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采用低氮燃烧技术，实现对氮氧化物的减排效果。低氮燃烧器原理：通过降低燃烧温度来降低氮氧化物的产生。通过燃烧器内部对燃气系统分区，结合供风的分区，使火焰温度达到低温要求。低氮燃烧器能够</w:t>
            </w:r>
            <w:r>
              <w:rPr>
                <w:rFonts w:hint="eastAsia" w:ascii="Times New Roman" w:hAnsi="Times New Roman" w:cs="Times New Roman"/>
                <w:color w:val="000000" w:themeColor="text1"/>
                <w:kern w:val="0"/>
                <w:sz w:val="24"/>
                <w:lang w:val="en-US" w:eastAsia="zh-CN" w:bidi="ar"/>
                <w14:textFill>
                  <w14:solidFill>
                    <w14:schemeClr w14:val="tx1"/>
                  </w14:solidFill>
                </w14:textFill>
              </w:rPr>
              <w:t>通过</w:t>
            </w:r>
            <w:r>
              <w:rPr>
                <w:rFonts w:hint="default" w:ascii="Times New Roman" w:hAnsi="Times New Roman" w:cs="Times New Roman"/>
                <w:color w:val="000000" w:themeColor="text1"/>
                <w:kern w:val="0"/>
                <w:sz w:val="24"/>
                <w:lang w:bidi="ar"/>
                <w14:textFill>
                  <w14:solidFill>
                    <w14:schemeClr w14:val="tx1"/>
                  </w14:solidFill>
                </w14:textFill>
              </w:rPr>
              <w:t>降低空气过剩系数来降低氧浓度或降低温度峰值来减少氮氧化物在燃烧过程中的热分解和再氧化，从而有效减少氮氧化物的产生量</w:t>
            </w:r>
            <w:r>
              <w:rPr>
                <w:rFonts w:hint="eastAsia"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燃气锅炉废气产排情况见下表4-</w:t>
            </w:r>
            <w:r>
              <w:rPr>
                <w:rFonts w:hint="eastAsia" w:ascii="Times New Roman" w:hAnsi="Times New Roman" w:cs="Times New Roman"/>
                <w:color w:val="000000" w:themeColor="text1"/>
                <w:kern w:val="0"/>
                <w:sz w:val="24"/>
                <w:lang w:val="en-US" w:eastAsia="zh-CN" w:bidi="ar"/>
                <w14:textFill>
                  <w14:solidFill>
                    <w14:schemeClr w14:val="tx1"/>
                  </w14:solidFill>
                </w14:textFill>
              </w:rPr>
              <w:t>5</w:t>
            </w:r>
            <w:r>
              <w:rPr>
                <w:rFonts w:hint="default" w:ascii="Times New Roman" w:hAnsi="Times New Roman" w:cs="Times New Roman"/>
                <w:color w:val="000000" w:themeColor="text1"/>
                <w:kern w:val="0"/>
                <w:sz w:val="24"/>
                <w:lang w:bidi="ar"/>
                <w14:textFill>
                  <w14:solidFill>
                    <w14:schemeClr w14:val="tx1"/>
                  </w14:solidFill>
                </w14:textFill>
              </w:rPr>
              <w:t>。</w:t>
            </w:r>
          </w:p>
          <w:p w14:paraId="2F7D03C3">
            <w:pPr>
              <w:keepNext w:val="0"/>
              <w:keepLines w:val="0"/>
              <w:widowControl/>
              <w:suppressLineNumbers w:val="0"/>
              <w:spacing w:before="0" w:beforeAutospacing="0" w:after="0" w:afterAutospacing="0"/>
              <w:ind w:left="0" w:right="0"/>
              <w:jc w:val="center"/>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表4-</w:t>
            </w:r>
            <w:r>
              <w:rPr>
                <w:rFonts w:hint="eastAsia" w:ascii="Times New Roman" w:hAnsi="Times New Roman" w:cs="Times New Roman"/>
                <w:b w:val="0"/>
                <w:bCs w:val="0"/>
                <w:color w:val="000000" w:themeColor="text1"/>
                <w:lang w:val="en-US" w:eastAsia="zh-CN"/>
                <w14:textFill>
                  <w14:solidFill>
                    <w14:schemeClr w14:val="tx1"/>
                  </w14:solidFill>
                </w14:textFill>
              </w:rPr>
              <w:t>5</w:t>
            </w:r>
            <w:r>
              <w:rPr>
                <w:rFonts w:hint="default" w:ascii="Times New Roman" w:hAnsi="Times New Roman" w:cs="Times New Roman"/>
                <w:b w:val="0"/>
                <w:bCs w:val="0"/>
                <w:color w:val="000000" w:themeColor="text1"/>
                <w14:textFill>
                  <w14:solidFill>
                    <w14:schemeClr w14:val="tx1"/>
                  </w14:solidFill>
                </w14:textFill>
              </w:rPr>
              <w:t xml:space="preserve">  </w:t>
            </w:r>
            <w:r>
              <w:rPr>
                <w:rFonts w:hint="eastAsia" w:ascii="Times New Roman" w:hAnsi="Times New Roman" w:cs="Times New Roman"/>
                <w:b w:val="0"/>
                <w:bCs w:val="0"/>
                <w:color w:val="000000" w:themeColor="text1"/>
                <w:lang w:val="en-US" w:eastAsia="zh-CN"/>
                <w14:textFill>
                  <w14:solidFill>
                    <w14:schemeClr w14:val="tx1"/>
                  </w14:solidFill>
                </w14:textFill>
              </w:rPr>
              <w:t>单台</w:t>
            </w:r>
            <w:r>
              <w:rPr>
                <w:rFonts w:hint="default" w:ascii="Times New Roman" w:hAnsi="Times New Roman" w:cs="Times New Roman"/>
                <w:b w:val="0"/>
                <w:bCs w:val="0"/>
                <w:color w:val="000000" w:themeColor="text1"/>
                <w14:textFill>
                  <w14:solidFill>
                    <w14:schemeClr w14:val="tx1"/>
                  </w14:solidFill>
                </w14:textFill>
              </w:rPr>
              <w:t>天然气锅炉燃烧污染物排放量</w:t>
            </w:r>
          </w:p>
          <w:tbl>
            <w:tblPr>
              <w:tblStyle w:val="23"/>
              <w:tblW w:w="797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95"/>
              <w:gridCol w:w="948"/>
              <w:gridCol w:w="1195"/>
              <w:gridCol w:w="1111"/>
              <w:gridCol w:w="1195"/>
              <w:gridCol w:w="1188"/>
            </w:tblGrid>
            <w:tr w14:paraId="3CFB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159" w:type="dxa"/>
                  <w:vMerge w:val="restart"/>
                  <w:noWrap w:val="0"/>
                  <w:vAlign w:val="center"/>
                </w:tcPr>
                <w:p w14:paraId="1790BCF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总烟气量</w:t>
                  </w:r>
                </w:p>
              </w:tc>
              <w:tc>
                <w:tcPr>
                  <w:tcW w:w="2116" w:type="dxa"/>
                  <w:gridSpan w:val="2"/>
                  <w:noWrap w:val="0"/>
                  <w:vAlign w:val="center"/>
                </w:tcPr>
                <w:p w14:paraId="268054ED">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烟尘</w:t>
                  </w:r>
                </w:p>
              </w:tc>
              <w:tc>
                <w:tcPr>
                  <w:tcW w:w="2312" w:type="dxa"/>
                  <w:gridSpan w:val="2"/>
                  <w:noWrap w:val="0"/>
                  <w:vAlign w:val="center"/>
                </w:tcPr>
                <w:p w14:paraId="0BDA1C7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SO</w:t>
                  </w:r>
                  <w:r>
                    <w:rPr>
                      <w:rFonts w:hint="default" w:ascii="Times New Roman" w:hAnsi="Times New Roman" w:cs="Times New Roman"/>
                      <w:b w:val="0"/>
                      <w:bCs w:val="0"/>
                      <w:color w:val="000000" w:themeColor="text1"/>
                      <w:szCs w:val="21"/>
                      <w:vertAlign w:val="subscript"/>
                      <w14:textFill>
                        <w14:solidFill>
                          <w14:schemeClr w14:val="tx1"/>
                        </w14:solidFill>
                      </w14:textFill>
                    </w:rPr>
                    <w:t>2</w:t>
                  </w:r>
                </w:p>
              </w:tc>
              <w:tc>
                <w:tcPr>
                  <w:tcW w:w="2391" w:type="dxa"/>
                  <w:gridSpan w:val="2"/>
                  <w:noWrap w:val="0"/>
                  <w:vAlign w:val="center"/>
                </w:tcPr>
                <w:p w14:paraId="775619EB">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NOx</w:t>
                  </w:r>
                </w:p>
              </w:tc>
            </w:tr>
            <w:tr w14:paraId="52C0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159" w:type="dxa"/>
                  <w:vMerge w:val="continue"/>
                  <w:noWrap w:val="0"/>
                  <w:vAlign w:val="center"/>
                </w:tcPr>
                <w:p w14:paraId="646EBDE6">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p>
              </w:tc>
              <w:tc>
                <w:tcPr>
                  <w:tcW w:w="1166" w:type="dxa"/>
                  <w:noWrap w:val="0"/>
                  <w:vAlign w:val="center"/>
                </w:tcPr>
                <w:p w14:paraId="5C537C0A">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排放浓度（mg/m</w:t>
                  </w:r>
                  <w:r>
                    <w:rPr>
                      <w:rFonts w:hint="default" w:ascii="Times New Roman" w:hAnsi="Times New Roman" w:cs="Times New Roman"/>
                      <w:b w:val="0"/>
                      <w:bCs w:val="0"/>
                      <w:color w:val="000000" w:themeColor="text1"/>
                      <w:szCs w:val="21"/>
                      <w:vertAlign w:val="superscript"/>
                      <w14:textFill>
                        <w14:solidFill>
                          <w14:schemeClr w14:val="tx1"/>
                        </w14:solidFill>
                      </w14:textFill>
                    </w:rPr>
                    <w:t>3</w:t>
                  </w:r>
                  <w:r>
                    <w:rPr>
                      <w:rFonts w:hint="default" w:ascii="Times New Roman" w:hAnsi="Times New Roman" w:cs="Times New Roman"/>
                      <w:b w:val="0"/>
                      <w:bCs w:val="0"/>
                      <w:color w:val="000000" w:themeColor="text1"/>
                      <w:szCs w:val="21"/>
                      <w14:textFill>
                        <w14:solidFill>
                          <w14:schemeClr w14:val="tx1"/>
                        </w14:solidFill>
                      </w14:textFill>
                    </w:rPr>
                    <w:t>）</w:t>
                  </w:r>
                </w:p>
              </w:tc>
              <w:tc>
                <w:tcPr>
                  <w:tcW w:w="950" w:type="dxa"/>
                  <w:noWrap w:val="0"/>
                  <w:vAlign w:val="center"/>
                </w:tcPr>
                <w:p w14:paraId="5843DA0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排放量（t/a）</w:t>
                  </w:r>
                </w:p>
              </w:tc>
              <w:tc>
                <w:tcPr>
                  <w:tcW w:w="1195" w:type="dxa"/>
                  <w:noWrap w:val="0"/>
                  <w:vAlign w:val="center"/>
                </w:tcPr>
                <w:p w14:paraId="0B82E24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排放浓度（mg/m</w:t>
                  </w:r>
                  <w:r>
                    <w:rPr>
                      <w:rFonts w:hint="default" w:ascii="Times New Roman" w:hAnsi="Times New Roman" w:cs="Times New Roman"/>
                      <w:b w:val="0"/>
                      <w:bCs w:val="0"/>
                      <w:color w:val="000000" w:themeColor="text1"/>
                      <w:szCs w:val="21"/>
                      <w:vertAlign w:val="superscript"/>
                      <w14:textFill>
                        <w14:solidFill>
                          <w14:schemeClr w14:val="tx1"/>
                        </w14:solidFill>
                      </w14:textFill>
                    </w:rPr>
                    <w:t>3</w:t>
                  </w:r>
                  <w:r>
                    <w:rPr>
                      <w:rFonts w:hint="default" w:ascii="Times New Roman" w:hAnsi="Times New Roman" w:cs="Times New Roman"/>
                      <w:b w:val="0"/>
                      <w:bCs w:val="0"/>
                      <w:color w:val="000000" w:themeColor="text1"/>
                      <w:szCs w:val="21"/>
                      <w14:textFill>
                        <w14:solidFill>
                          <w14:schemeClr w14:val="tx1"/>
                        </w14:solidFill>
                      </w14:textFill>
                    </w:rPr>
                    <w:t>）</w:t>
                  </w:r>
                </w:p>
              </w:tc>
              <w:tc>
                <w:tcPr>
                  <w:tcW w:w="1117" w:type="dxa"/>
                  <w:noWrap w:val="0"/>
                  <w:vAlign w:val="center"/>
                </w:tcPr>
                <w:p w14:paraId="16F9D821">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排放量（t/a）</w:t>
                  </w:r>
                </w:p>
              </w:tc>
              <w:tc>
                <w:tcPr>
                  <w:tcW w:w="1195" w:type="dxa"/>
                  <w:noWrap w:val="0"/>
                  <w:vAlign w:val="center"/>
                </w:tcPr>
                <w:p w14:paraId="36F6FFE4">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排放浓度（mg/m</w:t>
                  </w:r>
                  <w:r>
                    <w:rPr>
                      <w:rFonts w:hint="default" w:ascii="Times New Roman" w:hAnsi="Times New Roman" w:cs="Times New Roman"/>
                      <w:b w:val="0"/>
                      <w:bCs w:val="0"/>
                      <w:color w:val="000000" w:themeColor="text1"/>
                      <w:szCs w:val="21"/>
                      <w:vertAlign w:val="superscript"/>
                      <w14:textFill>
                        <w14:solidFill>
                          <w14:schemeClr w14:val="tx1"/>
                        </w14:solidFill>
                      </w14:textFill>
                    </w:rPr>
                    <w:t>3</w:t>
                  </w:r>
                  <w:r>
                    <w:rPr>
                      <w:rFonts w:hint="default" w:ascii="Times New Roman" w:hAnsi="Times New Roman" w:cs="Times New Roman"/>
                      <w:b w:val="0"/>
                      <w:bCs w:val="0"/>
                      <w:color w:val="000000" w:themeColor="text1"/>
                      <w:szCs w:val="21"/>
                      <w14:textFill>
                        <w14:solidFill>
                          <w14:schemeClr w14:val="tx1"/>
                        </w14:solidFill>
                      </w14:textFill>
                    </w:rPr>
                    <w:t>）</w:t>
                  </w:r>
                </w:p>
              </w:tc>
              <w:tc>
                <w:tcPr>
                  <w:tcW w:w="1196" w:type="dxa"/>
                  <w:noWrap w:val="0"/>
                  <w:vAlign w:val="center"/>
                </w:tcPr>
                <w:p w14:paraId="2E93E055">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排放量（t/a）</w:t>
                  </w:r>
                </w:p>
              </w:tc>
            </w:tr>
            <w:tr w14:paraId="0921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59" w:type="dxa"/>
                  <w:noWrap w:val="0"/>
                  <w:vAlign w:val="center"/>
                </w:tcPr>
                <w:p w14:paraId="28255AC2">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000000" w:themeColor="text1"/>
                      <w:szCs w:val="21"/>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2502</w:t>
                  </w:r>
                  <w:r>
                    <w:rPr>
                      <w:rFonts w:hint="default" w:ascii="Times New Roman" w:hAnsi="Times New Roman" w:cs="Times New Roman"/>
                      <w:b w:val="0"/>
                      <w:bCs w:val="0"/>
                      <w:color w:val="000000" w:themeColor="text1"/>
                      <w:szCs w:val="21"/>
                      <w14:textFill>
                        <w14:solidFill>
                          <w14:schemeClr w14:val="tx1"/>
                        </w14:solidFill>
                      </w14:textFill>
                    </w:rPr>
                    <w:t>万</w:t>
                  </w:r>
                  <w:r>
                    <w:rPr>
                      <w:rFonts w:hint="default" w:ascii="Times New Roman" w:hAnsi="Times New Roman" w:cs="Times New Roman"/>
                      <w:b w:val="0"/>
                      <w:bCs w:val="0"/>
                      <w:color w:val="000000" w:themeColor="text1"/>
                      <w:kern w:val="0"/>
                      <w:sz w:val="20"/>
                      <w:szCs w:val="20"/>
                      <w:lang w:bidi="ar"/>
                      <w14:textFill>
                        <w14:solidFill>
                          <w14:schemeClr w14:val="tx1"/>
                        </w14:solidFill>
                      </w14:textFill>
                    </w:rPr>
                    <w:t>m</w:t>
                  </w:r>
                  <w:r>
                    <w:rPr>
                      <w:rFonts w:hint="default" w:ascii="Times New Roman" w:hAnsi="Times New Roman" w:cs="Times New Roman"/>
                      <w:b w:val="0"/>
                      <w:bCs w:val="0"/>
                      <w:color w:val="000000" w:themeColor="text1"/>
                      <w:kern w:val="0"/>
                      <w:sz w:val="20"/>
                      <w:szCs w:val="20"/>
                      <w:vertAlign w:val="superscript"/>
                      <w:lang w:bidi="ar"/>
                      <w14:textFill>
                        <w14:solidFill>
                          <w14:schemeClr w14:val="tx1"/>
                        </w14:solidFill>
                      </w14:textFill>
                    </w:rPr>
                    <w:t>3</w:t>
                  </w:r>
                </w:p>
              </w:tc>
              <w:tc>
                <w:tcPr>
                  <w:tcW w:w="1166" w:type="dxa"/>
                  <w:noWrap w:val="0"/>
                  <w:vAlign w:val="center"/>
                </w:tcPr>
                <w:p w14:paraId="7C8BB18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1.3</w:t>
                  </w:r>
                </w:p>
              </w:tc>
              <w:tc>
                <w:tcPr>
                  <w:tcW w:w="950" w:type="dxa"/>
                  <w:noWrap w:val="0"/>
                  <w:vAlign w:val="center"/>
                </w:tcPr>
                <w:p w14:paraId="198BB56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0.350</w:t>
                  </w:r>
                </w:p>
              </w:tc>
              <w:tc>
                <w:tcPr>
                  <w:tcW w:w="1195" w:type="dxa"/>
                  <w:noWrap w:val="0"/>
                  <w:vAlign w:val="center"/>
                </w:tcPr>
                <w:p w14:paraId="1F247AE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0.19</w:t>
                  </w: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7</w:t>
                  </w:r>
                </w:p>
              </w:tc>
              <w:tc>
                <w:tcPr>
                  <w:tcW w:w="1117" w:type="dxa"/>
                  <w:noWrap w:val="0"/>
                  <w:vAlign w:val="center"/>
                </w:tcPr>
                <w:p w14:paraId="535F44F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cs="Times New Roman"/>
                      <w:b w:val="0"/>
                      <w:bCs w:val="0"/>
                      <w:color w:val="000000" w:themeColor="text1"/>
                      <w:szCs w:val="21"/>
                      <w:lang w:val="en-US" w:eastAsia="zh-CN"/>
                      <w14:textFill>
                        <w14:solidFill>
                          <w14:schemeClr w14:val="tx1"/>
                        </w14:solidFill>
                      </w14:textFill>
                    </w:rPr>
                    <w:t>0.053</w:t>
                  </w:r>
                </w:p>
              </w:tc>
              <w:tc>
                <w:tcPr>
                  <w:tcW w:w="1195" w:type="dxa"/>
                  <w:noWrap w:val="0"/>
                  <w:vAlign w:val="center"/>
                </w:tcPr>
                <w:p w14:paraId="2AE4830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28.12</w:t>
                  </w:r>
                </w:p>
              </w:tc>
              <w:tc>
                <w:tcPr>
                  <w:tcW w:w="1196" w:type="dxa"/>
                  <w:noWrap w:val="0"/>
                  <w:vAlign w:val="center"/>
                </w:tcPr>
                <w:p w14:paraId="6A6AB5D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lang w:val="en-US" w:eastAsia="zh-CN"/>
                      <w14:textFill>
                        <w14:solidFill>
                          <w14:schemeClr w14:val="tx1"/>
                        </w14:solidFill>
                      </w14:textFill>
                    </w:rPr>
                    <w:t>7.581</w:t>
                  </w:r>
                </w:p>
              </w:tc>
            </w:tr>
          </w:tbl>
          <w:p w14:paraId="68CEB6BE">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建设单位拟每</w:t>
            </w:r>
            <w:r>
              <w:rPr>
                <w:rFonts w:hint="default" w:ascii="Times New Roman" w:hAnsi="Times New Roman" w:cs="Times New Roman"/>
                <w:color w:val="000000" w:themeColor="text1"/>
                <w:sz w:val="24"/>
                <w:szCs w:val="24"/>
                <w14:textFill>
                  <w14:solidFill>
                    <w14:schemeClr w14:val="tx1"/>
                  </w14:solidFill>
                </w14:textFill>
              </w:rPr>
              <w:t>两台</w:t>
            </w:r>
            <w:r>
              <w:rPr>
                <w:rFonts w:hint="default" w:ascii="Times New Roman" w:hAnsi="Times New Roman" w:cs="Times New Roman"/>
                <w:color w:val="000000" w:themeColor="text1"/>
                <w:sz w:val="24"/>
                <w:szCs w:val="24"/>
                <w:lang w:val="en-US" w:eastAsia="zh-Hans"/>
                <w14:textFill>
                  <w14:solidFill>
                    <w14:schemeClr w14:val="tx1"/>
                  </w14:solidFill>
                </w14:textFill>
              </w:rPr>
              <w:t>天然气</w:t>
            </w:r>
            <w:r>
              <w:rPr>
                <w:rFonts w:hint="default" w:ascii="Times New Roman" w:hAnsi="Times New Roman" w:cs="Times New Roman"/>
                <w:color w:val="000000" w:themeColor="text1"/>
                <w:sz w:val="24"/>
                <w:szCs w:val="24"/>
                <w14:textFill>
                  <w14:solidFill>
                    <w14:schemeClr w14:val="tx1"/>
                  </w14:solidFill>
                </w14:textFill>
              </w:rPr>
              <w:t>锅炉</w:t>
            </w:r>
            <w:r>
              <w:rPr>
                <w:rFonts w:hint="default" w:ascii="Times New Roman" w:hAnsi="Times New Roman" w:cs="Times New Roman"/>
                <w:color w:val="000000" w:themeColor="text1"/>
                <w:sz w:val="24"/>
                <w:szCs w:val="24"/>
                <w:lang w:val="en-US" w:eastAsia="zh-Hans"/>
                <w14:textFill>
                  <w14:solidFill>
                    <w14:schemeClr w14:val="tx1"/>
                  </w14:solidFill>
                </w14:textFill>
              </w:rPr>
              <w:t>废气经</w:t>
            </w:r>
            <w:r>
              <w:rPr>
                <w:rFonts w:hint="eastAsia" w:ascii="Times New Roman" w:hAnsi="Times New Roman" w:cs="Times New Roman"/>
                <w:color w:val="000000" w:themeColor="text1"/>
                <w:sz w:val="24"/>
                <w:szCs w:val="24"/>
                <w:lang w:val="en-US" w:eastAsia="zh-CN"/>
                <w14:textFill>
                  <w14:solidFill>
                    <w14:schemeClr w14:val="tx1"/>
                  </w14:solidFill>
                </w14:textFill>
              </w:rPr>
              <w:t>同一</w:t>
            </w:r>
            <w:r>
              <w:rPr>
                <w:rFonts w:hint="default" w:ascii="Times New Roman" w:hAnsi="Times New Roman" w:cs="Times New Roman"/>
                <w:color w:val="000000" w:themeColor="text1"/>
                <w:sz w:val="24"/>
                <w:szCs w:val="24"/>
                <w14:textFill>
                  <w14:solidFill>
                    <w14:schemeClr w14:val="tx1"/>
                  </w14:solidFill>
                </w14:textFill>
              </w:rPr>
              <w:t>排气筒</w:t>
            </w:r>
            <w:r>
              <w:rPr>
                <w:rFonts w:hint="default" w:ascii="Times New Roman" w:hAnsi="Times New Roman" w:cs="Times New Roman"/>
                <w:color w:val="000000" w:themeColor="text1"/>
                <w:sz w:val="24"/>
                <w:szCs w:val="24"/>
                <w:lang w:val="en-US" w:eastAsia="zh-Hans"/>
                <w14:textFill>
                  <w14:solidFill>
                    <w14:schemeClr w14:val="tx1"/>
                  </w14:solidFill>
                </w14:textFill>
              </w:rPr>
              <w:t>排放</w:t>
            </w:r>
            <w:r>
              <w:rPr>
                <w:rFonts w:hint="default" w:ascii="Times New Roman" w:hAnsi="Times New Roman" w:cs="Times New Roman"/>
                <w:color w:val="000000" w:themeColor="text1"/>
                <w:sz w:val="24"/>
                <w:szCs w:val="24"/>
                <w14:textFill>
                  <w14:solidFill>
                    <w14:schemeClr w14:val="tx1"/>
                  </w14:solidFill>
                </w14:textFill>
              </w:rPr>
              <w:t>（排气筒内径取</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lang w:eastAsia="zh-CN"/>
                <w14:textFill>
                  <w14:solidFill>
                    <w14:schemeClr w14:val="tx1"/>
                  </w14:solidFill>
                </w14:textFill>
              </w:rPr>
              <w:t>、高</w:t>
            </w:r>
            <w:r>
              <w:rPr>
                <w:rFonts w:hint="eastAsia" w:ascii="Times New Roman" w:hAnsi="Times New Roman" w:cs="Times New Roman"/>
                <w:color w:val="000000" w:themeColor="text1"/>
                <w:sz w:val="24"/>
                <w:szCs w:val="24"/>
                <w:lang w:val="en-US" w:eastAsia="zh-CN"/>
                <w14:textFill>
                  <w14:solidFill>
                    <w14:schemeClr w14:val="tx1"/>
                  </w14:solidFill>
                </w14:textFill>
              </w:rPr>
              <w:t>20.8</w:t>
            </w:r>
            <w:r>
              <w:rPr>
                <w:rFonts w:hint="eastAsia"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备用锅炉废气通过1根排气筒排放（排气筒内径取0.5m、高20.8m）</w:t>
            </w:r>
            <w:r>
              <w:rPr>
                <w:rFonts w:hint="default" w:ascii="Times New Roman" w:hAnsi="Times New Roman" w:cs="Times New Roman"/>
                <w:color w:val="000000" w:themeColor="text1"/>
                <w:sz w:val="24"/>
                <w:szCs w:val="24"/>
                <w14:textFill>
                  <w14:solidFill>
                    <w14:schemeClr w14:val="tx1"/>
                  </w14:solidFill>
                </w14:textFill>
              </w:rPr>
              <w:t>。</w:t>
            </w:r>
          </w:p>
          <w:p w14:paraId="34F2F1E6">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⑶废气污染源监测要求</w:t>
            </w:r>
          </w:p>
          <w:p w14:paraId="608417C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经检索《固定污染源排污许可分类管理名录（2019年版）》，项目燃气锅炉属于条目96热力生产和供应业443单台且合计出力20吨/小时（14兆瓦）以</w:t>
            </w:r>
            <w:r>
              <w:rPr>
                <w:rFonts w:hint="eastAsia" w:ascii="Times New Roman" w:hAnsi="Times New Roman" w:cs="Times New Roman"/>
                <w:color w:val="000000" w:themeColor="text1"/>
                <w:sz w:val="24"/>
                <w:szCs w:val="24"/>
                <w:lang w:val="en-US" w:eastAsia="zh-CN"/>
                <w14:textFill>
                  <w14:solidFill>
                    <w14:schemeClr w14:val="tx1"/>
                  </w14:solidFill>
                </w14:textFill>
              </w:rPr>
              <w:t>上</w:t>
            </w:r>
            <w:r>
              <w:rPr>
                <w:rFonts w:hint="default" w:ascii="Times New Roman" w:hAnsi="Times New Roman" w:cs="Times New Roman"/>
                <w:color w:val="000000" w:themeColor="text1"/>
                <w:sz w:val="24"/>
                <w:szCs w:val="24"/>
                <w14:textFill>
                  <w14:solidFill>
                    <w14:schemeClr w14:val="tx1"/>
                  </w14:solidFill>
                </w14:textFill>
              </w:rPr>
              <w:t>的锅炉，按照《排污许可证申请与核发技术规范</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锅炉》（HJ954-2018）及《排污单位自行监测技术指南</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火力发电及锅炉》（HJ820-2017）确定监测因子及频次，其废气源具体如下表。</w:t>
            </w:r>
          </w:p>
          <w:p w14:paraId="03159E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表4-</w:t>
            </w:r>
            <w:r>
              <w:rPr>
                <w:rFonts w:hint="eastAsia"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废气排放标准及监测要求</w:t>
            </w:r>
          </w:p>
          <w:tbl>
            <w:tblPr>
              <w:tblStyle w:val="23"/>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5"/>
              <w:gridCol w:w="895"/>
              <w:gridCol w:w="1100"/>
              <w:gridCol w:w="1349"/>
              <w:gridCol w:w="1370"/>
              <w:gridCol w:w="2783"/>
            </w:tblGrid>
            <w:tr w14:paraId="6C66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452" w:type="pct"/>
                  <w:noWrap w:val="0"/>
                  <w:tcMar>
                    <w:top w:w="0" w:type="dxa"/>
                    <w:left w:w="57" w:type="dxa"/>
                    <w:bottom w:w="0" w:type="dxa"/>
                    <w:right w:w="57" w:type="dxa"/>
                  </w:tcMar>
                  <w:vAlign w:val="center"/>
                </w:tcPr>
                <w:p w14:paraId="54240A9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类型</w:t>
                  </w:r>
                </w:p>
              </w:tc>
              <w:tc>
                <w:tcPr>
                  <w:tcW w:w="543" w:type="pct"/>
                  <w:noWrap w:val="0"/>
                  <w:tcMar>
                    <w:top w:w="0" w:type="dxa"/>
                    <w:left w:w="57" w:type="dxa"/>
                    <w:bottom w:w="0" w:type="dxa"/>
                    <w:right w:w="57" w:type="dxa"/>
                  </w:tcMar>
                  <w:vAlign w:val="center"/>
                </w:tcPr>
                <w:p w14:paraId="5A4ADCD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污染源</w:t>
                  </w:r>
                </w:p>
              </w:tc>
              <w:tc>
                <w:tcPr>
                  <w:tcW w:w="667" w:type="pct"/>
                  <w:noWrap w:val="0"/>
                  <w:tcMar>
                    <w:top w:w="0" w:type="dxa"/>
                    <w:left w:w="57" w:type="dxa"/>
                    <w:bottom w:w="0" w:type="dxa"/>
                    <w:right w:w="57" w:type="dxa"/>
                  </w:tcMar>
                  <w:vAlign w:val="center"/>
                </w:tcPr>
                <w:p w14:paraId="3D4A62B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监测点位</w:t>
                  </w:r>
                </w:p>
              </w:tc>
              <w:tc>
                <w:tcPr>
                  <w:tcW w:w="818" w:type="pct"/>
                  <w:noWrap w:val="0"/>
                  <w:tcMar>
                    <w:top w:w="0" w:type="dxa"/>
                    <w:left w:w="57" w:type="dxa"/>
                    <w:bottom w:w="0" w:type="dxa"/>
                    <w:right w:w="57" w:type="dxa"/>
                  </w:tcMar>
                  <w:vAlign w:val="center"/>
                </w:tcPr>
                <w:p w14:paraId="1BA74B1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监测因子</w:t>
                  </w:r>
                </w:p>
              </w:tc>
              <w:tc>
                <w:tcPr>
                  <w:tcW w:w="831" w:type="pct"/>
                  <w:noWrap w:val="0"/>
                  <w:tcMar>
                    <w:top w:w="0" w:type="dxa"/>
                    <w:left w:w="57" w:type="dxa"/>
                    <w:bottom w:w="0" w:type="dxa"/>
                    <w:right w:w="57" w:type="dxa"/>
                  </w:tcMar>
                  <w:vAlign w:val="center"/>
                </w:tcPr>
                <w:p w14:paraId="00633AE3">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监测频次</w:t>
                  </w:r>
                </w:p>
              </w:tc>
              <w:tc>
                <w:tcPr>
                  <w:tcW w:w="1687" w:type="pct"/>
                  <w:noWrap w:val="0"/>
                  <w:tcMar>
                    <w:top w:w="0" w:type="dxa"/>
                    <w:left w:w="57" w:type="dxa"/>
                    <w:bottom w:w="0" w:type="dxa"/>
                    <w:right w:w="57" w:type="dxa"/>
                  </w:tcMar>
                  <w:vAlign w:val="center"/>
                </w:tcPr>
                <w:p w14:paraId="0998C0B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执行标准</w:t>
                  </w:r>
                </w:p>
              </w:tc>
            </w:tr>
            <w:tr w14:paraId="22B6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452" w:type="pct"/>
                  <w:vMerge w:val="restart"/>
                  <w:noWrap w:val="0"/>
                  <w:tcMar>
                    <w:top w:w="0" w:type="dxa"/>
                    <w:left w:w="57" w:type="dxa"/>
                    <w:bottom w:w="0" w:type="dxa"/>
                    <w:right w:w="57" w:type="dxa"/>
                  </w:tcMar>
                  <w:vAlign w:val="center"/>
                </w:tcPr>
                <w:p w14:paraId="0AFBFD7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废气</w:t>
                  </w:r>
                </w:p>
                <w:p w14:paraId="6D65623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543" w:type="pct"/>
                  <w:vMerge w:val="restart"/>
                  <w:noWrap w:val="0"/>
                  <w:tcMar>
                    <w:top w:w="0" w:type="dxa"/>
                    <w:left w:w="57" w:type="dxa"/>
                    <w:bottom w:w="0" w:type="dxa"/>
                    <w:right w:w="57" w:type="dxa"/>
                  </w:tcMar>
                  <w:vAlign w:val="center"/>
                </w:tcPr>
                <w:p w14:paraId="1E97729B">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50</w:t>
                  </w:r>
                  <w:r>
                    <w:rPr>
                      <w:rFonts w:hint="default" w:ascii="Times New Roman" w:hAnsi="Times New Roman" w:cs="Times New Roman"/>
                      <w:bCs/>
                      <w:color w:val="000000" w:themeColor="text1"/>
                      <w:szCs w:val="21"/>
                      <w14:textFill>
                        <w14:solidFill>
                          <w14:schemeClr w14:val="tx1"/>
                        </w14:solidFill>
                      </w14:textFill>
                    </w:rPr>
                    <w:t>t/h</w:t>
                  </w:r>
                </w:p>
                <w:p w14:paraId="21B42851">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锅炉</w:t>
                  </w:r>
                </w:p>
              </w:tc>
              <w:tc>
                <w:tcPr>
                  <w:tcW w:w="667" w:type="pct"/>
                  <w:vMerge w:val="restart"/>
                  <w:noWrap w:val="0"/>
                  <w:tcMar>
                    <w:top w:w="0" w:type="dxa"/>
                    <w:left w:w="57" w:type="dxa"/>
                    <w:bottom w:w="0" w:type="dxa"/>
                    <w:right w:w="57" w:type="dxa"/>
                  </w:tcMar>
                  <w:vAlign w:val="center"/>
                </w:tcPr>
                <w:p w14:paraId="7AE2406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DA00</w:t>
                  </w: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DA002</w:t>
                  </w:r>
                  <w:r>
                    <w:rPr>
                      <w:rFonts w:hint="eastAsia"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14:textFill>
                        <w14:solidFill>
                          <w14:schemeClr w14:val="tx1"/>
                        </w14:solidFill>
                      </w14:textFill>
                    </w:rPr>
                    <w:t>DA00</w:t>
                  </w:r>
                  <w:r>
                    <w:rPr>
                      <w:rFonts w:hint="eastAsia" w:ascii="Times New Roman" w:hAnsi="Times New Roman" w:cs="Times New Roman"/>
                      <w:bCs/>
                      <w:color w:val="000000" w:themeColor="text1"/>
                      <w:szCs w:val="21"/>
                      <w:lang w:val="en-US" w:eastAsia="zh-CN"/>
                      <w14:textFill>
                        <w14:solidFill>
                          <w14:schemeClr w14:val="tx1"/>
                        </w14:solidFill>
                      </w14:textFill>
                    </w:rPr>
                    <w:t>3、</w:t>
                  </w:r>
                </w:p>
                <w:p w14:paraId="1057E80F">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DA00</w:t>
                  </w:r>
                  <w:r>
                    <w:rPr>
                      <w:rFonts w:hint="eastAsia" w:ascii="Times New Roman" w:hAnsi="Times New Roman" w:cs="Times New Roman"/>
                      <w:bCs/>
                      <w:color w:val="000000" w:themeColor="text1"/>
                      <w:szCs w:val="21"/>
                      <w:lang w:val="en-US" w:eastAsia="zh-CN"/>
                      <w14:textFill>
                        <w14:solidFill>
                          <w14:schemeClr w14:val="tx1"/>
                        </w14:solidFill>
                      </w14:textFill>
                    </w:rPr>
                    <w:t>4</w:t>
                  </w:r>
                </w:p>
              </w:tc>
              <w:tc>
                <w:tcPr>
                  <w:tcW w:w="818" w:type="pct"/>
                  <w:noWrap w:val="0"/>
                  <w:tcMar>
                    <w:top w:w="0" w:type="dxa"/>
                    <w:left w:w="57" w:type="dxa"/>
                    <w:bottom w:w="0" w:type="dxa"/>
                    <w:right w:w="57" w:type="dxa"/>
                  </w:tcMar>
                  <w:vAlign w:val="center"/>
                </w:tcPr>
                <w:p w14:paraId="57AB27E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林格曼黑度</w:t>
                  </w:r>
                </w:p>
              </w:tc>
              <w:tc>
                <w:tcPr>
                  <w:tcW w:w="831" w:type="pct"/>
                  <w:noWrap w:val="0"/>
                  <w:tcMar>
                    <w:top w:w="0" w:type="dxa"/>
                    <w:left w:w="57" w:type="dxa"/>
                    <w:bottom w:w="0" w:type="dxa"/>
                    <w:right w:w="57" w:type="dxa"/>
                  </w:tcMar>
                  <w:vAlign w:val="center"/>
                </w:tcPr>
                <w:p w14:paraId="3EBB98B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1次/季度</w:t>
                  </w:r>
                </w:p>
              </w:tc>
              <w:tc>
                <w:tcPr>
                  <w:tcW w:w="1687" w:type="pct"/>
                  <w:noWrap w:val="0"/>
                  <w:tcMar>
                    <w:top w:w="0" w:type="dxa"/>
                    <w:left w:w="57" w:type="dxa"/>
                    <w:bottom w:w="0" w:type="dxa"/>
                    <w:right w:w="57" w:type="dxa"/>
                  </w:tcMar>
                  <w:vAlign w:val="center"/>
                </w:tcPr>
                <w:p w14:paraId="24DDF4D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《锅炉大气污染物排放标准》（GB13271-2014）</w:t>
                  </w:r>
                </w:p>
              </w:tc>
            </w:tr>
            <w:tr w14:paraId="2A67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452" w:type="pct"/>
                  <w:vMerge w:val="continue"/>
                  <w:noWrap w:val="0"/>
                  <w:tcMar>
                    <w:top w:w="0" w:type="dxa"/>
                    <w:left w:w="57" w:type="dxa"/>
                    <w:bottom w:w="0" w:type="dxa"/>
                    <w:right w:w="57" w:type="dxa"/>
                  </w:tcMar>
                  <w:vAlign w:val="center"/>
                </w:tcPr>
                <w:p w14:paraId="742899EA">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543" w:type="pct"/>
                  <w:vMerge w:val="continue"/>
                  <w:noWrap w:val="0"/>
                  <w:tcMar>
                    <w:top w:w="0" w:type="dxa"/>
                    <w:left w:w="57" w:type="dxa"/>
                    <w:bottom w:w="0" w:type="dxa"/>
                    <w:right w:w="57" w:type="dxa"/>
                  </w:tcMar>
                  <w:vAlign w:val="center"/>
                </w:tcPr>
                <w:p w14:paraId="2C67968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667" w:type="pct"/>
                  <w:vMerge w:val="continue"/>
                  <w:noWrap w:val="0"/>
                  <w:tcMar>
                    <w:top w:w="0" w:type="dxa"/>
                    <w:left w:w="57" w:type="dxa"/>
                    <w:bottom w:w="0" w:type="dxa"/>
                    <w:right w:w="57" w:type="dxa"/>
                  </w:tcMar>
                  <w:vAlign w:val="center"/>
                </w:tcPr>
                <w:p w14:paraId="6C3132F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818" w:type="pct"/>
                  <w:noWrap w:val="0"/>
                  <w:tcMar>
                    <w:top w:w="0" w:type="dxa"/>
                    <w:left w:w="57" w:type="dxa"/>
                    <w:bottom w:w="0" w:type="dxa"/>
                    <w:right w:w="57" w:type="dxa"/>
                  </w:tcMar>
                  <w:vAlign w:val="center"/>
                </w:tcPr>
                <w:p w14:paraId="5E209C4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颗粒物</w:t>
                  </w:r>
                </w:p>
              </w:tc>
              <w:tc>
                <w:tcPr>
                  <w:tcW w:w="831" w:type="pct"/>
                  <w:noWrap w:val="0"/>
                  <w:tcMar>
                    <w:top w:w="0" w:type="dxa"/>
                    <w:left w:w="57" w:type="dxa"/>
                    <w:bottom w:w="0" w:type="dxa"/>
                    <w:right w:w="57" w:type="dxa"/>
                  </w:tcMar>
                  <w:vAlign w:val="center"/>
                </w:tcPr>
                <w:p w14:paraId="51C76A3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1次/季度</w:t>
                  </w:r>
                </w:p>
              </w:tc>
              <w:tc>
                <w:tcPr>
                  <w:tcW w:w="1687" w:type="pct"/>
                  <w:vMerge w:val="restart"/>
                  <w:noWrap w:val="0"/>
                  <w:tcMar>
                    <w:top w:w="0" w:type="dxa"/>
                    <w:left w:w="57" w:type="dxa"/>
                    <w:bottom w:w="0" w:type="dxa"/>
                    <w:right w:w="57" w:type="dxa"/>
                  </w:tcMar>
                  <w:vAlign w:val="center"/>
                </w:tcPr>
                <w:p w14:paraId="4BFB8774">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《锅炉大气污染物排放标准》（DB61/1226-2018）</w:t>
                  </w:r>
                </w:p>
              </w:tc>
            </w:tr>
            <w:tr w14:paraId="7E77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452" w:type="pct"/>
                  <w:vMerge w:val="continue"/>
                  <w:noWrap w:val="0"/>
                  <w:tcMar>
                    <w:top w:w="0" w:type="dxa"/>
                    <w:left w:w="57" w:type="dxa"/>
                    <w:bottom w:w="0" w:type="dxa"/>
                    <w:right w:w="57" w:type="dxa"/>
                  </w:tcMar>
                  <w:vAlign w:val="center"/>
                </w:tcPr>
                <w:p w14:paraId="29E53DF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543" w:type="pct"/>
                  <w:vMerge w:val="continue"/>
                  <w:noWrap w:val="0"/>
                  <w:tcMar>
                    <w:top w:w="0" w:type="dxa"/>
                    <w:left w:w="57" w:type="dxa"/>
                    <w:bottom w:w="0" w:type="dxa"/>
                    <w:right w:w="57" w:type="dxa"/>
                  </w:tcMar>
                  <w:vAlign w:val="center"/>
                </w:tcPr>
                <w:p w14:paraId="635C326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667" w:type="pct"/>
                  <w:vMerge w:val="continue"/>
                  <w:noWrap w:val="0"/>
                  <w:tcMar>
                    <w:top w:w="0" w:type="dxa"/>
                    <w:left w:w="57" w:type="dxa"/>
                    <w:bottom w:w="0" w:type="dxa"/>
                    <w:right w:w="57" w:type="dxa"/>
                  </w:tcMar>
                  <w:vAlign w:val="center"/>
                </w:tcPr>
                <w:p w14:paraId="1708E30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818" w:type="pct"/>
                  <w:noWrap w:val="0"/>
                  <w:tcMar>
                    <w:top w:w="0" w:type="dxa"/>
                    <w:left w:w="57" w:type="dxa"/>
                    <w:bottom w:w="0" w:type="dxa"/>
                    <w:right w:w="57" w:type="dxa"/>
                  </w:tcMar>
                  <w:vAlign w:val="center"/>
                </w:tcPr>
                <w:p w14:paraId="54F6A65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SO</w:t>
                  </w:r>
                  <w:r>
                    <w:rPr>
                      <w:rFonts w:hint="default" w:ascii="Times New Roman" w:hAnsi="Times New Roman" w:cs="Times New Roman"/>
                      <w:bCs/>
                      <w:color w:val="000000" w:themeColor="text1"/>
                      <w:szCs w:val="21"/>
                      <w:vertAlign w:val="subscript"/>
                      <w14:textFill>
                        <w14:solidFill>
                          <w14:schemeClr w14:val="tx1"/>
                        </w14:solidFill>
                      </w14:textFill>
                    </w:rPr>
                    <w:t>2</w:t>
                  </w:r>
                </w:p>
              </w:tc>
              <w:tc>
                <w:tcPr>
                  <w:tcW w:w="831" w:type="pct"/>
                  <w:noWrap w:val="0"/>
                  <w:tcMar>
                    <w:top w:w="0" w:type="dxa"/>
                    <w:left w:w="57" w:type="dxa"/>
                    <w:bottom w:w="0" w:type="dxa"/>
                    <w:right w:w="57" w:type="dxa"/>
                  </w:tcMar>
                  <w:vAlign w:val="center"/>
                </w:tcPr>
                <w:p w14:paraId="4EC68BEA">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w:t>
                  </w:r>
                  <w:r>
                    <w:rPr>
                      <w:rFonts w:hint="eastAsia" w:ascii="Times New Roman" w:hAnsi="Times New Roman" w:cs="Times New Roman"/>
                      <w:bCs/>
                      <w:color w:val="000000" w:themeColor="text1"/>
                      <w:szCs w:val="21"/>
                      <w:lang w:val="en-US" w:eastAsia="zh-CN"/>
                      <w14:textFill>
                        <w14:solidFill>
                          <w14:schemeClr w14:val="tx1"/>
                        </w14:solidFill>
                      </w14:textFill>
                    </w:rPr>
                    <w:t>季度</w:t>
                  </w:r>
                </w:p>
              </w:tc>
              <w:tc>
                <w:tcPr>
                  <w:tcW w:w="1687" w:type="pct"/>
                  <w:vMerge w:val="continue"/>
                  <w:noWrap w:val="0"/>
                  <w:tcMar>
                    <w:top w:w="0" w:type="dxa"/>
                    <w:left w:w="57" w:type="dxa"/>
                    <w:bottom w:w="0" w:type="dxa"/>
                    <w:right w:w="57" w:type="dxa"/>
                  </w:tcMar>
                  <w:vAlign w:val="center"/>
                </w:tcPr>
                <w:p w14:paraId="375D8094">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r>
            <w:tr w14:paraId="6A22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452" w:type="pct"/>
                  <w:vMerge w:val="continue"/>
                  <w:noWrap w:val="0"/>
                  <w:tcMar>
                    <w:top w:w="0" w:type="dxa"/>
                    <w:left w:w="57" w:type="dxa"/>
                    <w:bottom w:w="0" w:type="dxa"/>
                    <w:right w:w="57" w:type="dxa"/>
                  </w:tcMar>
                  <w:vAlign w:val="center"/>
                </w:tcPr>
                <w:p w14:paraId="5355DBC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543" w:type="pct"/>
                  <w:vMerge w:val="continue"/>
                  <w:noWrap w:val="0"/>
                  <w:tcMar>
                    <w:top w:w="0" w:type="dxa"/>
                    <w:left w:w="57" w:type="dxa"/>
                    <w:bottom w:w="0" w:type="dxa"/>
                    <w:right w:w="57" w:type="dxa"/>
                  </w:tcMar>
                  <w:vAlign w:val="center"/>
                </w:tcPr>
                <w:p w14:paraId="2442771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667" w:type="pct"/>
                  <w:vMerge w:val="continue"/>
                  <w:noWrap w:val="0"/>
                  <w:tcMar>
                    <w:top w:w="0" w:type="dxa"/>
                    <w:left w:w="57" w:type="dxa"/>
                    <w:bottom w:w="0" w:type="dxa"/>
                    <w:right w:w="57" w:type="dxa"/>
                  </w:tcMar>
                  <w:vAlign w:val="center"/>
                </w:tcPr>
                <w:p w14:paraId="3D9C688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p>
              </w:tc>
              <w:tc>
                <w:tcPr>
                  <w:tcW w:w="818" w:type="pct"/>
                  <w:noWrap w:val="0"/>
                  <w:tcMar>
                    <w:top w:w="0" w:type="dxa"/>
                    <w:left w:w="57" w:type="dxa"/>
                    <w:bottom w:w="0" w:type="dxa"/>
                    <w:right w:w="57" w:type="dxa"/>
                  </w:tcMar>
                  <w:vAlign w:val="center"/>
                </w:tcPr>
                <w:p w14:paraId="271B3B4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NO</w:t>
                  </w:r>
                  <w:r>
                    <w:rPr>
                      <w:rFonts w:hint="default" w:ascii="Times New Roman" w:hAnsi="Times New Roman" w:cs="Times New Roman"/>
                      <w:bCs/>
                      <w:color w:val="000000" w:themeColor="text1"/>
                      <w:szCs w:val="21"/>
                      <w:vertAlign w:val="subscript"/>
                      <w14:textFill>
                        <w14:solidFill>
                          <w14:schemeClr w14:val="tx1"/>
                        </w14:solidFill>
                      </w14:textFill>
                    </w:rPr>
                    <w:t>X</w:t>
                  </w:r>
                </w:p>
              </w:tc>
              <w:tc>
                <w:tcPr>
                  <w:tcW w:w="831" w:type="pct"/>
                  <w:noWrap w:val="0"/>
                  <w:tcMar>
                    <w:top w:w="0" w:type="dxa"/>
                    <w:left w:w="57" w:type="dxa"/>
                    <w:bottom w:w="0" w:type="dxa"/>
                    <w:right w:w="57" w:type="dxa"/>
                  </w:tcMar>
                  <w:vAlign w:val="center"/>
                </w:tcPr>
                <w:p w14:paraId="67397AF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自动监测</w:t>
                  </w:r>
                </w:p>
              </w:tc>
              <w:tc>
                <w:tcPr>
                  <w:tcW w:w="1687" w:type="pct"/>
                  <w:noWrap w:val="0"/>
                  <w:tcMar>
                    <w:top w:w="0" w:type="dxa"/>
                    <w:left w:w="57" w:type="dxa"/>
                    <w:bottom w:w="0" w:type="dxa"/>
                    <w:right w:w="57" w:type="dxa"/>
                  </w:tcMar>
                  <w:vAlign w:val="center"/>
                </w:tcPr>
                <w:p w14:paraId="37F0100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《宝鸡市大气污染物治理专项行动方案（2023-2027年）》</w:t>
                  </w:r>
                </w:p>
              </w:tc>
            </w:tr>
          </w:tbl>
          <w:p w14:paraId="5027B699">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⑷废气排放达标分析</w:t>
            </w:r>
          </w:p>
          <w:p w14:paraId="2774F7A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该项目锅炉房锅炉</w:t>
            </w:r>
            <w:r>
              <w:rPr>
                <w:rFonts w:hint="default" w:ascii="Times New Roman" w:hAnsi="Times New Roman" w:cs="Times New Roman"/>
                <w:color w:val="000000" w:themeColor="text1"/>
                <w:sz w:val="24"/>
                <w:szCs w:val="24"/>
                <w14:textFill>
                  <w14:solidFill>
                    <w14:schemeClr w14:val="tx1"/>
                  </w14:solidFill>
                </w14:textFill>
              </w:rPr>
              <w:t>废气</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二氧化硫、颗粒物</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排放浓度均满足《锅炉大气污染物排放标准》（DB61/1226-2018）表3中燃气锅炉大气污染物排放浓度限值中天然气燃烧排放污染物浓度限值要求</w:t>
            </w:r>
            <w:r>
              <w:rPr>
                <w:rFonts w:hint="default" w:ascii="Times New Roman" w:hAnsi="Times New Roman" w:cs="Times New Roman"/>
                <w:color w:val="000000" w:themeColor="text1"/>
                <w:spacing w:val="-2"/>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pacing w:val="-2"/>
                <w:sz w:val="24"/>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，颗粒物</w:t>
            </w:r>
            <w:r>
              <w:rPr>
                <w:rFonts w:hint="default" w:ascii="Times New Roman" w:hAnsi="Times New Roman" w:cs="Times New Roman"/>
                <w:color w:val="000000" w:themeColor="text1"/>
                <w:spacing w:val="-2"/>
                <w:sz w:val="24"/>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pacing w:val="-2"/>
                <w:sz w:val="24"/>
                <w14:textFill>
                  <w14:solidFill>
                    <w14:schemeClr w14:val="tx1"/>
                  </w14:solidFill>
                </w14:textFill>
              </w:rPr>
              <w:t>）</w:t>
            </w:r>
            <w:r>
              <w:rPr>
                <w:rFonts w:hint="default" w:ascii="Times New Roman" w:hAnsi="Times New Roman"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氮氧化物</w:t>
            </w:r>
            <w:r>
              <w:rPr>
                <w:rFonts w:hint="eastAsia" w:ascii="Times New Roman" w:hAnsi="Times New Roman" w:cs="Times New Roman"/>
                <w:color w:val="000000" w:themeColor="text1"/>
                <w:spacing w:val="-2"/>
                <w:sz w:val="24"/>
                <w:lang w:val="en-US" w:eastAsia="zh-CN"/>
                <w14:textFill>
                  <w14:solidFill>
                    <w14:schemeClr w14:val="tx1"/>
                  </w14:solidFill>
                </w14:textFill>
              </w:rPr>
              <w:t>排放</w:t>
            </w:r>
            <w:r>
              <w:rPr>
                <w:rFonts w:hint="default" w:ascii="Times New Roman" w:hAnsi="Times New Roman" w:cs="Times New Roman"/>
                <w:color w:val="000000" w:themeColor="text1"/>
                <w:spacing w:val="-2"/>
                <w:sz w:val="24"/>
                <w:lang w:val="en-US" w:eastAsia="zh-CN"/>
                <w14:textFill>
                  <w14:solidFill>
                    <w14:schemeClr w14:val="tx1"/>
                  </w14:solidFill>
                </w14:textFill>
              </w:rPr>
              <w:t>能够满足《宝鸡市</w:t>
            </w:r>
            <w:r>
              <w:rPr>
                <w:rFonts w:hint="default" w:ascii="Times New Roman" w:hAnsi="Times New Roman" w:cs="Times New Roman"/>
                <w:color w:val="000000" w:themeColor="text1"/>
                <w:spacing w:val="-2"/>
                <w:sz w:val="24"/>
                <w:lang w:val="en-US" w:eastAsia="zh-Hans"/>
                <w14:textFill>
                  <w14:solidFill>
                    <w14:schemeClr w14:val="tx1"/>
                  </w14:solidFill>
                </w14:textFill>
              </w:rPr>
              <w:t>锅炉</w:t>
            </w:r>
            <w:r>
              <w:rPr>
                <w:rFonts w:hint="default" w:ascii="Times New Roman" w:hAnsi="Times New Roman" w:cs="Times New Roman"/>
                <w:color w:val="000000" w:themeColor="text1"/>
                <w:spacing w:val="-2"/>
                <w:sz w:val="24"/>
                <w:lang w:val="en-US" w:eastAsia="zh-CN"/>
                <w14:textFill>
                  <w14:solidFill>
                    <w14:schemeClr w14:val="tx1"/>
                  </w14:solidFill>
                </w14:textFill>
              </w:rPr>
              <w:t>大气</w:t>
            </w:r>
            <w:r>
              <w:rPr>
                <w:rFonts w:hint="default" w:ascii="Times New Roman" w:hAnsi="Times New Roman" w:cs="Times New Roman"/>
                <w:color w:val="000000" w:themeColor="text1"/>
                <w:spacing w:val="-2"/>
                <w:sz w:val="24"/>
                <w:lang w:val="en-US" w:eastAsia="zh-Hans"/>
                <w14:textFill>
                  <w14:solidFill>
                    <w14:schemeClr w14:val="tx1"/>
                  </w14:solidFill>
                </w14:textFill>
              </w:rPr>
              <w:t>污染</w:t>
            </w:r>
            <w:r>
              <w:rPr>
                <w:rFonts w:hint="default" w:ascii="Times New Roman" w:hAnsi="Times New Roman" w:cs="Times New Roman"/>
                <w:color w:val="000000" w:themeColor="text1"/>
                <w:spacing w:val="-2"/>
                <w:sz w:val="24"/>
                <w:lang w:val="en-US" w:eastAsia="zh-CN"/>
                <w14:textFill>
                  <w14:solidFill>
                    <w14:schemeClr w14:val="tx1"/>
                  </w14:solidFill>
                </w14:textFill>
              </w:rPr>
              <w:t>专项</w:t>
            </w:r>
            <w:r>
              <w:rPr>
                <w:rFonts w:hint="default" w:ascii="Times New Roman" w:hAnsi="Times New Roman" w:cs="Times New Roman"/>
                <w:color w:val="000000" w:themeColor="text1"/>
                <w:spacing w:val="-2"/>
                <w:sz w:val="24"/>
                <w:lang w:val="en-US" w:eastAsia="zh-Hans"/>
                <w14:textFill>
                  <w14:solidFill>
                    <w14:schemeClr w14:val="tx1"/>
                  </w14:solidFill>
                </w14:textFill>
              </w:rPr>
              <w:t>整治</w:t>
            </w:r>
            <w:r>
              <w:rPr>
                <w:rFonts w:hint="default" w:ascii="Times New Roman" w:hAnsi="Times New Roman" w:cs="Times New Roman"/>
                <w:color w:val="000000" w:themeColor="text1"/>
                <w:spacing w:val="-2"/>
                <w:sz w:val="24"/>
                <w:lang w:val="en-US" w:eastAsia="zh-CN"/>
                <w14:textFill>
                  <w14:solidFill>
                    <w14:schemeClr w14:val="tx1"/>
                  </w14:solidFill>
                </w14:textFill>
              </w:rPr>
              <w:t>行动方案》中排放浓度限值</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氮氧化物浓度控制在30mg/m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以下</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该项目锅炉房排气筒高</w:t>
            </w:r>
            <w:r>
              <w:rPr>
                <w:rFonts w:hint="eastAsia" w:ascii="Times New Roman" w:hAnsi="Times New Roman" w:cs="Times New Roman"/>
                <w:color w:val="000000" w:themeColor="text1"/>
                <w:sz w:val="24"/>
                <w:szCs w:val="24"/>
                <w:lang w:val="en-US" w:eastAsia="zh-CN"/>
                <w14:textFill>
                  <w14:solidFill>
                    <w14:schemeClr w14:val="tx1"/>
                  </w14:solidFill>
                </w14:textFill>
              </w:rPr>
              <w:t>20.8</w:t>
            </w:r>
            <w:r>
              <w:rPr>
                <w:rFonts w:hint="default" w:ascii="Times New Roman" w:hAnsi="Times New Roman" w:cs="Times New Roman"/>
                <w:color w:val="000000" w:themeColor="text1"/>
                <w:sz w:val="24"/>
                <w:szCs w:val="24"/>
                <w:lang w:eastAsia="zh-Hans"/>
                <w14:textFill>
                  <w14:solidFill>
                    <w14:schemeClr w14:val="tx1"/>
                  </w14:solidFill>
                </w14:textFill>
              </w:rPr>
              <w:t>m，</w:t>
            </w:r>
            <w:r>
              <w:rPr>
                <w:rFonts w:hint="default" w:ascii="Times New Roman" w:hAnsi="Times New Roman" w:cs="Times New Roman"/>
                <w:color w:val="000000" w:themeColor="text1"/>
                <w:sz w:val="24"/>
                <w:szCs w:val="24"/>
                <w:lang w:val="en-US" w:eastAsia="zh-Hans"/>
                <w14:textFill>
                  <w14:solidFill>
                    <w14:schemeClr w14:val="tx1"/>
                  </w14:solidFill>
                </w14:textFill>
              </w:rPr>
              <w:t>符合《锅炉大气污染物排放标准》（GB13271-2014）天然气锅炉房排气筒高度要求</w:t>
            </w:r>
            <w:r>
              <w:rPr>
                <w:rFonts w:hint="default" w:ascii="Times New Roman" w:hAnsi="Times New Roman" w:cs="Times New Roman"/>
                <w:color w:val="000000" w:themeColor="text1"/>
                <w:sz w:val="24"/>
                <w:szCs w:val="24"/>
                <w:lang w:eastAsia="zh-Hans"/>
                <w14:textFill>
                  <w14:solidFill>
                    <w14:schemeClr w14:val="tx1"/>
                  </w14:solidFill>
                </w14:textFill>
              </w:rPr>
              <w:t>。</w:t>
            </w:r>
          </w:p>
          <w:p w14:paraId="5AC17FC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根据《排污许可证申请与核发技术规范锅炉》（HJ953-2018），低氮燃烧技术属于氮氧化物治理可行性技术，因此，本次环评要求锅炉设置低氮燃烧装置措施可行。</w:t>
            </w:r>
          </w:p>
          <w:p w14:paraId="5C45634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⑸非正常情况</w:t>
            </w:r>
            <w:r>
              <w:rPr>
                <w:rFonts w:hint="eastAsia" w:ascii="Times New Roman" w:hAnsi="Times New Roman" w:cs="Times New Roman"/>
                <w:color w:val="000000" w:themeColor="text1"/>
                <w:sz w:val="24"/>
                <w:szCs w:val="24"/>
                <w:lang w:val="en-US" w:eastAsia="zh-CN"/>
                <w14:textFill>
                  <w14:solidFill>
                    <w14:schemeClr w14:val="tx1"/>
                  </w14:solidFill>
                </w14:textFill>
              </w:rPr>
              <w:t>下</w:t>
            </w:r>
            <w:r>
              <w:rPr>
                <w:rFonts w:hint="default" w:ascii="Times New Roman" w:hAnsi="Times New Roman" w:cs="Times New Roman"/>
                <w:color w:val="000000" w:themeColor="text1"/>
                <w:sz w:val="24"/>
                <w:szCs w:val="24"/>
                <w14:textFill>
                  <w14:solidFill>
                    <w14:schemeClr w14:val="tx1"/>
                  </w14:solidFill>
                </w14:textFill>
              </w:rPr>
              <w:t>污染</w:t>
            </w:r>
            <w:r>
              <w:rPr>
                <w:rFonts w:hint="eastAsia" w:ascii="Times New Roman" w:hAnsi="Times New Roman" w:cs="Times New Roman"/>
                <w:color w:val="000000" w:themeColor="text1"/>
                <w:sz w:val="24"/>
                <w:szCs w:val="24"/>
                <w:lang w:val="en-US" w:eastAsia="zh-CN"/>
                <w14:textFill>
                  <w14:solidFill>
                    <w14:schemeClr w14:val="tx1"/>
                  </w14:solidFill>
                </w14:textFill>
              </w:rPr>
              <w:t>物</w:t>
            </w:r>
            <w:r>
              <w:rPr>
                <w:rFonts w:hint="default" w:ascii="Times New Roman" w:hAnsi="Times New Roman" w:cs="Times New Roman"/>
                <w:color w:val="000000" w:themeColor="text1"/>
                <w:sz w:val="24"/>
                <w:szCs w:val="24"/>
                <w14:textFill>
                  <w14:solidFill>
                    <w14:schemeClr w14:val="tx1"/>
                  </w14:solidFill>
                </w14:textFill>
              </w:rPr>
              <w:t>排放</w:t>
            </w:r>
          </w:p>
          <w:p w14:paraId="0243F0E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GB"/>
                <w14:textFill>
                  <w14:solidFill>
                    <w14:schemeClr w14:val="tx1"/>
                  </w14:solidFill>
                </w14:textFill>
              </w:rPr>
              <w:t>项目锅炉废气污染物中颗粒物、</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lang w:val="en-GB"/>
                <w14:textFill>
                  <w14:solidFill>
                    <w14:schemeClr w14:val="tx1"/>
                  </w14:solidFill>
                </w14:textFill>
              </w:rPr>
              <w:t>产生量较小且属于直排，</w:t>
            </w:r>
            <w:r>
              <w:rPr>
                <w:rFonts w:hint="default" w:ascii="Times New Roman" w:hAnsi="Times New Roman" w:cs="Times New Roman"/>
                <w:color w:val="000000" w:themeColor="text1"/>
                <w:sz w:val="24"/>
                <w:szCs w:val="24"/>
                <w14:textFill>
                  <w14:solidFill>
                    <w14:schemeClr w14:val="tx1"/>
                  </w14:solidFill>
                </w14:textFill>
              </w:rPr>
              <w:t>无废气治理效果，非正常情况不予核算；</w:t>
            </w:r>
            <w:r>
              <w:rPr>
                <w:rFonts w:hint="default" w:ascii="Times New Roman" w:hAnsi="Times New Roman" w:cs="Times New Roman"/>
                <w:color w:val="000000" w:themeColor="text1"/>
                <w:sz w:val="24"/>
                <w:szCs w:val="24"/>
                <w:lang w:val="en-GB"/>
                <w14:textFill>
                  <w14:solidFill>
                    <w14:schemeClr w14:val="tx1"/>
                  </w14:solidFill>
                </w14:textFill>
              </w:rPr>
              <w:t>即非正常情况主要为低氮燃烧器损坏，造成氮氧化物超标排放。结合项目情况，依据《排污许可证申请与核发技术规范锅炉》（HJ953-2018）表F.3氮氧化物产污系数为18.17kg/万m</w:t>
            </w:r>
            <w:r>
              <w:rPr>
                <w:rFonts w:hint="default" w:ascii="Times New Roman" w:hAnsi="Times New Roman" w:cs="Times New Roman"/>
                <w:color w:val="000000" w:themeColor="text1"/>
                <w:sz w:val="24"/>
                <w:szCs w:val="24"/>
                <w:vertAlign w:val="superscript"/>
                <w:lang w:val="en-GB"/>
                <w14:textFill>
                  <w14:solidFill>
                    <w14:schemeClr w14:val="tx1"/>
                  </w14:solidFill>
                </w14:textFill>
              </w:rPr>
              <w:t>3</w:t>
            </w:r>
            <w:r>
              <w:rPr>
                <w:rFonts w:hint="default" w:ascii="Times New Roman" w:hAnsi="Times New Roman" w:cs="Times New Roman"/>
                <w:color w:val="000000" w:themeColor="text1"/>
                <w:sz w:val="24"/>
                <w:szCs w:val="24"/>
                <w:lang w:val="en-GB"/>
                <w14:textFill>
                  <w14:solidFill>
                    <w14:schemeClr w14:val="tx1"/>
                  </w14:solidFill>
                </w14:textFill>
              </w:rPr>
              <w:t>—燃料（无低氮燃烧），以最不利情况下氮氧化物减排效果为零考虑，源强最大的时段废气排放1h对周围环境的影响</w:t>
            </w:r>
            <w:r>
              <w:rPr>
                <w:rFonts w:hint="default" w:ascii="Times New Roman" w:hAnsi="Times New Roman" w:cs="Times New Roman"/>
                <w:color w:val="000000" w:themeColor="text1"/>
                <w:sz w:val="24"/>
                <w:szCs w:val="24"/>
                <w14:textFill>
                  <w14:solidFill>
                    <w14:schemeClr w14:val="tx1"/>
                  </w14:solidFill>
                </w14:textFill>
              </w:rPr>
              <w:t>，具体见下表。</w:t>
            </w:r>
          </w:p>
          <w:p w14:paraId="55F881EF">
            <w:pPr>
              <w:pStyle w:val="60"/>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表4-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cs="Times New Roman"/>
                <w:b w:val="0"/>
                <w:bCs w:val="0"/>
                <w:color w:val="000000" w:themeColor="text1"/>
                <w:sz w:val="21"/>
                <w:szCs w:val="21"/>
                <w14:textFill>
                  <w14:solidFill>
                    <w14:schemeClr w14:val="tx1"/>
                  </w14:solidFill>
                </w14:textFill>
              </w:rPr>
              <w:t xml:space="preserve"> 非正常情况</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下</w:t>
            </w:r>
            <w:r>
              <w:rPr>
                <w:rFonts w:hint="default" w:ascii="Times New Roman" w:hAnsi="Times New Roman" w:cs="Times New Roman"/>
                <w:b w:val="0"/>
                <w:bCs w:val="0"/>
                <w:color w:val="000000" w:themeColor="text1"/>
                <w:sz w:val="21"/>
                <w:szCs w:val="21"/>
                <w14:textFill>
                  <w14:solidFill>
                    <w14:schemeClr w14:val="tx1"/>
                  </w14:solidFill>
                </w14:textFill>
              </w:rPr>
              <w:t>污染物排放情况</w:t>
            </w:r>
          </w:p>
          <w:tbl>
            <w:tblPr>
              <w:tblStyle w:val="23"/>
              <w:tblW w:w="4999" w:type="pct"/>
              <w:jc w:val="center"/>
              <w:tblLayout w:type="autofit"/>
              <w:tblCellMar>
                <w:top w:w="0" w:type="dxa"/>
                <w:left w:w="108" w:type="dxa"/>
                <w:bottom w:w="0" w:type="dxa"/>
                <w:right w:w="108" w:type="dxa"/>
              </w:tblCellMar>
            </w:tblPr>
            <w:tblGrid>
              <w:gridCol w:w="1562"/>
              <w:gridCol w:w="6807"/>
            </w:tblGrid>
            <w:tr w14:paraId="77713FF3">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781B1AE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废气污染源</w:t>
                  </w:r>
                </w:p>
              </w:tc>
              <w:tc>
                <w:tcPr>
                  <w:tcW w:w="4066" w:type="pct"/>
                  <w:tcBorders>
                    <w:top w:val="single" w:color="000000" w:sz="4" w:space="0"/>
                    <w:left w:val="single" w:color="auto" w:sz="4" w:space="0"/>
                    <w:bottom w:val="single" w:color="000000" w:sz="4" w:space="0"/>
                    <w:right w:val="single" w:color="000000" w:sz="4" w:space="0"/>
                  </w:tcBorders>
                  <w:noWrap w:val="0"/>
                  <w:vAlign w:val="center"/>
                </w:tcPr>
                <w:p w14:paraId="0C8CAC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锅炉废气</w:t>
                  </w:r>
                </w:p>
              </w:tc>
            </w:tr>
            <w:tr w14:paraId="5C66F824">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14B6838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污染物种类</w:t>
                  </w:r>
                </w:p>
              </w:tc>
              <w:tc>
                <w:tcPr>
                  <w:tcW w:w="4066" w:type="pct"/>
                  <w:tcBorders>
                    <w:top w:val="single" w:color="000000" w:sz="4" w:space="0"/>
                    <w:left w:val="single" w:color="auto" w:sz="4" w:space="0"/>
                    <w:bottom w:val="single" w:color="000000" w:sz="4" w:space="0"/>
                    <w:right w:val="single" w:color="000000" w:sz="4" w:space="0"/>
                  </w:tcBorders>
                  <w:noWrap/>
                  <w:vAlign w:val="center"/>
                </w:tcPr>
                <w:p w14:paraId="359271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NO</w:t>
                  </w:r>
                  <w:r>
                    <w:rPr>
                      <w:rFonts w:hint="default" w:ascii="Times New Roman" w:hAnsi="Times New Roman" w:cs="Times New Roman"/>
                      <w:color w:val="000000" w:themeColor="text1"/>
                      <w:szCs w:val="21"/>
                      <w:vertAlign w:val="subscript"/>
                      <w14:textFill>
                        <w14:solidFill>
                          <w14:schemeClr w14:val="tx1"/>
                        </w14:solidFill>
                      </w14:textFill>
                    </w:rPr>
                    <w:t>X</w:t>
                  </w:r>
                </w:p>
              </w:tc>
            </w:tr>
            <w:tr w14:paraId="6569D29D">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159FECA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非正常频次</w:t>
                  </w:r>
                </w:p>
              </w:tc>
              <w:tc>
                <w:tcPr>
                  <w:tcW w:w="4066" w:type="pct"/>
                  <w:tcBorders>
                    <w:top w:val="single" w:color="000000" w:sz="4" w:space="0"/>
                    <w:left w:val="single" w:color="auto" w:sz="4" w:space="0"/>
                    <w:bottom w:val="single" w:color="000000" w:sz="4" w:space="0"/>
                    <w:right w:val="single" w:color="000000" w:sz="4" w:space="0"/>
                  </w:tcBorders>
                  <w:noWrap w:val="0"/>
                  <w:vAlign w:val="center"/>
                </w:tcPr>
                <w:p w14:paraId="0A695A8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1次/年</w:t>
                  </w:r>
                </w:p>
              </w:tc>
            </w:tr>
            <w:tr w14:paraId="6FCC8866">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3A694D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排放浓度mg/m</w:t>
                  </w:r>
                  <w:r>
                    <w:rPr>
                      <w:rFonts w:hint="default" w:ascii="Times New Roman" w:hAnsi="Times New Roman" w:cs="Times New Roman"/>
                      <w:color w:val="000000" w:themeColor="text1"/>
                      <w:szCs w:val="21"/>
                      <w:vertAlign w:val="superscript"/>
                      <w14:textFill>
                        <w14:solidFill>
                          <w14:schemeClr w14:val="tx1"/>
                        </w14:solidFill>
                      </w14:textFill>
                    </w:rPr>
                    <w:t>3</w:t>
                  </w:r>
                </w:p>
              </w:tc>
              <w:tc>
                <w:tcPr>
                  <w:tcW w:w="4066" w:type="pct"/>
                  <w:tcBorders>
                    <w:top w:val="single" w:color="000000" w:sz="4" w:space="0"/>
                    <w:left w:val="single" w:color="auto" w:sz="4" w:space="0"/>
                    <w:bottom w:val="single" w:color="000000" w:sz="4" w:space="0"/>
                    <w:right w:val="single" w:color="000000" w:sz="4" w:space="0"/>
                  </w:tcBorders>
                  <w:noWrap/>
                  <w:vAlign w:val="center"/>
                </w:tcPr>
                <w:p w14:paraId="1E5D166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173.64</w:t>
                  </w:r>
                </w:p>
              </w:tc>
            </w:tr>
            <w:tr w14:paraId="620119D0">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10DEEF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持续时间h</w:t>
                  </w:r>
                </w:p>
              </w:tc>
              <w:tc>
                <w:tcPr>
                  <w:tcW w:w="4066" w:type="pct"/>
                  <w:tcBorders>
                    <w:top w:val="single" w:color="000000" w:sz="4" w:space="0"/>
                    <w:left w:val="single" w:color="auto" w:sz="4" w:space="0"/>
                    <w:bottom w:val="single" w:color="000000" w:sz="4" w:space="0"/>
                    <w:right w:val="single" w:color="000000" w:sz="4" w:space="0"/>
                  </w:tcBorders>
                  <w:noWrap w:val="0"/>
                  <w:vAlign w:val="center"/>
                </w:tcPr>
                <w:p w14:paraId="5594494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1h</w:t>
                  </w:r>
                </w:p>
              </w:tc>
            </w:tr>
            <w:tr w14:paraId="7B58D32D">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5348DD8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排放量kg</w:t>
                  </w:r>
                </w:p>
              </w:tc>
              <w:tc>
                <w:tcPr>
                  <w:tcW w:w="4066" w:type="pct"/>
                  <w:tcBorders>
                    <w:top w:val="single" w:color="000000" w:sz="4" w:space="0"/>
                    <w:left w:val="single" w:color="auto" w:sz="4" w:space="0"/>
                    <w:bottom w:val="single" w:color="000000" w:sz="4" w:space="0"/>
                    <w:right w:val="single" w:color="000000" w:sz="4" w:space="0"/>
                  </w:tcBorders>
                  <w:noWrap/>
                  <w:vAlign w:val="center"/>
                </w:tcPr>
                <w:p w14:paraId="4FC0E7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37.88</w:t>
                  </w:r>
                </w:p>
              </w:tc>
            </w:tr>
            <w:tr w14:paraId="103A8A3A">
              <w:tblPrEx>
                <w:tblCellMar>
                  <w:top w:w="0" w:type="dxa"/>
                  <w:left w:w="108" w:type="dxa"/>
                  <w:bottom w:w="0" w:type="dxa"/>
                  <w:right w:w="108" w:type="dxa"/>
                </w:tblCellMar>
              </w:tblPrEx>
              <w:trPr>
                <w:trHeight w:val="397" w:hRule="atLeast"/>
                <w:jc w:val="center"/>
              </w:trPr>
              <w:tc>
                <w:tcPr>
                  <w:tcW w:w="933" w:type="pct"/>
                  <w:tcBorders>
                    <w:top w:val="single" w:color="000000" w:sz="4" w:space="0"/>
                    <w:left w:val="single" w:color="000000" w:sz="4" w:space="0"/>
                    <w:bottom w:val="single" w:color="000000" w:sz="4" w:space="0"/>
                    <w:right w:val="single" w:color="000000" w:sz="4" w:space="0"/>
                  </w:tcBorders>
                  <w:noWrap w:val="0"/>
                  <w:vAlign w:val="center"/>
                </w:tcPr>
                <w:p w14:paraId="5030734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防治措施</w:t>
                  </w:r>
                </w:p>
              </w:tc>
              <w:tc>
                <w:tcPr>
                  <w:tcW w:w="4066" w:type="pct"/>
                  <w:tcBorders>
                    <w:top w:val="single" w:color="000000" w:sz="4" w:space="0"/>
                    <w:left w:val="single" w:color="auto" w:sz="4" w:space="0"/>
                    <w:bottom w:val="single" w:color="000000" w:sz="4" w:space="0"/>
                    <w:right w:val="single" w:color="000000" w:sz="4" w:space="0"/>
                  </w:tcBorders>
                  <w:noWrap w:val="0"/>
                  <w:vAlign w:val="center"/>
                </w:tcPr>
                <w:p w14:paraId="6B8D5F74">
                  <w:pPr>
                    <w:keepNext w:val="0"/>
                    <w:keepLines w:val="0"/>
                    <w:widowControl/>
                    <w:suppressLineNumbers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严格控制生产，及时检查设备运行情况；加强低氮燃烧器的维护，定期检查，当出现非正常排放时（低氮燃烧器非正常工作），建设单位应采取紧急处理措施，暂时停止生产，及时维修，直到低氮燃烧器正常运转，坚决杜绝非正常排放。</w:t>
                  </w:r>
                </w:p>
              </w:tc>
            </w:tr>
          </w:tbl>
          <w:p w14:paraId="0B18F1AC">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⑹废气环境影响分析</w:t>
            </w:r>
          </w:p>
          <w:p w14:paraId="30041B78">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项目在采取评价提出的污染防治措施后，污染物排放量较小，可达标排放。</w:t>
            </w:r>
          </w:p>
          <w:p w14:paraId="775078F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2、水环境影响</w:t>
            </w:r>
            <w:r>
              <w:rPr>
                <w:rFonts w:hint="eastAsia" w:ascii="Times New Roman" w:hAnsi="Times New Roman" w:cs="Times New Roman"/>
                <w:color w:val="000000" w:themeColor="text1"/>
                <w:sz w:val="24"/>
                <w:szCs w:val="24"/>
                <w:lang w:val="en-US" w:eastAsia="zh-CN"/>
                <w14:textFill>
                  <w14:solidFill>
                    <w14:schemeClr w14:val="tx1"/>
                  </w14:solidFill>
                </w14:textFill>
              </w:rPr>
              <w:t>评价</w:t>
            </w:r>
          </w:p>
          <w:p w14:paraId="2B0721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污染源强及达标分析</w:t>
            </w:r>
          </w:p>
          <w:p w14:paraId="5A2FD99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本项目排水主要是锅炉房工作人员生活污水、锅炉定期排水、软水制备系统排水，本项目废水产排具体排放情况见下表。</w:t>
            </w:r>
          </w:p>
          <w:p w14:paraId="56164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废水</w:t>
            </w: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污染物产生情况</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
              <w:gridCol w:w="438"/>
              <w:gridCol w:w="824"/>
              <w:gridCol w:w="846"/>
              <w:gridCol w:w="730"/>
              <w:gridCol w:w="824"/>
              <w:gridCol w:w="651"/>
              <w:gridCol w:w="760"/>
              <w:gridCol w:w="713"/>
              <w:gridCol w:w="760"/>
              <w:gridCol w:w="867"/>
              <w:gridCol w:w="601"/>
            </w:tblGrid>
            <w:tr w14:paraId="4F82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13" w:type="pct"/>
                  <w:vMerge w:val="restart"/>
                  <w:tcBorders>
                    <w:tl2br w:val="nil"/>
                    <w:tr2bl w:val="nil"/>
                  </w:tcBorders>
                  <w:noWrap w:val="0"/>
                  <w:vAlign w:val="center"/>
                </w:tcPr>
                <w:p w14:paraId="047E06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序号</w:t>
                  </w:r>
                </w:p>
              </w:tc>
              <w:tc>
                <w:tcPr>
                  <w:tcW w:w="279" w:type="pct"/>
                  <w:vMerge w:val="restart"/>
                  <w:tcBorders>
                    <w:tl2br w:val="nil"/>
                    <w:tr2bl w:val="nil"/>
                  </w:tcBorders>
                  <w:noWrap w:val="0"/>
                  <w:vAlign w:val="center"/>
                </w:tcPr>
                <w:p w14:paraId="7FDA5F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产排污环节</w:t>
                  </w:r>
                </w:p>
              </w:tc>
              <w:tc>
                <w:tcPr>
                  <w:tcW w:w="506" w:type="pct"/>
                  <w:vMerge w:val="restart"/>
                  <w:tcBorders>
                    <w:tl2br w:val="nil"/>
                    <w:tr2bl w:val="nil"/>
                  </w:tcBorders>
                  <w:noWrap w:val="0"/>
                  <w:vAlign w:val="center"/>
                </w:tcPr>
                <w:p w14:paraId="090362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污染物种类</w:t>
                  </w:r>
                </w:p>
              </w:tc>
              <w:tc>
                <w:tcPr>
                  <w:tcW w:w="365" w:type="pct"/>
                  <w:vMerge w:val="restart"/>
                  <w:tcBorders>
                    <w:tl2br w:val="nil"/>
                    <w:tr2bl w:val="nil"/>
                  </w:tcBorders>
                  <w:noWrap w:val="0"/>
                  <w:vAlign w:val="center"/>
                </w:tcPr>
                <w:p w14:paraId="53A36D9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产生量m</w:t>
                  </w:r>
                  <w:r>
                    <w:rPr>
                      <w:rFonts w:hint="default" w:ascii="Times New Roman" w:hAnsi="Times New Roman" w:eastAsia="宋体" w:cs="Times New Roman"/>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/a</w:t>
                  </w:r>
                </w:p>
              </w:tc>
              <w:tc>
                <w:tcPr>
                  <w:tcW w:w="954" w:type="pct"/>
                  <w:gridSpan w:val="2"/>
                  <w:tcBorders>
                    <w:tl2br w:val="nil"/>
                    <w:tr2bl w:val="nil"/>
                  </w:tcBorders>
                  <w:noWrap w:val="0"/>
                  <w:vAlign w:val="center"/>
                </w:tcPr>
                <w:p w14:paraId="16456C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污染物</w:t>
                  </w:r>
                </w:p>
              </w:tc>
              <w:tc>
                <w:tcPr>
                  <w:tcW w:w="402" w:type="pct"/>
                  <w:vMerge w:val="restart"/>
                  <w:tcBorders>
                    <w:tl2br w:val="nil"/>
                    <w:tr2bl w:val="nil"/>
                  </w:tcBorders>
                  <w:noWrap w:val="0"/>
                  <w:vAlign w:val="center"/>
                </w:tcPr>
                <w:p w14:paraId="713404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治理</w:t>
                  </w:r>
                </w:p>
                <w:p w14:paraId="5B33B6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设施</w:t>
                  </w:r>
                </w:p>
              </w:tc>
              <w:tc>
                <w:tcPr>
                  <w:tcW w:w="467" w:type="pct"/>
                  <w:vMerge w:val="restart"/>
                  <w:tcBorders>
                    <w:tl2br w:val="nil"/>
                    <w:tr2bl w:val="nil"/>
                  </w:tcBorders>
                  <w:noWrap w:val="0"/>
                  <w:vAlign w:val="center"/>
                </w:tcPr>
                <w:p w14:paraId="1F45A3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处理效率（%）</w:t>
                  </w:r>
                </w:p>
              </w:tc>
              <w:tc>
                <w:tcPr>
                  <w:tcW w:w="439" w:type="pct"/>
                  <w:vMerge w:val="restart"/>
                  <w:tcBorders>
                    <w:tl2br w:val="nil"/>
                    <w:tr2bl w:val="nil"/>
                  </w:tcBorders>
                  <w:noWrap w:val="0"/>
                  <w:vAlign w:val="center"/>
                </w:tcPr>
                <w:p w14:paraId="447B0F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排放量</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/a</w:t>
                  </w:r>
                </w:p>
              </w:tc>
              <w:tc>
                <w:tcPr>
                  <w:tcW w:w="998" w:type="pct"/>
                  <w:gridSpan w:val="2"/>
                  <w:tcBorders>
                    <w:tl2br w:val="nil"/>
                    <w:tr2bl w:val="nil"/>
                  </w:tcBorders>
                  <w:noWrap w:val="0"/>
                  <w:vAlign w:val="center"/>
                </w:tcPr>
                <w:p w14:paraId="596780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污染物</w:t>
                  </w:r>
                </w:p>
              </w:tc>
              <w:tc>
                <w:tcPr>
                  <w:tcW w:w="372" w:type="pct"/>
                  <w:vMerge w:val="restart"/>
                  <w:tcBorders>
                    <w:tl2br w:val="nil"/>
                    <w:tr2bl w:val="nil"/>
                  </w:tcBorders>
                  <w:noWrap w:val="0"/>
                  <w:vAlign w:val="center"/>
                </w:tcPr>
                <w:p w14:paraId="4B327A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排放方式</w:t>
                  </w:r>
                </w:p>
              </w:tc>
            </w:tr>
            <w:tr w14:paraId="19C6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213" w:type="pct"/>
                  <w:vMerge w:val="continue"/>
                  <w:tcBorders>
                    <w:tl2br w:val="nil"/>
                    <w:tr2bl w:val="nil"/>
                  </w:tcBorders>
                  <w:noWrap w:val="0"/>
                  <w:vAlign w:val="center"/>
                </w:tcPr>
                <w:p w14:paraId="32F33E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3B2AE3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vMerge w:val="continue"/>
                  <w:tcBorders>
                    <w:tl2br w:val="nil"/>
                    <w:tr2bl w:val="nil"/>
                  </w:tcBorders>
                  <w:noWrap w:val="0"/>
                  <w:vAlign w:val="center"/>
                </w:tcPr>
                <w:p w14:paraId="644EA9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365" w:type="pct"/>
                  <w:vMerge w:val="continue"/>
                  <w:tcBorders>
                    <w:tl2br w:val="nil"/>
                    <w:tr2bl w:val="nil"/>
                  </w:tcBorders>
                  <w:noWrap w:val="0"/>
                  <w:vAlign w:val="center"/>
                </w:tcPr>
                <w:p w14:paraId="7E1AA60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449" w:type="pct"/>
                  <w:tcBorders>
                    <w:tl2br w:val="nil"/>
                    <w:tr2bl w:val="nil"/>
                  </w:tcBorders>
                  <w:noWrap w:val="0"/>
                  <w:vAlign w:val="center"/>
                </w:tcPr>
                <w:p w14:paraId="24C620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产生浓度mg/L</w:t>
                  </w:r>
                </w:p>
              </w:tc>
              <w:tc>
                <w:tcPr>
                  <w:tcW w:w="505" w:type="pct"/>
                  <w:tcBorders>
                    <w:tl2br w:val="nil"/>
                    <w:tr2bl w:val="nil"/>
                  </w:tcBorders>
                  <w:noWrap w:val="0"/>
                  <w:vAlign w:val="center"/>
                </w:tcPr>
                <w:p w14:paraId="2D8549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产生量t/a</w:t>
                  </w:r>
                </w:p>
              </w:tc>
              <w:tc>
                <w:tcPr>
                  <w:tcW w:w="402" w:type="pct"/>
                  <w:vMerge w:val="continue"/>
                  <w:tcBorders>
                    <w:tl2br w:val="nil"/>
                    <w:tr2bl w:val="nil"/>
                  </w:tcBorders>
                  <w:noWrap w:val="0"/>
                  <w:vAlign w:val="center"/>
                </w:tcPr>
                <w:p w14:paraId="34D27F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467" w:type="pct"/>
                  <w:vMerge w:val="continue"/>
                  <w:tcBorders>
                    <w:tl2br w:val="nil"/>
                    <w:tr2bl w:val="nil"/>
                  </w:tcBorders>
                  <w:noWrap w:val="0"/>
                  <w:vAlign w:val="center"/>
                </w:tcPr>
                <w:p w14:paraId="624708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439" w:type="pct"/>
                  <w:vMerge w:val="continue"/>
                  <w:tcBorders>
                    <w:tl2br w:val="nil"/>
                    <w:tr2bl w:val="nil"/>
                  </w:tcBorders>
                  <w:noWrap w:val="0"/>
                  <w:vAlign w:val="center"/>
                </w:tcPr>
                <w:p w14:paraId="7AF9BD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467" w:type="pct"/>
                  <w:tcBorders>
                    <w:tl2br w:val="nil"/>
                    <w:tr2bl w:val="nil"/>
                  </w:tcBorders>
                  <w:noWrap w:val="0"/>
                  <w:vAlign w:val="center"/>
                </w:tcPr>
                <w:p w14:paraId="432000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排放浓度mg/L</w:t>
                  </w:r>
                </w:p>
              </w:tc>
              <w:tc>
                <w:tcPr>
                  <w:tcW w:w="531" w:type="pct"/>
                  <w:tcBorders>
                    <w:tl2br w:val="nil"/>
                    <w:tr2bl w:val="nil"/>
                  </w:tcBorders>
                  <w:noWrap w:val="0"/>
                  <w:vAlign w:val="center"/>
                </w:tcPr>
                <w:p w14:paraId="1A156D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排放量t/a</w:t>
                  </w:r>
                </w:p>
              </w:tc>
              <w:tc>
                <w:tcPr>
                  <w:tcW w:w="372" w:type="pct"/>
                  <w:vMerge w:val="continue"/>
                  <w:tcBorders>
                    <w:tl2br w:val="nil"/>
                    <w:tr2bl w:val="nil"/>
                  </w:tcBorders>
                  <w:noWrap w:val="0"/>
                  <w:vAlign w:val="center"/>
                </w:tcPr>
                <w:p w14:paraId="5BF020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66ED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restart"/>
                  <w:tcBorders>
                    <w:tl2br w:val="nil"/>
                    <w:tr2bl w:val="nil"/>
                  </w:tcBorders>
                  <w:noWrap w:val="0"/>
                  <w:vAlign w:val="center"/>
                </w:tcPr>
                <w:p w14:paraId="0E96AA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w:t>
                  </w:r>
                </w:p>
              </w:tc>
              <w:tc>
                <w:tcPr>
                  <w:tcW w:w="279" w:type="pct"/>
                  <w:vMerge w:val="restart"/>
                  <w:tcBorders>
                    <w:tl2br w:val="nil"/>
                    <w:tr2bl w:val="nil"/>
                  </w:tcBorders>
                  <w:noWrap w:val="0"/>
                  <w:vAlign w:val="center"/>
                </w:tcPr>
                <w:p w14:paraId="4EAC73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p>
                <w:p w14:paraId="0F9072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生活污水</w:t>
                  </w:r>
                </w:p>
              </w:tc>
              <w:tc>
                <w:tcPr>
                  <w:tcW w:w="506" w:type="pct"/>
                  <w:tcBorders>
                    <w:tl2br w:val="nil"/>
                    <w:tr2bl w:val="nil"/>
                  </w:tcBorders>
                  <w:noWrap w:val="0"/>
                  <w:vAlign w:val="center"/>
                </w:tcPr>
                <w:p w14:paraId="70BA30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COD</w:t>
                  </w:r>
                </w:p>
              </w:tc>
              <w:tc>
                <w:tcPr>
                  <w:tcW w:w="365" w:type="pct"/>
                  <w:vMerge w:val="restart"/>
                  <w:tcBorders>
                    <w:tl2br w:val="nil"/>
                    <w:tr2bl w:val="nil"/>
                  </w:tcBorders>
                  <w:noWrap w:val="0"/>
                  <w:vAlign w:val="center"/>
                </w:tcPr>
                <w:p w14:paraId="5FFB9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200</w:t>
                  </w:r>
                </w:p>
              </w:tc>
              <w:tc>
                <w:tcPr>
                  <w:tcW w:w="721" w:type="dxa"/>
                  <w:tcBorders>
                    <w:tl2br w:val="nil"/>
                    <w:tr2bl w:val="nil"/>
                  </w:tcBorders>
                  <w:noWrap w:val="0"/>
                  <w:vAlign w:val="center"/>
                </w:tcPr>
                <w:p w14:paraId="0CE8B6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350</w:t>
                  </w:r>
                </w:p>
              </w:tc>
              <w:tc>
                <w:tcPr>
                  <w:tcW w:w="816" w:type="dxa"/>
                  <w:tcBorders>
                    <w:tl2br w:val="nil"/>
                    <w:tr2bl w:val="nil"/>
                  </w:tcBorders>
                  <w:noWrap w:val="0"/>
                  <w:vAlign w:val="center"/>
                </w:tcPr>
                <w:p w14:paraId="442040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0.07</w:t>
                  </w:r>
                </w:p>
              </w:tc>
              <w:tc>
                <w:tcPr>
                  <w:tcW w:w="643" w:type="dxa"/>
                  <w:vMerge w:val="restart"/>
                  <w:tcBorders>
                    <w:tl2br w:val="nil"/>
                    <w:tr2bl w:val="nil"/>
                  </w:tcBorders>
                  <w:noWrap w:val="0"/>
                  <w:vAlign w:val="center"/>
                </w:tcPr>
                <w:p w14:paraId="52653B4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化粪池</w:t>
                  </w:r>
                </w:p>
              </w:tc>
              <w:tc>
                <w:tcPr>
                  <w:tcW w:w="752" w:type="dxa"/>
                  <w:tcBorders>
                    <w:tl2br w:val="nil"/>
                    <w:tr2bl w:val="nil"/>
                  </w:tcBorders>
                  <w:noWrap w:val="0"/>
                  <w:vAlign w:val="center"/>
                </w:tcPr>
                <w:p w14:paraId="78DB22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w:t>
                  </w:r>
                </w:p>
              </w:tc>
              <w:tc>
                <w:tcPr>
                  <w:tcW w:w="795" w:type="dxa"/>
                  <w:vMerge w:val="restart"/>
                  <w:tcBorders>
                    <w:tl2br w:val="nil"/>
                    <w:tr2bl w:val="nil"/>
                  </w:tcBorders>
                  <w:noWrap w:val="0"/>
                  <w:vAlign w:val="center"/>
                </w:tcPr>
                <w:p w14:paraId="2AEDED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40.88</w:t>
                  </w:r>
                </w:p>
              </w:tc>
              <w:tc>
                <w:tcPr>
                  <w:tcW w:w="752" w:type="dxa"/>
                  <w:tcBorders>
                    <w:tl2br w:val="nil"/>
                    <w:tr2bl w:val="nil"/>
                  </w:tcBorders>
                  <w:noWrap w:val="0"/>
                  <w:vAlign w:val="center"/>
                </w:tcPr>
                <w:p w14:paraId="75F3D4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297</w:t>
                  </w:r>
                </w:p>
              </w:tc>
              <w:tc>
                <w:tcPr>
                  <w:tcW w:w="859" w:type="dxa"/>
                  <w:tcBorders>
                    <w:tl2br w:val="nil"/>
                    <w:tr2bl w:val="nil"/>
                  </w:tcBorders>
                  <w:noWrap w:val="0"/>
                  <w:vAlign w:val="center"/>
                </w:tcPr>
                <w:p w14:paraId="5E16611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0.0594</w:t>
                  </w:r>
                </w:p>
              </w:tc>
              <w:tc>
                <w:tcPr>
                  <w:tcW w:w="372" w:type="pct"/>
                  <w:vMerge w:val="restart"/>
                  <w:tcBorders>
                    <w:tl2br w:val="nil"/>
                    <w:tr2bl w:val="nil"/>
                  </w:tcBorders>
                  <w:noWrap w:val="0"/>
                  <w:vAlign w:val="center"/>
                </w:tcPr>
                <w:p w14:paraId="690633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经管网</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进入陕西西凤酒基酒生产有限公司污水处理厂</w:t>
                  </w:r>
                </w:p>
              </w:tc>
            </w:tr>
            <w:tr w14:paraId="58E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continue"/>
                  <w:tcBorders>
                    <w:tl2br w:val="nil"/>
                    <w:tr2bl w:val="nil"/>
                  </w:tcBorders>
                  <w:noWrap w:val="0"/>
                  <w:vAlign w:val="center"/>
                </w:tcPr>
                <w:p w14:paraId="6A7FE9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321460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tcBorders>
                    <w:tl2br w:val="nil"/>
                    <w:tr2bl w:val="nil"/>
                  </w:tcBorders>
                  <w:noWrap w:val="0"/>
                  <w:vAlign w:val="center"/>
                </w:tcPr>
                <w:p w14:paraId="418173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BOD</w:t>
                  </w:r>
                  <w:r>
                    <w:rPr>
                      <w:rFonts w:hint="default" w:ascii="Times New Roman" w:hAnsi="Times New Roman" w:eastAsia="宋体" w:cs="Times New Roman"/>
                      <w:b w:val="0"/>
                      <w:bCs w:val="0"/>
                      <w:color w:val="000000" w:themeColor="text1"/>
                      <w:kern w:val="2"/>
                      <w:sz w:val="21"/>
                      <w:szCs w:val="21"/>
                      <w:highlight w:val="none"/>
                      <w:vertAlign w:val="subscript"/>
                      <w:lang w:val="en-US" w:eastAsia="zh-CN" w:bidi="ar-SA"/>
                      <w14:textFill>
                        <w14:solidFill>
                          <w14:schemeClr w14:val="tx1"/>
                        </w14:solidFill>
                      </w14:textFill>
                    </w:rPr>
                    <w:t>5</w:t>
                  </w:r>
                </w:p>
              </w:tc>
              <w:tc>
                <w:tcPr>
                  <w:tcW w:w="365" w:type="pct"/>
                  <w:vMerge w:val="continue"/>
                  <w:tcBorders>
                    <w:tl2br w:val="nil"/>
                    <w:tr2bl w:val="nil"/>
                  </w:tcBorders>
                  <w:noWrap w:val="0"/>
                  <w:vAlign w:val="center"/>
                </w:tcPr>
                <w:p w14:paraId="78B72D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21" w:type="dxa"/>
                  <w:tcBorders>
                    <w:tl2br w:val="nil"/>
                    <w:tr2bl w:val="nil"/>
                  </w:tcBorders>
                  <w:noWrap w:val="0"/>
                  <w:vAlign w:val="center"/>
                </w:tcPr>
                <w:p w14:paraId="534B32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150</w:t>
                  </w:r>
                </w:p>
              </w:tc>
              <w:tc>
                <w:tcPr>
                  <w:tcW w:w="816" w:type="dxa"/>
                  <w:tcBorders>
                    <w:tl2br w:val="nil"/>
                    <w:tr2bl w:val="nil"/>
                  </w:tcBorders>
                  <w:noWrap w:val="0"/>
                  <w:vAlign w:val="center"/>
                </w:tcPr>
                <w:p w14:paraId="45333C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0.03</w:t>
                  </w:r>
                </w:p>
              </w:tc>
              <w:tc>
                <w:tcPr>
                  <w:tcW w:w="643" w:type="dxa"/>
                  <w:vMerge w:val="continue"/>
                  <w:tcBorders>
                    <w:tl2br w:val="nil"/>
                    <w:tr2bl w:val="nil"/>
                  </w:tcBorders>
                  <w:noWrap w:val="0"/>
                  <w:vAlign w:val="center"/>
                </w:tcPr>
                <w:p w14:paraId="3BF492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08FC76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9</w:t>
                  </w:r>
                </w:p>
              </w:tc>
              <w:tc>
                <w:tcPr>
                  <w:tcW w:w="795" w:type="dxa"/>
                  <w:vMerge w:val="continue"/>
                  <w:tcBorders>
                    <w:tl2br w:val="nil"/>
                    <w:tr2bl w:val="nil"/>
                  </w:tcBorders>
                  <w:noWrap w:val="0"/>
                  <w:vAlign w:val="center"/>
                </w:tcPr>
                <w:p w14:paraId="3133C5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4BAA51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136</w:t>
                  </w:r>
                </w:p>
              </w:tc>
              <w:tc>
                <w:tcPr>
                  <w:tcW w:w="859" w:type="dxa"/>
                  <w:tcBorders>
                    <w:tl2br w:val="nil"/>
                    <w:tr2bl w:val="nil"/>
                  </w:tcBorders>
                  <w:noWrap w:val="0"/>
                  <w:vAlign w:val="center"/>
                </w:tcPr>
                <w:p w14:paraId="574FF6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0.0272</w:t>
                  </w:r>
                </w:p>
              </w:tc>
              <w:tc>
                <w:tcPr>
                  <w:tcW w:w="372" w:type="pct"/>
                  <w:vMerge w:val="continue"/>
                  <w:tcBorders>
                    <w:tl2br w:val="nil"/>
                    <w:tr2bl w:val="nil"/>
                  </w:tcBorders>
                  <w:noWrap w:val="0"/>
                  <w:vAlign w:val="center"/>
                </w:tcPr>
                <w:p w14:paraId="723AC5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06E9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continue"/>
                  <w:tcBorders>
                    <w:tl2br w:val="nil"/>
                    <w:tr2bl w:val="nil"/>
                  </w:tcBorders>
                  <w:noWrap w:val="0"/>
                  <w:vAlign w:val="center"/>
                </w:tcPr>
                <w:p w14:paraId="23BA2E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6AB435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tcBorders>
                    <w:tl2br w:val="nil"/>
                    <w:tr2bl w:val="nil"/>
                  </w:tcBorders>
                  <w:noWrap w:val="0"/>
                  <w:vAlign w:val="center"/>
                </w:tcPr>
                <w:p w14:paraId="7F2907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SS</w:t>
                  </w:r>
                </w:p>
              </w:tc>
              <w:tc>
                <w:tcPr>
                  <w:tcW w:w="365" w:type="pct"/>
                  <w:vMerge w:val="continue"/>
                  <w:tcBorders>
                    <w:tl2br w:val="nil"/>
                    <w:tr2bl w:val="nil"/>
                  </w:tcBorders>
                  <w:noWrap w:val="0"/>
                  <w:vAlign w:val="center"/>
                </w:tcPr>
                <w:p w14:paraId="5446B8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21" w:type="dxa"/>
                  <w:tcBorders>
                    <w:tl2br w:val="nil"/>
                    <w:tr2bl w:val="nil"/>
                  </w:tcBorders>
                  <w:noWrap w:val="0"/>
                  <w:vAlign w:val="center"/>
                </w:tcPr>
                <w:p w14:paraId="3F452A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200</w:t>
                  </w:r>
                </w:p>
              </w:tc>
              <w:tc>
                <w:tcPr>
                  <w:tcW w:w="816" w:type="dxa"/>
                  <w:tcBorders>
                    <w:tl2br w:val="nil"/>
                    <w:tr2bl w:val="nil"/>
                  </w:tcBorders>
                  <w:noWrap w:val="0"/>
                  <w:vAlign w:val="center"/>
                </w:tcPr>
                <w:p w14:paraId="6EF0F4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0.04</w:t>
                  </w:r>
                </w:p>
              </w:tc>
              <w:tc>
                <w:tcPr>
                  <w:tcW w:w="643" w:type="dxa"/>
                  <w:vMerge w:val="continue"/>
                  <w:tcBorders>
                    <w:tl2br w:val="nil"/>
                    <w:tr2bl w:val="nil"/>
                  </w:tcBorders>
                  <w:noWrap w:val="0"/>
                  <w:vAlign w:val="center"/>
                </w:tcPr>
                <w:p w14:paraId="084784C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42188D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30</w:t>
                  </w:r>
                </w:p>
              </w:tc>
              <w:tc>
                <w:tcPr>
                  <w:tcW w:w="795" w:type="dxa"/>
                  <w:vMerge w:val="continue"/>
                  <w:tcBorders>
                    <w:tl2br w:val="nil"/>
                    <w:tr2bl w:val="nil"/>
                  </w:tcBorders>
                  <w:noWrap w:val="0"/>
                  <w:vAlign w:val="center"/>
                </w:tcPr>
                <w:p w14:paraId="434847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32C87B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140</w:t>
                  </w:r>
                </w:p>
              </w:tc>
              <w:tc>
                <w:tcPr>
                  <w:tcW w:w="859" w:type="dxa"/>
                  <w:tcBorders>
                    <w:tl2br w:val="nil"/>
                    <w:tr2bl w:val="nil"/>
                  </w:tcBorders>
                  <w:noWrap w:val="0"/>
                  <w:vAlign w:val="center"/>
                </w:tcPr>
                <w:p w14:paraId="5C8D02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0.028</w:t>
                  </w:r>
                </w:p>
              </w:tc>
              <w:tc>
                <w:tcPr>
                  <w:tcW w:w="372" w:type="pct"/>
                  <w:vMerge w:val="continue"/>
                  <w:tcBorders>
                    <w:tl2br w:val="nil"/>
                    <w:tr2bl w:val="nil"/>
                  </w:tcBorders>
                  <w:noWrap w:val="0"/>
                  <w:vAlign w:val="center"/>
                </w:tcPr>
                <w:p w14:paraId="55CCE3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3146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continue"/>
                  <w:tcBorders>
                    <w:tl2br w:val="nil"/>
                    <w:tr2bl w:val="nil"/>
                  </w:tcBorders>
                  <w:noWrap w:val="0"/>
                  <w:vAlign w:val="center"/>
                </w:tcPr>
                <w:p w14:paraId="2BEE47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5E8E13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tcBorders>
                    <w:tl2br w:val="nil"/>
                    <w:tr2bl w:val="nil"/>
                  </w:tcBorders>
                  <w:noWrap w:val="0"/>
                  <w:vAlign w:val="center"/>
                </w:tcPr>
                <w:p w14:paraId="76C37F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NH</w:t>
                  </w:r>
                  <w:r>
                    <w:rPr>
                      <w:rFonts w:hint="default" w:ascii="Times New Roman" w:hAnsi="Times New Roman" w:eastAsia="宋体" w:cs="Times New Roman"/>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-N</w:t>
                  </w:r>
                </w:p>
              </w:tc>
              <w:tc>
                <w:tcPr>
                  <w:tcW w:w="365" w:type="pct"/>
                  <w:vMerge w:val="continue"/>
                  <w:tcBorders>
                    <w:tl2br w:val="nil"/>
                    <w:tr2bl w:val="nil"/>
                  </w:tcBorders>
                  <w:noWrap w:val="0"/>
                  <w:vAlign w:val="center"/>
                </w:tcPr>
                <w:p w14:paraId="3282B12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21" w:type="dxa"/>
                  <w:tcBorders>
                    <w:tl2br w:val="nil"/>
                    <w:tr2bl w:val="nil"/>
                  </w:tcBorders>
                  <w:noWrap w:val="0"/>
                  <w:vAlign w:val="center"/>
                </w:tcPr>
                <w:p w14:paraId="62F007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35</w:t>
                  </w:r>
                </w:p>
              </w:tc>
              <w:tc>
                <w:tcPr>
                  <w:tcW w:w="816" w:type="dxa"/>
                  <w:tcBorders>
                    <w:tl2br w:val="nil"/>
                    <w:tr2bl w:val="nil"/>
                  </w:tcBorders>
                  <w:noWrap w:val="0"/>
                  <w:vAlign w:val="center"/>
                </w:tcPr>
                <w:p w14:paraId="707215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0.007</w:t>
                  </w:r>
                </w:p>
              </w:tc>
              <w:tc>
                <w:tcPr>
                  <w:tcW w:w="643" w:type="dxa"/>
                  <w:vMerge w:val="continue"/>
                  <w:tcBorders>
                    <w:tl2br w:val="nil"/>
                    <w:tr2bl w:val="nil"/>
                  </w:tcBorders>
                  <w:noWrap w:val="0"/>
                  <w:vAlign w:val="center"/>
                </w:tcPr>
                <w:p w14:paraId="7C7B89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224EF0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w:t>
                  </w:r>
                </w:p>
              </w:tc>
              <w:tc>
                <w:tcPr>
                  <w:tcW w:w="795" w:type="dxa"/>
                  <w:vMerge w:val="continue"/>
                  <w:tcBorders>
                    <w:tl2br w:val="nil"/>
                    <w:tr2bl w:val="nil"/>
                  </w:tcBorders>
                  <w:noWrap w:val="0"/>
                  <w:vAlign w:val="center"/>
                </w:tcPr>
                <w:p w14:paraId="484C75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7DA129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34</w:t>
                  </w:r>
                </w:p>
              </w:tc>
              <w:tc>
                <w:tcPr>
                  <w:tcW w:w="859" w:type="dxa"/>
                  <w:tcBorders>
                    <w:tl2br w:val="nil"/>
                    <w:tr2bl w:val="nil"/>
                  </w:tcBorders>
                  <w:noWrap w:val="0"/>
                  <w:vAlign w:val="center"/>
                </w:tcPr>
                <w:p w14:paraId="79800C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0.0068</w:t>
                  </w:r>
                </w:p>
              </w:tc>
              <w:tc>
                <w:tcPr>
                  <w:tcW w:w="372" w:type="pct"/>
                  <w:vMerge w:val="continue"/>
                  <w:tcBorders>
                    <w:tl2br w:val="nil"/>
                    <w:tr2bl w:val="nil"/>
                  </w:tcBorders>
                  <w:noWrap w:val="0"/>
                  <w:vAlign w:val="center"/>
                </w:tcPr>
                <w:p w14:paraId="08ED9D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6EA3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continue"/>
                  <w:tcBorders>
                    <w:tl2br w:val="nil"/>
                    <w:tr2bl w:val="nil"/>
                  </w:tcBorders>
                  <w:noWrap w:val="0"/>
                  <w:vAlign w:val="center"/>
                </w:tcPr>
                <w:p w14:paraId="42688E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351DE9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tcBorders>
                    <w:tl2br w:val="nil"/>
                    <w:tr2bl w:val="nil"/>
                  </w:tcBorders>
                  <w:noWrap w:val="0"/>
                  <w:vAlign w:val="center"/>
                </w:tcPr>
                <w:p w14:paraId="038780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总磷</w:t>
                  </w:r>
                </w:p>
              </w:tc>
              <w:tc>
                <w:tcPr>
                  <w:tcW w:w="365" w:type="pct"/>
                  <w:vMerge w:val="continue"/>
                  <w:tcBorders>
                    <w:tl2br w:val="nil"/>
                    <w:tr2bl w:val="nil"/>
                  </w:tcBorders>
                  <w:noWrap w:val="0"/>
                  <w:vAlign w:val="center"/>
                </w:tcPr>
                <w:p w14:paraId="1EAC70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21" w:type="dxa"/>
                  <w:tcBorders>
                    <w:tl2br w:val="nil"/>
                    <w:tr2bl w:val="nil"/>
                  </w:tcBorders>
                  <w:noWrap w:val="0"/>
                  <w:vAlign w:val="center"/>
                </w:tcPr>
                <w:p w14:paraId="61D96B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w:t>
                  </w:r>
                </w:p>
              </w:tc>
              <w:tc>
                <w:tcPr>
                  <w:tcW w:w="816" w:type="dxa"/>
                  <w:tcBorders>
                    <w:tl2br w:val="nil"/>
                    <w:tr2bl w:val="nil"/>
                  </w:tcBorders>
                  <w:noWrap w:val="0"/>
                  <w:vAlign w:val="center"/>
                </w:tcPr>
                <w:p w14:paraId="2745B9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0.001</w:t>
                  </w:r>
                </w:p>
              </w:tc>
              <w:tc>
                <w:tcPr>
                  <w:tcW w:w="643" w:type="dxa"/>
                  <w:vMerge w:val="continue"/>
                  <w:tcBorders>
                    <w:tl2br w:val="nil"/>
                    <w:tr2bl w:val="nil"/>
                  </w:tcBorders>
                  <w:noWrap w:val="0"/>
                  <w:vAlign w:val="center"/>
                </w:tcPr>
                <w:p w14:paraId="580AFB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624CD95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795" w:type="dxa"/>
                  <w:vMerge w:val="continue"/>
                  <w:tcBorders>
                    <w:tl2br w:val="nil"/>
                    <w:tr2bl w:val="nil"/>
                  </w:tcBorders>
                  <w:noWrap w:val="0"/>
                  <w:vAlign w:val="center"/>
                </w:tcPr>
                <w:p w14:paraId="38D443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158078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5</w:t>
                  </w:r>
                </w:p>
              </w:tc>
              <w:tc>
                <w:tcPr>
                  <w:tcW w:w="859" w:type="dxa"/>
                  <w:tcBorders>
                    <w:tl2br w:val="nil"/>
                    <w:tr2bl w:val="nil"/>
                  </w:tcBorders>
                  <w:noWrap w:val="0"/>
                  <w:vAlign w:val="center"/>
                </w:tcPr>
                <w:p w14:paraId="4956AA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0.001</w:t>
                  </w:r>
                </w:p>
              </w:tc>
              <w:tc>
                <w:tcPr>
                  <w:tcW w:w="372" w:type="pct"/>
                  <w:vMerge w:val="continue"/>
                  <w:tcBorders>
                    <w:tl2br w:val="nil"/>
                    <w:tr2bl w:val="nil"/>
                  </w:tcBorders>
                  <w:noWrap w:val="0"/>
                  <w:vAlign w:val="center"/>
                </w:tcPr>
                <w:p w14:paraId="657206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0E5F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vMerge w:val="continue"/>
                  <w:tcBorders>
                    <w:tl2br w:val="nil"/>
                    <w:tr2bl w:val="nil"/>
                  </w:tcBorders>
                  <w:noWrap w:val="0"/>
                  <w:vAlign w:val="center"/>
                </w:tcPr>
                <w:p w14:paraId="726786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279" w:type="pct"/>
                  <w:vMerge w:val="continue"/>
                  <w:tcBorders>
                    <w:tl2br w:val="nil"/>
                    <w:tr2bl w:val="nil"/>
                  </w:tcBorders>
                  <w:noWrap w:val="0"/>
                  <w:vAlign w:val="center"/>
                </w:tcPr>
                <w:p w14:paraId="17EEC4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506" w:type="pct"/>
                  <w:tcBorders>
                    <w:tl2br w:val="nil"/>
                    <w:tr2bl w:val="nil"/>
                  </w:tcBorders>
                  <w:noWrap w:val="0"/>
                  <w:vAlign w:val="center"/>
                </w:tcPr>
                <w:p w14:paraId="3D705E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总氮</w:t>
                  </w:r>
                </w:p>
              </w:tc>
              <w:tc>
                <w:tcPr>
                  <w:tcW w:w="365" w:type="pct"/>
                  <w:vMerge w:val="continue"/>
                  <w:tcBorders>
                    <w:tl2br w:val="nil"/>
                    <w:tr2bl w:val="nil"/>
                  </w:tcBorders>
                  <w:noWrap w:val="0"/>
                  <w:vAlign w:val="center"/>
                </w:tcPr>
                <w:p w14:paraId="571D8C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21" w:type="dxa"/>
                  <w:tcBorders>
                    <w:tl2br w:val="nil"/>
                    <w:tr2bl w:val="nil"/>
                  </w:tcBorders>
                  <w:noWrap w:val="0"/>
                  <w:vAlign w:val="center"/>
                </w:tcPr>
                <w:p w14:paraId="55B2CA8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60</w:t>
                  </w:r>
                </w:p>
              </w:tc>
              <w:tc>
                <w:tcPr>
                  <w:tcW w:w="816" w:type="dxa"/>
                  <w:tcBorders>
                    <w:tl2br w:val="nil"/>
                    <w:tr2bl w:val="nil"/>
                  </w:tcBorders>
                  <w:noWrap w:val="0"/>
                  <w:vAlign w:val="center"/>
                </w:tcPr>
                <w:p w14:paraId="78B205A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0.012</w:t>
                  </w:r>
                </w:p>
              </w:tc>
              <w:tc>
                <w:tcPr>
                  <w:tcW w:w="643" w:type="dxa"/>
                  <w:vMerge w:val="continue"/>
                  <w:tcBorders>
                    <w:tl2br w:val="nil"/>
                    <w:tr2bl w:val="nil"/>
                  </w:tcBorders>
                  <w:noWrap w:val="0"/>
                  <w:vAlign w:val="center"/>
                </w:tcPr>
                <w:p w14:paraId="019DA8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56E2C9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w:t>
                  </w:r>
                </w:p>
              </w:tc>
              <w:tc>
                <w:tcPr>
                  <w:tcW w:w="795" w:type="dxa"/>
                  <w:vMerge w:val="continue"/>
                  <w:tcBorders>
                    <w:tl2br w:val="nil"/>
                    <w:tr2bl w:val="nil"/>
                  </w:tcBorders>
                  <w:noWrap w:val="0"/>
                  <w:vAlign w:val="center"/>
                </w:tcPr>
                <w:p w14:paraId="3BDF0E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012C3BB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60</w:t>
                  </w:r>
                </w:p>
              </w:tc>
              <w:tc>
                <w:tcPr>
                  <w:tcW w:w="859" w:type="dxa"/>
                  <w:tcBorders>
                    <w:tl2br w:val="nil"/>
                    <w:tr2bl w:val="nil"/>
                  </w:tcBorders>
                  <w:noWrap w:val="0"/>
                  <w:vAlign w:val="center"/>
                </w:tcPr>
                <w:p w14:paraId="38D0F8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0.012</w:t>
                  </w:r>
                </w:p>
              </w:tc>
              <w:tc>
                <w:tcPr>
                  <w:tcW w:w="372" w:type="pct"/>
                  <w:vMerge w:val="continue"/>
                  <w:tcBorders>
                    <w:tl2br w:val="nil"/>
                    <w:tr2bl w:val="nil"/>
                  </w:tcBorders>
                  <w:noWrap w:val="0"/>
                  <w:vAlign w:val="center"/>
                </w:tcPr>
                <w:p w14:paraId="4380B4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6AEB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3" w:type="pct"/>
                  <w:tcBorders>
                    <w:tl2br w:val="nil"/>
                    <w:tr2bl w:val="nil"/>
                  </w:tcBorders>
                  <w:noWrap w:val="0"/>
                  <w:vAlign w:val="center"/>
                </w:tcPr>
                <w:p w14:paraId="02C102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w:t>
                  </w:r>
                </w:p>
              </w:tc>
              <w:tc>
                <w:tcPr>
                  <w:tcW w:w="279" w:type="pct"/>
                  <w:tcBorders>
                    <w:tl2br w:val="nil"/>
                    <w:tr2bl w:val="nil"/>
                  </w:tcBorders>
                  <w:noWrap w:val="0"/>
                  <w:vAlign w:val="center"/>
                </w:tcPr>
                <w:p w14:paraId="164664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锅炉废水</w:t>
                  </w:r>
                </w:p>
              </w:tc>
              <w:tc>
                <w:tcPr>
                  <w:tcW w:w="506" w:type="pct"/>
                  <w:tcBorders>
                    <w:tl2br w:val="nil"/>
                    <w:tr2bl w:val="nil"/>
                  </w:tcBorders>
                  <w:noWrap w:val="0"/>
                  <w:vAlign w:val="center"/>
                </w:tcPr>
                <w:p w14:paraId="183563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SS</w:t>
                  </w:r>
                </w:p>
              </w:tc>
              <w:tc>
                <w:tcPr>
                  <w:tcW w:w="365" w:type="pct"/>
                  <w:tcBorders>
                    <w:tl2br w:val="nil"/>
                    <w:tr2bl w:val="nil"/>
                  </w:tcBorders>
                  <w:noWrap w:val="0"/>
                  <w:vAlign w:val="center"/>
                </w:tcPr>
                <w:p w14:paraId="503AA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148000</w:t>
                  </w:r>
                </w:p>
              </w:tc>
              <w:tc>
                <w:tcPr>
                  <w:tcW w:w="721" w:type="dxa"/>
                  <w:tcBorders>
                    <w:tl2br w:val="nil"/>
                    <w:tr2bl w:val="nil"/>
                  </w:tcBorders>
                  <w:noWrap w:val="0"/>
                  <w:vAlign w:val="center"/>
                </w:tcPr>
                <w:p w14:paraId="19E5E8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100</w:t>
                  </w:r>
                </w:p>
              </w:tc>
              <w:tc>
                <w:tcPr>
                  <w:tcW w:w="816" w:type="dxa"/>
                  <w:tcBorders>
                    <w:tl2br w:val="nil"/>
                    <w:tr2bl w:val="nil"/>
                  </w:tcBorders>
                  <w:noWrap w:val="0"/>
                  <w:vAlign w:val="center"/>
                </w:tcPr>
                <w:p w14:paraId="13EABC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14.8</w:t>
                  </w:r>
                </w:p>
              </w:tc>
              <w:tc>
                <w:tcPr>
                  <w:tcW w:w="643" w:type="dxa"/>
                  <w:vMerge w:val="continue"/>
                  <w:tcBorders>
                    <w:tl2br w:val="nil"/>
                    <w:tr2bl w:val="nil"/>
                  </w:tcBorders>
                  <w:noWrap w:val="0"/>
                  <w:vAlign w:val="center"/>
                </w:tcPr>
                <w:p w14:paraId="2EE65B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6436EE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30</w:t>
                  </w:r>
                </w:p>
              </w:tc>
              <w:tc>
                <w:tcPr>
                  <w:tcW w:w="795" w:type="dxa"/>
                  <w:tcBorders>
                    <w:tl2br w:val="nil"/>
                    <w:tr2bl w:val="nil"/>
                  </w:tcBorders>
                  <w:noWrap w:val="0"/>
                  <w:vAlign w:val="center"/>
                </w:tcPr>
                <w:p w14:paraId="2AAC7D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405.8</w:t>
                  </w:r>
                </w:p>
              </w:tc>
              <w:tc>
                <w:tcPr>
                  <w:tcW w:w="752" w:type="dxa"/>
                  <w:tcBorders>
                    <w:tl2br w:val="nil"/>
                    <w:tr2bl w:val="nil"/>
                  </w:tcBorders>
                  <w:noWrap w:val="0"/>
                  <w:vAlign w:val="center"/>
                </w:tcPr>
                <w:p w14:paraId="1735EF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70</w:t>
                  </w:r>
                </w:p>
              </w:tc>
              <w:tc>
                <w:tcPr>
                  <w:tcW w:w="859" w:type="dxa"/>
                  <w:tcBorders>
                    <w:tl2br w:val="nil"/>
                    <w:tr2bl w:val="nil"/>
                  </w:tcBorders>
                  <w:noWrap w:val="0"/>
                  <w:vAlign w:val="center"/>
                </w:tcPr>
                <w:p w14:paraId="0EAA99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10.36</w:t>
                  </w:r>
                </w:p>
              </w:tc>
              <w:tc>
                <w:tcPr>
                  <w:tcW w:w="372" w:type="pct"/>
                  <w:vMerge w:val="continue"/>
                  <w:tcBorders>
                    <w:tl2br w:val="nil"/>
                    <w:tr2bl w:val="nil"/>
                  </w:tcBorders>
                  <w:noWrap w:val="0"/>
                  <w:vAlign w:val="center"/>
                </w:tcPr>
                <w:p w14:paraId="42D5E20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r>
            <w:tr w14:paraId="5B6B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213" w:type="pct"/>
                  <w:tcBorders>
                    <w:tl2br w:val="nil"/>
                    <w:tr2bl w:val="nil"/>
                  </w:tcBorders>
                  <w:noWrap w:val="0"/>
                  <w:vAlign w:val="center"/>
                </w:tcPr>
                <w:p w14:paraId="7C6207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w:t>
                  </w:r>
                </w:p>
              </w:tc>
              <w:tc>
                <w:tcPr>
                  <w:tcW w:w="279" w:type="pct"/>
                  <w:tcBorders>
                    <w:tl2br w:val="nil"/>
                    <w:tr2bl w:val="nil"/>
                  </w:tcBorders>
                  <w:noWrap w:val="0"/>
                  <w:vAlign w:val="center"/>
                </w:tcPr>
                <w:p w14:paraId="721E2F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软化水系统排水</w:t>
                  </w:r>
                </w:p>
              </w:tc>
              <w:tc>
                <w:tcPr>
                  <w:tcW w:w="506" w:type="pct"/>
                  <w:tcBorders>
                    <w:tl2br w:val="nil"/>
                    <w:tr2bl w:val="nil"/>
                  </w:tcBorders>
                  <w:noWrap w:val="0"/>
                  <w:vAlign w:val="center"/>
                </w:tcPr>
                <w:p w14:paraId="51EC1B2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SS</w:t>
                  </w:r>
                </w:p>
              </w:tc>
              <w:tc>
                <w:tcPr>
                  <w:tcW w:w="365" w:type="pct"/>
                  <w:tcBorders>
                    <w:tl2br w:val="nil"/>
                    <w:tr2bl w:val="nil"/>
                  </w:tcBorders>
                  <w:noWrap w:val="0"/>
                  <w:vAlign w:val="center"/>
                </w:tcPr>
                <w:p w14:paraId="708D4A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540000</w:t>
                  </w:r>
                </w:p>
              </w:tc>
              <w:tc>
                <w:tcPr>
                  <w:tcW w:w="721" w:type="dxa"/>
                  <w:tcBorders>
                    <w:tl2br w:val="nil"/>
                    <w:tr2bl w:val="nil"/>
                  </w:tcBorders>
                  <w:noWrap w:val="0"/>
                  <w:vAlign w:val="center"/>
                </w:tcPr>
                <w:p w14:paraId="139BD7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20</w:t>
                  </w:r>
                </w:p>
              </w:tc>
              <w:tc>
                <w:tcPr>
                  <w:tcW w:w="816" w:type="dxa"/>
                  <w:tcBorders>
                    <w:tl2br w:val="nil"/>
                    <w:tr2bl w:val="nil"/>
                  </w:tcBorders>
                  <w:noWrap w:val="0"/>
                  <w:vAlign w:val="center"/>
                </w:tcPr>
                <w:p w14:paraId="48E11E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10.8</w:t>
                  </w:r>
                </w:p>
              </w:tc>
              <w:tc>
                <w:tcPr>
                  <w:tcW w:w="643" w:type="dxa"/>
                  <w:vMerge w:val="continue"/>
                  <w:tcBorders>
                    <w:tl2br w:val="nil"/>
                    <w:tr2bl w:val="nil"/>
                  </w:tcBorders>
                  <w:noWrap w:val="0"/>
                  <w:vAlign w:val="center"/>
                </w:tcPr>
                <w:p w14:paraId="3746B3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52" w:type="dxa"/>
                  <w:tcBorders>
                    <w:tl2br w:val="nil"/>
                    <w:tr2bl w:val="nil"/>
                  </w:tcBorders>
                  <w:noWrap w:val="0"/>
                  <w:vAlign w:val="center"/>
                </w:tcPr>
                <w:p w14:paraId="662630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30</w:t>
                  </w:r>
                </w:p>
              </w:tc>
              <w:tc>
                <w:tcPr>
                  <w:tcW w:w="795" w:type="dxa"/>
                  <w:tcBorders>
                    <w:tl2br w:val="nil"/>
                    <w:tr2bl w:val="nil"/>
                  </w:tcBorders>
                  <w:noWrap w:val="0"/>
                  <w:vAlign w:val="center"/>
                </w:tcPr>
                <w:p w14:paraId="29D68CE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434.25</w:t>
                  </w:r>
                </w:p>
              </w:tc>
              <w:tc>
                <w:tcPr>
                  <w:tcW w:w="752" w:type="dxa"/>
                  <w:tcBorders>
                    <w:tl2br w:val="nil"/>
                    <w:tr2bl w:val="nil"/>
                  </w:tcBorders>
                  <w:noWrap w:val="0"/>
                  <w:vAlign w:val="center"/>
                </w:tcPr>
                <w:p w14:paraId="7805AE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14</w:t>
                  </w:r>
                </w:p>
              </w:tc>
              <w:tc>
                <w:tcPr>
                  <w:tcW w:w="859" w:type="dxa"/>
                  <w:tcBorders>
                    <w:tl2br w:val="nil"/>
                    <w:tr2bl w:val="nil"/>
                  </w:tcBorders>
                  <w:noWrap w:val="0"/>
                  <w:vAlign w:val="center"/>
                </w:tcPr>
                <w:p w14:paraId="5F37CA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7.56</w:t>
                  </w:r>
                </w:p>
              </w:tc>
              <w:tc>
                <w:tcPr>
                  <w:tcW w:w="372" w:type="pct"/>
                  <w:vMerge w:val="continue"/>
                  <w:tcBorders>
                    <w:tl2br w:val="nil"/>
                    <w:tr2bl w:val="nil"/>
                  </w:tcBorders>
                  <w:noWrap w:val="0"/>
                  <w:vAlign w:val="center"/>
                </w:tcPr>
                <w:p w14:paraId="091ED2F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42" w:leftChars="-20" w:right="-42" w:rightChars="-2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14:paraId="2D1B9EB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⑵达标排放分析</w:t>
            </w:r>
          </w:p>
          <w:p w14:paraId="127BA04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本项目生活污水、锅炉定期排污水和软化水系统排水经化粪池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后达到《污水排入城镇下水道水质标准》（GB/T31962-2015）B标准和《污水综合排放标准》（GB8978-1996）中三级标准限值后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进入陕西西凤酒基酒生产有限公司污水处理厂处理达标后排入园区市政污水管网，经凤翔高新污水处理厂进一步处理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排入西干河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6D1F05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依托可行性分析</w:t>
            </w:r>
          </w:p>
          <w:p w14:paraId="384D074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①处理能力依托可行性</w:t>
            </w:r>
          </w:p>
          <w:p w14:paraId="470CE20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陕西西凤酒基酒生产有限公司污水处理厂一期处理规模为500m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/d，二期建成后处理规模为14000m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目前，该污水处理厂主体工程已建成，预计2025年8月投用</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本项目废</w:t>
            </w:r>
            <w:r>
              <w:rPr>
                <w:rFonts w:hint="default" w:ascii="Times New Roman" w:hAnsi="Times New Roman" w:cs="Times New Roman"/>
                <w:color w:val="000000" w:themeColor="text1"/>
                <w:sz w:val="24"/>
                <w:szCs w:val="24"/>
                <w14:textFill>
                  <w14:solidFill>
                    <w14:schemeClr w14:val="tx1"/>
                  </w14:solidFill>
                </w14:textFill>
              </w:rPr>
              <w:t>水</w:t>
            </w:r>
            <w:r>
              <w:rPr>
                <w:rFonts w:hint="eastAsia" w:ascii="Times New Roman" w:hAnsi="Times New Roman" w:cs="Times New Roman"/>
                <w:color w:val="000000" w:themeColor="text1"/>
                <w:sz w:val="24"/>
                <w:szCs w:val="24"/>
                <w:lang w:val="en-US" w:eastAsia="zh-CN"/>
                <w14:textFill>
                  <w14:solidFill>
                    <w14:schemeClr w14:val="tx1"/>
                  </w14:solidFill>
                </w14:textFill>
              </w:rPr>
              <w:t>属于清洁下水，污染物浓度低，废水增加</w:t>
            </w:r>
            <w:r>
              <w:rPr>
                <w:rFonts w:hint="default" w:ascii="Times New Roman" w:hAnsi="Times New Roman" w:cs="Times New Roman"/>
                <w:color w:val="000000" w:themeColor="text1"/>
                <w:sz w:val="24"/>
                <w:szCs w:val="24"/>
                <w14:textFill>
                  <w14:solidFill>
                    <w14:schemeClr w14:val="tx1"/>
                  </w14:solidFill>
                </w14:textFill>
              </w:rPr>
              <w:t>量</w:t>
            </w:r>
            <w:r>
              <w:rPr>
                <w:rFonts w:hint="eastAsia" w:ascii="Times New Roman" w:hAnsi="Times New Roman" w:cs="Times New Roman"/>
                <w:color w:val="000000" w:themeColor="text1"/>
                <w:sz w:val="24"/>
                <w:szCs w:val="24"/>
                <w:lang w:val="en-US" w:eastAsia="zh-CN"/>
                <w14:textFill>
                  <w14:solidFill>
                    <w14:schemeClr w14:val="tx1"/>
                  </w14:solidFill>
                </w14:textFill>
              </w:rPr>
              <w:t>符合</w:t>
            </w:r>
            <w:r>
              <w:rPr>
                <w:rFonts w:hint="default" w:ascii="Times New Roman" w:hAnsi="Times New Roman" w:cs="Times New Roman"/>
                <w:color w:val="000000" w:themeColor="text1"/>
                <w:sz w:val="24"/>
                <w:szCs w:val="24"/>
                <w14:textFill>
                  <w14:solidFill>
                    <w14:schemeClr w14:val="tx1"/>
                  </w14:solidFill>
                </w14:textFill>
              </w:rPr>
              <w:t>污水处理</w:t>
            </w:r>
            <w:r>
              <w:rPr>
                <w:rFonts w:hint="default" w:ascii="Times New Roman" w:hAnsi="Times New Roman" w:cs="Times New Roman"/>
                <w:color w:val="000000" w:themeColor="text1"/>
                <w:sz w:val="24"/>
                <w:szCs w:val="24"/>
                <w:lang w:val="en-US" w:eastAsia="zh-Hans"/>
                <w14:textFill>
                  <w14:solidFill>
                    <w14:schemeClr w14:val="tx1"/>
                  </w14:solidFill>
                </w14:textFill>
              </w:rPr>
              <w:t>站</w:t>
            </w:r>
            <w:r>
              <w:rPr>
                <w:rFonts w:hint="eastAsia" w:ascii="Times New Roman" w:hAnsi="Times New Roman" w:cs="Times New Roman"/>
                <w:color w:val="000000" w:themeColor="text1"/>
                <w:sz w:val="24"/>
                <w:szCs w:val="24"/>
                <w:lang w:val="en-US" w:eastAsia="zh-CN"/>
                <w14:textFill>
                  <w14:solidFill>
                    <w14:schemeClr w14:val="tx1"/>
                  </w14:solidFill>
                </w14:textFill>
              </w:rPr>
              <w:t>处理能力</w:t>
            </w: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val="en-US" w:eastAsia="zh-CN"/>
                <w14:textFill>
                  <w14:solidFill>
                    <w14:schemeClr w14:val="tx1"/>
                  </w14:solidFill>
                </w14:textFill>
              </w:rPr>
              <w:t>锅炉废水</w:t>
            </w:r>
            <w:r>
              <w:rPr>
                <w:rFonts w:hint="default" w:ascii="Times New Roman" w:hAnsi="Times New Roman" w:cs="Times New Roman"/>
                <w:color w:val="000000" w:themeColor="text1"/>
                <w:sz w:val="24"/>
                <w:szCs w:val="24"/>
                <w14:textFill>
                  <w14:solidFill>
                    <w14:schemeClr w14:val="tx1"/>
                  </w14:solidFill>
                </w14:textFill>
              </w:rPr>
              <w:t>依托</w:t>
            </w:r>
            <w:r>
              <w:rPr>
                <w:rFonts w:hint="eastAsia" w:ascii="Times New Roman" w:hAnsi="Times New Roman" w:cs="Times New Roman"/>
                <w:color w:val="000000" w:themeColor="text1"/>
                <w:sz w:val="24"/>
                <w:szCs w:val="24"/>
                <w:lang w:val="en-US" w:eastAsia="zh-CN"/>
                <w14:textFill>
                  <w14:solidFill>
                    <w14:schemeClr w14:val="tx1"/>
                  </w14:solidFill>
                </w14:textFill>
              </w:rPr>
              <w:t>现有污水处理设施处理</w:t>
            </w:r>
            <w:r>
              <w:rPr>
                <w:rFonts w:hint="default" w:ascii="Times New Roman" w:hAnsi="Times New Roman" w:cs="Times New Roman"/>
                <w:color w:val="000000" w:themeColor="text1"/>
                <w:sz w:val="24"/>
                <w:szCs w:val="24"/>
                <w14:textFill>
                  <w14:solidFill>
                    <w14:schemeClr w14:val="tx1"/>
                  </w14:solidFill>
                </w14:textFill>
              </w:rPr>
              <w:t>可行。</w:t>
            </w:r>
          </w:p>
          <w:p w14:paraId="7CAE073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②处理工艺可行性分析</w:t>
            </w:r>
          </w:p>
          <w:p w14:paraId="2BF97FF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Hans"/>
                <w14:textFill>
                  <w14:solidFill>
                    <w14:schemeClr w14:val="tx1"/>
                  </w14:solidFill>
                </w14:textFill>
              </w:rPr>
              <w:t>陕西西凤酒基酒生产有限公司污水处理厂</w:t>
            </w:r>
            <w:r>
              <w:rPr>
                <w:rFonts w:hint="default" w:ascii="Times New Roman" w:hAnsi="Times New Roman" w:cs="Times New Roman"/>
                <w:color w:val="000000" w:themeColor="text1"/>
                <w:sz w:val="24"/>
                <w:szCs w:val="24"/>
                <w14:textFill>
                  <w14:solidFill>
                    <w14:schemeClr w14:val="tx1"/>
                  </w14:solidFill>
                </w14:textFill>
              </w:rPr>
              <w:t>处理工艺</w:t>
            </w:r>
            <w:r>
              <w:rPr>
                <w:rFonts w:hint="default" w:ascii="Times New Roman" w:hAnsi="Times New Roman" w:cs="Times New Roman"/>
                <w:color w:val="000000" w:themeColor="text1"/>
                <w:sz w:val="24"/>
                <w:szCs w:val="24"/>
                <w:lang w:val="en-US" w:eastAsia="zh-Hans"/>
                <w14:textFill>
                  <w14:solidFill>
                    <w14:schemeClr w14:val="tx1"/>
                  </w14:solidFill>
                </w14:textFill>
              </w:rPr>
              <w:t>采用“预处理+A2/O生物池+二沉池+高效沉淀池+臭氧氧化池+曝气生物滤池+反硝化滤池+消毒池”工艺</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Hans"/>
                <w14:textFill>
                  <w14:solidFill>
                    <w14:schemeClr w14:val="tx1"/>
                  </w14:solidFill>
                </w14:textFill>
              </w:rPr>
              <w:t>该污水处理厂</w:t>
            </w:r>
            <w:r>
              <w:rPr>
                <w:rFonts w:hint="eastAsia" w:ascii="Times New Roman" w:hAnsi="Times New Roman" w:cs="Times New Roman"/>
                <w:color w:val="000000" w:themeColor="text1"/>
                <w:sz w:val="24"/>
                <w:szCs w:val="24"/>
                <w:lang w:val="en-US" w:eastAsia="zh-CN"/>
                <w14:textFill>
                  <w14:solidFill>
                    <w14:schemeClr w14:val="tx1"/>
                  </w14:solidFill>
                </w14:textFill>
              </w:rPr>
              <w:t>主体工程已建成，预计2025年8月投用</w:t>
            </w:r>
            <w:r>
              <w:rPr>
                <w:rFonts w:hint="default" w:ascii="Times New Roman" w:hAnsi="Times New Roman" w:cs="Times New Roman"/>
                <w:color w:val="000000" w:themeColor="text1"/>
                <w:sz w:val="24"/>
                <w:szCs w:val="24"/>
                <w:lang w:eastAsia="zh-Hans"/>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《污水综合排放标准》（GB8978-1996）三级标准要求后排入凤翔高新污水处理厂，因此</w:t>
            </w:r>
            <w:r>
              <w:rPr>
                <w:rFonts w:hint="default" w:ascii="Times New Roman" w:hAnsi="Times New Roman" w:cs="Times New Roman"/>
                <w:color w:val="000000" w:themeColor="text1"/>
                <w:sz w:val="24"/>
                <w:szCs w:val="24"/>
                <w:lang w:val="en-US" w:eastAsia="zh-Hans"/>
                <w14:textFill>
                  <w14:solidFill>
                    <w14:schemeClr w14:val="tx1"/>
                  </w14:solidFill>
                </w14:textFill>
              </w:rPr>
              <w:t>污水</w:t>
            </w:r>
            <w:r>
              <w:rPr>
                <w:rFonts w:hint="default" w:ascii="Times New Roman" w:hAnsi="Times New Roman" w:cs="Times New Roman"/>
                <w:color w:val="000000" w:themeColor="text1"/>
                <w:sz w:val="24"/>
                <w:szCs w:val="24"/>
                <w14:textFill>
                  <w14:solidFill>
                    <w14:schemeClr w14:val="tx1"/>
                  </w14:solidFill>
                </w14:textFill>
              </w:rPr>
              <w:t>处理</w:t>
            </w:r>
            <w:r>
              <w:rPr>
                <w:rFonts w:hint="default" w:ascii="Times New Roman" w:hAnsi="Times New Roman" w:cs="Times New Roman"/>
                <w:color w:val="000000" w:themeColor="text1"/>
                <w:sz w:val="24"/>
                <w:szCs w:val="24"/>
                <w:lang w:val="en-US" w:eastAsia="zh-Hans"/>
                <w14:textFill>
                  <w14:solidFill>
                    <w14:schemeClr w14:val="tx1"/>
                  </w14:solidFill>
                </w14:textFill>
              </w:rPr>
              <w:t>工艺</w:t>
            </w:r>
            <w:r>
              <w:rPr>
                <w:rFonts w:hint="default" w:ascii="Times New Roman" w:hAnsi="Times New Roman" w:cs="Times New Roman"/>
                <w:color w:val="000000" w:themeColor="text1"/>
                <w:sz w:val="24"/>
                <w:szCs w:val="24"/>
                <w14:textFill>
                  <w14:solidFill>
                    <w14:schemeClr w14:val="tx1"/>
                  </w14:solidFill>
                </w14:textFill>
              </w:rPr>
              <w:t>可行。</w:t>
            </w:r>
          </w:p>
          <w:p w14:paraId="68EB320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⑷监测要求</w:t>
            </w:r>
          </w:p>
          <w:p w14:paraId="50DAE8A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项目生活污水及生产废水依托陕西西凤酒基酒生产有限公司污水处理厂处理达标后排入园区市政污水管网；</w:t>
            </w:r>
            <w:r>
              <w:rPr>
                <w:rFonts w:hint="default" w:ascii="Times New Roman" w:hAnsi="Times New Roman" w:cs="Times New Roman"/>
                <w:color w:val="000000" w:themeColor="text1"/>
                <w:sz w:val="24"/>
                <w:szCs w:val="24"/>
                <w14:textFill>
                  <w14:solidFill>
                    <w14:schemeClr w14:val="tx1"/>
                  </w14:solidFill>
                </w14:textFill>
              </w:rPr>
              <w:t>其</w:t>
            </w:r>
            <w:r>
              <w:rPr>
                <w:rFonts w:hint="default" w:ascii="Times New Roman" w:hAnsi="Times New Roman" w:cs="Times New Roman"/>
                <w:color w:val="000000" w:themeColor="text1"/>
                <w:sz w:val="24"/>
                <w:szCs w:val="24"/>
                <w:lang w:val="en-US" w:eastAsia="zh-Hans"/>
                <w14:textFill>
                  <w14:solidFill>
                    <w14:schemeClr w14:val="tx1"/>
                  </w14:solidFill>
                </w14:textFill>
              </w:rPr>
              <w:t>排污口</w:t>
            </w:r>
            <w:r>
              <w:rPr>
                <w:rFonts w:hint="default" w:ascii="Times New Roman" w:hAnsi="Times New Roman" w:cs="Times New Roman"/>
                <w:color w:val="000000" w:themeColor="text1"/>
                <w:sz w:val="24"/>
                <w:szCs w:val="24"/>
                <w14:textFill>
                  <w14:solidFill>
                    <w14:schemeClr w14:val="tx1"/>
                  </w14:solidFill>
                </w14:textFill>
              </w:rPr>
              <w:t>监测按照陕西西凤酒基酒生产有限公司排污许可证自行监测要求执行，具体如下：</w:t>
            </w:r>
          </w:p>
          <w:p w14:paraId="06216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表4-</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9 </w:t>
            </w:r>
            <w:r>
              <w:rPr>
                <w:rFonts w:hint="default" w:ascii="Times New Roman" w:hAnsi="Times New Roman" w:eastAsia="宋体" w:cs="Times New Roman"/>
                <w:color w:val="000000" w:themeColor="text1"/>
                <w:szCs w:val="21"/>
                <w14:textFill>
                  <w14:solidFill>
                    <w14:schemeClr w14:val="tx1"/>
                  </w14:solidFill>
                </w14:textFill>
              </w:rPr>
              <w:t>废水排放标准及监测要求</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0"/>
              <w:gridCol w:w="1551"/>
              <w:gridCol w:w="1991"/>
              <w:gridCol w:w="1001"/>
              <w:gridCol w:w="2928"/>
            </w:tblGrid>
            <w:tr w14:paraId="39FB2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2" w:type="pct"/>
                  <w:noWrap w:val="0"/>
                  <w:vAlign w:val="center"/>
                </w:tcPr>
                <w:p w14:paraId="476D944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监测类别</w:t>
                  </w:r>
                </w:p>
              </w:tc>
              <w:tc>
                <w:tcPr>
                  <w:tcW w:w="927" w:type="pct"/>
                  <w:noWrap w:val="0"/>
                  <w:vAlign w:val="center"/>
                </w:tcPr>
                <w:p w14:paraId="4E513C4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监测点位</w:t>
                  </w:r>
                </w:p>
              </w:tc>
              <w:tc>
                <w:tcPr>
                  <w:tcW w:w="1190" w:type="pct"/>
                  <w:noWrap w:val="0"/>
                  <w:vAlign w:val="center"/>
                </w:tcPr>
                <w:p w14:paraId="04467FD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监测因子</w:t>
                  </w:r>
                </w:p>
              </w:tc>
              <w:tc>
                <w:tcPr>
                  <w:tcW w:w="598" w:type="pct"/>
                  <w:noWrap w:val="0"/>
                  <w:vAlign w:val="center"/>
                </w:tcPr>
                <w:p w14:paraId="0A04B133">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监测频次</w:t>
                  </w:r>
                </w:p>
              </w:tc>
              <w:tc>
                <w:tcPr>
                  <w:tcW w:w="1750" w:type="pct"/>
                  <w:noWrap w:val="0"/>
                  <w:vAlign w:val="center"/>
                </w:tcPr>
                <w:p w14:paraId="3EFF6AC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执行标准</w:t>
                  </w:r>
                </w:p>
              </w:tc>
            </w:tr>
            <w:tr w14:paraId="11A57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532" w:type="pct"/>
                  <w:noWrap w:val="0"/>
                  <w:vAlign w:val="center"/>
                </w:tcPr>
                <w:p w14:paraId="2535B0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927" w:type="pct"/>
                  <w:noWrap w:val="0"/>
                  <w:vAlign w:val="center"/>
                </w:tcPr>
                <w:p w14:paraId="7D7476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厂区</w:t>
                  </w:r>
                  <w:r>
                    <w:rPr>
                      <w:rFonts w:hint="default" w:ascii="Times New Roman" w:hAnsi="Times New Roman" w:eastAsia="宋体" w:cs="Times New Roman"/>
                      <w:color w:val="000000" w:themeColor="text1"/>
                      <w:szCs w:val="21"/>
                      <w14:textFill>
                        <w14:solidFill>
                          <w14:schemeClr w14:val="tx1"/>
                        </w14:solidFill>
                      </w14:textFill>
                    </w:rPr>
                    <w:t>总排口DW001</w:t>
                  </w:r>
                </w:p>
              </w:tc>
              <w:tc>
                <w:tcPr>
                  <w:tcW w:w="1190" w:type="pct"/>
                  <w:noWrap w:val="0"/>
                  <w:vAlign w:val="center"/>
                </w:tcPr>
                <w:p w14:paraId="5A5E5B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pH、COD、BOD</w:t>
                  </w:r>
                  <w:r>
                    <w:rPr>
                      <w:rFonts w:hint="default" w:ascii="Times New Roman" w:hAnsi="Times New Roman" w:eastAsia="宋体" w:cs="Times New Roman"/>
                      <w:color w:val="000000" w:themeColor="text1"/>
                      <w:szCs w:val="21"/>
                      <w:vertAlign w:val="subscript"/>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、SS、NH</w:t>
                  </w:r>
                  <w:r>
                    <w:rPr>
                      <w:rFonts w:hint="default" w:ascii="Times New Roman" w:hAnsi="Times New Roman" w:eastAsia="宋体" w:cs="Times New Roman"/>
                      <w:color w:val="000000" w:themeColor="text1"/>
                      <w:szCs w:val="21"/>
                      <w:vertAlign w:val="sub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-N、总磷、总氮</w:t>
                  </w:r>
                </w:p>
              </w:tc>
              <w:tc>
                <w:tcPr>
                  <w:tcW w:w="598" w:type="pct"/>
                  <w:noWrap w:val="0"/>
                  <w:vAlign w:val="center"/>
                </w:tcPr>
                <w:p w14:paraId="28B1DD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1次/年</w:t>
                  </w:r>
                </w:p>
              </w:tc>
              <w:tc>
                <w:tcPr>
                  <w:tcW w:w="1750" w:type="pct"/>
                  <w:noWrap w:val="0"/>
                  <w:vAlign w:val="center"/>
                </w:tcPr>
                <w:p w14:paraId="7B7B62E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《污水综合排放标准》（GB8978-1996）三级标准</w:t>
                  </w:r>
                  <w:r>
                    <w:rPr>
                      <w:rFonts w:hint="eastAsia" w:ascii="Times New Roman" w:hAnsi="Times New Roman" w:eastAsia="宋体" w:cs="Times New Roman"/>
                      <w:color w:val="000000" w:themeColor="text1"/>
                      <w:szCs w:val="21"/>
                      <w:lang w:eastAsia="zh-CN"/>
                      <w14:textFill>
                        <w14:solidFill>
                          <w14:schemeClr w14:val="tx1"/>
                        </w14:solidFill>
                      </w14:textFill>
                    </w:rPr>
                    <w:t>，《污水排入城镇下水道水质标准》（GB/T 31962-2015）B级标准</w:t>
                  </w:r>
                </w:p>
              </w:tc>
            </w:tr>
          </w:tbl>
          <w:p w14:paraId="5409F7A9">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3、声环境影响</w:t>
            </w:r>
            <w:r>
              <w:rPr>
                <w:rFonts w:hint="eastAsia" w:ascii="Times New Roman" w:hAnsi="Times New Roman" w:cs="Times New Roman"/>
                <w:color w:val="000000" w:themeColor="text1"/>
                <w:sz w:val="24"/>
                <w:szCs w:val="24"/>
                <w:lang w:val="en-US" w:eastAsia="zh-CN"/>
                <w14:textFill>
                  <w14:solidFill>
                    <w14:schemeClr w14:val="tx1"/>
                  </w14:solidFill>
                </w14:textFill>
              </w:rPr>
              <w:t>评价</w:t>
            </w:r>
          </w:p>
          <w:p w14:paraId="103C983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⑴噪声源强</w:t>
            </w:r>
          </w:p>
          <w:p w14:paraId="0721B41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本项目噪声来源主要</w:t>
            </w:r>
            <w:r>
              <w:rPr>
                <w:rFonts w:hint="eastAsia" w:ascii="Times New Roman" w:hAnsi="Times New Roman" w:cs="Times New Roman"/>
                <w:color w:val="000000" w:themeColor="text1"/>
                <w:sz w:val="24"/>
                <w:szCs w:val="24"/>
                <w:lang w:val="en-US" w:eastAsia="zh-CN"/>
                <w14:textFill>
                  <w14:solidFill>
                    <w14:schemeClr w14:val="tx1"/>
                  </w14:solidFill>
                </w14:textFill>
              </w:rPr>
              <w:t>为水泵</w:t>
            </w:r>
            <w:r>
              <w:rPr>
                <w:rFonts w:hint="default" w:ascii="Times New Roman" w:hAnsi="Times New Roman" w:cs="Times New Roman"/>
                <w:color w:val="000000" w:themeColor="text1"/>
                <w:sz w:val="24"/>
                <w:szCs w:val="24"/>
                <w14:textFill>
                  <w14:solidFill>
                    <w14:schemeClr w14:val="tx1"/>
                  </w14:solidFill>
                </w14:textFill>
              </w:rPr>
              <w:t>等设备运行时的噪声。噪声源强在75-90dB（A）之间，均位于生产车间内：本项目以厂区西南角为原点（0,0,0），向东为X轴正方向，向北为Y轴正方向，向上为Z轴正方向，本项目噪声源基本信息见下表。</w:t>
            </w:r>
          </w:p>
          <w:p w14:paraId="1E2D2826">
            <w:pPr>
              <w:pStyle w:val="22"/>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表4-</w:t>
            </w:r>
            <w:r>
              <w:rPr>
                <w:rFonts w:hint="eastAsia"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项目主要噪声源及防治措施</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6"/>
              <w:gridCol w:w="426"/>
              <w:gridCol w:w="695"/>
              <w:gridCol w:w="752"/>
              <w:gridCol w:w="488"/>
              <w:gridCol w:w="531"/>
              <w:gridCol w:w="531"/>
              <w:gridCol w:w="490"/>
              <w:gridCol w:w="626"/>
              <w:gridCol w:w="815"/>
              <w:gridCol w:w="426"/>
              <w:gridCol w:w="755"/>
              <w:gridCol w:w="755"/>
              <w:gridCol w:w="597"/>
            </w:tblGrid>
            <w:tr w14:paraId="217F4E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279" w:type="pct"/>
                  <w:vMerge w:val="restart"/>
                  <w:noWrap w:val="0"/>
                  <w:vAlign w:val="center"/>
                </w:tcPr>
                <w:p w14:paraId="571F429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254" w:type="pct"/>
                  <w:vMerge w:val="restart"/>
                  <w:noWrap w:val="0"/>
                  <w:vAlign w:val="center"/>
                </w:tcPr>
                <w:p w14:paraId="37320C7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建筑物名称</w:t>
                  </w:r>
                </w:p>
              </w:tc>
              <w:tc>
                <w:tcPr>
                  <w:tcW w:w="416" w:type="pct"/>
                  <w:vMerge w:val="restart"/>
                  <w:noWrap w:val="0"/>
                  <w:vAlign w:val="center"/>
                </w:tcPr>
                <w:p w14:paraId="6ACE77D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w:t>
                  </w:r>
                </w:p>
                <w:p w14:paraId="5FD6501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450" w:type="pct"/>
                  <w:vMerge w:val="restart"/>
                  <w:noWrap w:val="0"/>
                  <w:vAlign w:val="center"/>
                </w:tcPr>
                <w:p w14:paraId="0CFE813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声压级/距声源/距离dB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292" w:type="pct"/>
                  <w:vMerge w:val="restart"/>
                  <w:noWrap w:val="0"/>
                  <w:vAlign w:val="center"/>
                </w:tcPr>
                <w:p w14:paraId="174D5FB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声源控制措施</w:t>
                  </w:r>
                </w:p>
              </w:tc>
              <w:tc>
                <w:tcPr>
                  <w:tcW w:w="927" w:type="pct"/>
                  <w:gridSpan w:val="3"/>
                  <w:noWrap w:val="0"/>
                  <w:vAlign w:val="center"/>
                </w:tcPr>
                <w:p w14:paraId="6B63B5A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空间相对位置</w:t>
                  </w:r>
                </w:p>
              </w:tc>
              <w:tc>
                <w:tcPr>
                  <w:tcW w:w="374" w:type="pct"/>
                  <w:vMerge w:val="restart"/>
                  <w:noWrap w:val="0"/>
                  <w:vAlign w:val="center"/>
                </w:tcPr>
                <w:p w14:paraId="30B08EE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距室内边界距离/m</w:t>
                  </w:r>
                </w:p>
              </w:tc>
              <w:tc>
                <w:tcPr>
                  <w:tcW w:w="487" w:type="pct"/>
                  <w:vMerge w:val="restart"/>
                  <w:noWrap w:val="0"/>
                  <w:vAlign w:val="center"/>
                </w:tcPr>
                <w:p w14:paraId="473F160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室内边界声级/dB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254" w:type="pct"/>
                  <w:vMerge w:val="restart"/>
                  <w:noWrap w:val="0"/>
                  <w:vAlign w:val="center"/>
                </w:tcPr>
                <w:p w14:paraId="0E18614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运行时段/h</w:t>
                  </w:r>
                </w:p>
              </w:tc>
              <w:tc>
                <w:tcPr>
                  <w:tcW w:w="451" w:type="pct"/>
                  <w:vMerge w:val="restart"/>
                  <w:noWrap w:val="0"/>
                  <w:vAlign w:val="center"/>
                </w:tcPr>
                <w:p w14:paraId="391F8C0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建筑物插入损失dB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808" w:type="pct"/>
                  <w:gridSpan w:val="2"/>
                  <w:noWrap w:val="0"/>
                  <w:vAlign w:val="center"/>
                </w:tcPr>
                <w:p w14:paraId="3256E2B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建筑物外噪声</w:t>
                  </w:r>
                </w:p>
              </w:tc>
            </w:tr>
            <w:tr w14:paraId="34476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53" w:hRule="atLeast"/>
                <w:jc w:val="center"/>
              </w:trPr>
              <w:tc>
                <w:tcPr>
                  <w:tcW w:w="279" w:type="pct"/>
                  <w:vMerge w:val="continue"/>
                  <w:noWrap w:val="0"/>
                  <w:vAlign w:val="center"/>
                </w:tcPr>
                <w:p w14:paraId="201192E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54" w:type="pct"/>
                  <w:vMerge w:val="continue"/>
                  <w:noWrap w:val="0"/>
                  <w:vAlign w:val="center"/>
                </w:tcPr>
                <w:p w14:paraId="4D29E7E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vMerge w:val="continue"/>
                  <w:noWrap w:val="0"/>
                  <w:vAlign w:val="center"/>
                </w:tcPr>
                <w:p w14:paraId="7692503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50" w:type="pct"/>
                  <w:vMerge w:val="continue"/>
                  <w:noWrap w:val="0"/>
                  <w:vAlign w:val="center"/>
                </w:tcPr>
                <w:p w14:paraId="7608FCB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92" w:type="pct"/>
                  <w:vMerge w:val="continue"/>
                  <w:noWrap w:val="0"/>
                  <w:vAlign w:val="center"/>
                </w:tcPr>
                <w:p w14:paraId="3D9BD21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4DB64AB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317" w:type="pct"/>
                  <w:noWrap w:val="0"/>
                  <w:vAlign w:val="center"/>
                </w:tcPr>
                <w:p w14:paraId="21A2239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292" w:type="pct"/>
                  <w:noWrap w:val="0"/>
                  <w:vAlign w:val="center"/>
                </w:tcPr>
                <w:p w14:paraId="477856E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374" w:type="pct"/>
                  <w:vMerge w:val="continue"/>
                  <w:noWrap w:val="0"/>
                  <w:vAlign w:val="center"/>
                </w:tcPr>
                <w:p w14:paraId="5A32FAB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87" w:type="pct"/>
                  <w:vMerge w:val="continue"/>
                  <w:noWrap w:val="0"/>
                  <w:vAlign w:val="center"/>
                </w:tcPr>
                <w:p w14:paraId="36F1370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54" w:type="pct"/>
                  <w:vMerge w:val="continue"/>
                  <w:noWrap w:val="0"/>
                  <w:vAlign w:val="center"/>
                </w:tcPr>
                <w:p w14:paraId="521403C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51" w:type="pct"/>
                  <w:vMerge w:val="continue"/>
                  <w:noWrap w:val="0"/>
                  <w:vAlign w:val="center"/>
                </w:tcPr>
                <w:p w14:paraId="1AC6565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51" w:type="pct"/>
                  <w:noWrap w:val="0"/>
                  <w:vAlign w:val="center"/>
                </w:tcPr>
                <w:p w14:paraId="692EF6C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声压级dB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357" w:type="pct"/>
                  <w:noWrap w:val="0"/>
                  <w:vAlign w:val="center"/>
                </w:tcPr>
                <w:p w14:paraId="43A1383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建筑物外距离/m</w:t>
                  </w:r>
                </w:p>
              </w:tc>
            </w:tr>
            <w:tr w14:paraId="3FED4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9" w:type="pct"/>
                  <w:noWrap w:val="0"/>
                  <w:vAlign w:val="center"/>
                </w:tcPr>
                <w:p w14:paraId="12D7AC0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54" w:type="pct"/>
                  <w:vMerge w:val="restart"/>
                  <w:noWrap w:val="0"/>
                  <w:vAlign w:val="center"/>
                </w:tcPr>
                <w:p w14:paraId="267F2844">
                  <w:pPr>
                    <w:pStyle w:val="56"/>
                    <w:keepNext/>
                    <w:keepLines/>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锅炉房</w:t>
                  </w:r>
                </w:p>
              </w:tc>
              <w:tc>
                <w:tcPr>
                  <w:tcW w:w="416" w:type="pct"/>
                  <w:noWrap w:val="0"/>
                  <w:vAlign w:val="center"/>
                </w:tcPr>
                <w:p w14:paraId="6B8F5C9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267A220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restart"/>
                  <w:noWrap w:val="0"/>
                  <w:vAlign w:val="center"/>
                </w:tcPr>
                <w:p w14:paraId="2351E39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厂房隔声+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选用低噪设备+</w:t>
                  </w:r>
                  <w:r>
                    <w:rPr>
                      <w:rFonts w:hint="default" w:ascii="Times New Roman" w:hAnsi="Times New Roman" w:eastAsia="宋体" w:cs="Times New Roman"/>
                      <w:color w:val="000000" w:themeColor="text1"/>
                      <w:sz w:val="21"/>
                      <w:szCs w:val="21"/>
                      <w14:textFill>
                        <w14:solidFill>
                          <w14:schemeClr w14:val="tx1"/>
                        </w14:solidFill>
                      </w14:textFill>
                    </w:rPr>
                    <w:t>基础减振</w:t>
                  </w:r>
                </w:p>
              </w:tc>
              <w:tc>
                <w:tcPr>
                  <w:tcW w:w="317" w:type="pct"/>
                  <w:noWrap w:val="0"/>
                  <w:vAlign w:val="center"/>
                </w:tcPr>
                <w:p w14:paraId="2DF9F03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67</w:t>
                  </w:r>
                </w:p>
              </w:tc>
              <w:tc>
                <w:tcPr>
                  <w:tcW w:w="317" w:type="pct"/>
                  <w:noWrap w:val="0"/>
                  <w:vAlign w:val="center"/>
                </w:tcPr>
                <w:p w14:paraId="37CE73D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174</w:t>
                  </w:r>
                </w:p>
              </w:tc>
              <w:tc>
                <w:tcPr>
                  <w:tcW w:w="292" w:type="pct"/>
                  <w:noWrap w:val="0"/>
                  <w:vAlign w:val="center"/>
                </w:tcPr>
                <w:p w14:paraId="720DACF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7461607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487" w:type="pct"/>
                  <w:noWrap w:val="0"/>
                  <w:vAlign w:val="center"/>
                </w:tcPr>
                <w:p w14:paraId="79B7F77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w:t>
                  </w:r>
                </w:p>
              </w:tc>
              <w:tc>
                <w:tcPr>
                  <w:tcW w:w="254" w:type="pct"/>
                  <w:noWrap w:val="0"/>
                  <w:vAlign w:val="center"/>
                </w:tcPr>
                <w:p w14:paraId="4F11A41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5610A1D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451" w:type="pct"/>
                  <w:noWrap w:val="0"/>
                  <w:vAlign w:val="center"/>
                </w:tcPr>
                <w:p w14:paraId="125351B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w:t>
                  </w:r>
                </w:p>
              </w:tc>
              <w:tc>
                <w:tcPr>
                  <w:tcW w:w="357" w:type="pct"/>
                  <w:noWrap w:val="0"/>
                  <w:vAlign w:val="center"/>
                </w:tcPr>
                <w:p w14:paraId="0964D3C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w:t>
                  </w:r>
                </w:p>
              </w:tc>
            </w:tr>
            <w:tr w14:paraId="04425B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0D6D0EB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54" w:type="pct"/>
                  <w:vMerge w:val="continue"/>
                  <w:noWrap w:val="0"/>
                  <w:vAlign w:val="center"/>
                </w:tcPr>
                <w:p w14:paraId="3322CD3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5F282D4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3DE0222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07ADB34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bidi="ar"/>
                      <w14:textFill>
                        <w14:solidFill>
                          <w14:schemeClr w14:val="tx1"/>
                        </w14:solidFill>
                      </w14:textFill>
                    </w:rPr>
                  </w:pPr>
                </w:p>
              </w:tc>
              <w:tc>
                <w:tcPr>
                  <w:tcW w:w="317" w:type="pct"/>
                  <w:noWrap w:val="0"/>
                  <w:vAlign w:val="center"/>
                </w:tcPr>
                <w:p w14:paraId="5B73C1A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w:t>
                  </w:r>
                </w:p>
              </w:tc>
              <w:tc>
                <w:tcPr>
                  <w:tcW w:w="317" w:type="pct"/>
                  <w:noWrap w:val="0"/>
                  <w:vAlign w:val="center"/>
                </w:tcPr>
                <w:p w14:paraId="4D88A4C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173</w:t>
                  </w:r>
                </w:p>
              </w:tc>
              <w:tc>
                <w:tcPr>
                  <w:tcW w:w="292" w:type="pct"/>
                  <w:noWrap w:val="0"/>
                  <w:vAlign w:val="center"/>
                </w:tcPr>
                <w:p w14:paraId="01931D1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0A484AD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51D1A41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7BCF98E9">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14BD481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42FACDA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19BF15B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67E1FA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9" w:type="pct"/>
                  <w:noWrap w:val="0"/>
                  <w:vAlign w:val="center"/>
                </w:tcPr>
                <w:p w14:paraId="76F9A26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54" w:type="pct"/>
                  <w:vMerge w:val="continue"/>
                  <w:noWrap w:val="0"/>
                  <w:vAlign w:val="center"/>
                </w:tcPr>
                <w:p w14:paraId="70DB29D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2C29F78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659986F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2C9F6C0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297DED91">
                  <w:pPr>
                    <w:pStyle w:val="56"/>
                    <w:keepNext/>
                    <w:keepLines/>
                    <w:suppressLineNumbers w:val="0"/>
                    <w:spacing w:before="0" w:beforeAutospacing="0" w:after="0" w:afterAutospacing="0"/>
                    <w:ind w:left="0"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88</w:t>
                  </w:r>
                </w:p>
              </w:tc>
              <w:tc>
                <w:tcPr>
                  <w:tcW w:w="317" w:type="pct"/>
                  <w:noWrap w:val="0"/>
                  <w:vAlign w:val="center"/>
                </w:tcPr>
                <w:p w14:paraId="471FE9B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171</w:t>
                  </w:r>
                </w:p>
              </w:tc>
              <w:tc>
                <w:tcPr>
                  <w:tcW w:w="292" w:type="pct"/>
                  <w:noWrap w:val="0"/>
                  <w:vAlign w:val="center"/>
                </w:tcPr>
                <w:p w14:paraId="019DFD8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353436E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4910101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32DE5DEA">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04ADEF4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1397BD8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3060D21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29717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1E06A77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54" w:type="pct"/>
                  <w:vMerge w:val="continue"/>
                  <w:noWrap w:val="0"/>
                  <w:vAlign w:val="center"/>
                </w:tcPr>
                <w:p w14:paraId="42E7B52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32C6FAC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45E1014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11E0511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197EE9A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103</w:t>
                  </w:r>
                </w:p>
              </w:tc>
              <w:tc>
                <w:tcPr>
                  <w:tcW w:w="317" w:type="pct"/>
                  <w:noWrap w:val="0"/>
                  <w:vAlign w:val="center"/>
                </w:tcPr>
                <w:p w14:paraId="239D5C6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167</w:t>
                  </w:r>
                </w:p>
              </w:tc>
              <w:tc>
                <w:tcPr>
                  <w:tcW w:w="292" w:type="pct"/>
                  <w:noWrap w:val="0"/>
                  <w:vAlign w:val="center"/>
                </w:tcPr>
                <w:p w14:paraId="6F82C06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038B256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53B10AA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59E18B1E">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157B248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604E46B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6736E49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20F192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7A52C8B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54" w:type="pct"/>
                  <w:vMerge w:val="continue"/>
                  <w:noWrap w:val="0"/>
                  <w:vAlign w:val="center"/>
                </w:tcPr>
                <w:p w14:paraId="4499E81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17A6E7E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12E3417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5F08EA9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2145606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113</w:t>
                  </w:r>
                </w:p>
              </w:tc>
              <w:tc>
                <w:tcPr>
                  <w:tcW w:w="317" w:type="pct"/>
                  <w:noWrap w:val="0"/>
                  <w:vAlign w:val="center"/>
                </w:tcPr>
                <w:p w14:paraId="735BF70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165</w:t>
                  </w:r>
                </w:p>
              </w:tc>
              <w:tc>
                <w:tcPr>
                  <w:tcW w:w="292" w:type="pct"/>
                  <w:noWrap w:val="0"/>
                  <w:vAlign w:val="center"/>
                </w:tcPr>
                <w:p w14:paraId="452A108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22E0836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52A6612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4AFA6512">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40817DD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699ACEA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7AC5019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4DAE5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5966C49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54" w:type="pct"/>
                  <w:vMerge w:val="continue"/>
                  <w:noWrap w:val="0"/>
                  <w:vAlign w:val="center"/>
                </w:tcPr>
                <w:p w14:paraId="54AF1DE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71EE837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锅炉给水泵</w:t>
                  </w:r>
                </w:p>
              </w:tc>
              <w:tc>
                <w:tcPr>
                  <w:tcW w:w="450" w:type="pct"/>
                  <w:noWrap w:val="0"/>
                  <w:vAlign w:val="center"/>
                </w:tcPr>
                <w:p w14:paraId="0ACB824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76857C9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2D702F5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w:t>
                  </w:r>
                </w:p>
              </w:tc>
              <w:tc>
                <w:tcPr>
                  <w:tcW w:w="317" w:type="pct"/>
                  <w:noWrap w:val="0"/>
                  <w:vAlign w:val="center"/>
                </w:tcPr>
                <w:p w14:paraId="72348B5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164</w:t>
                  </w:r>
                </w:p>
              </w:tc>
              <w:tc>
                <w:tcPr>
                  <w:tcW w:w="292" w:type="pct"/>
                  <w:noWrap w:val="0"/>
                  <w:vAlign w:val="center"/>
                </w:tcPr>
                <w:p w14:paraId="480B5F8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61A0FC0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2614D30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7CC0C37A">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3BCE25C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1D42FC3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67B5236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25F65E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18DA270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54" w:type="pct"/>
                  <w:vMerge w:val="continue"/>
                  <w:noWrap w:val="0"/>
                  <w:vAlign w:val="center"/>
                </w:tcPr>
                <w:p w14:paraId="0916B17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4EACBB5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原水泵</w:t>
                  </w:r>
                </w:p>
              </w:tc>
              <w:tc>
                <w:tcPr>
                  <w:tcW w:w="450" w:type="pct"/>
                  <w:tcBorders>
                    <w:top w:val="single" w:color="auto" w:sz="4" w:space="0"/>
                  </w:tcBorders>
                  <w:noWrap w:val="0"/>
                  <w:vAlign w:val="center"/>
                </w:tcPr>
                <w:p w14:paraId="161FFE7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292" w:type="pct"/>
                  <w:vMerge w:val="continue"/>
                  <w:noWrap w:val="0"/>
                  <w:vAlign w:val="center"/>
                </w:tcPr>
                <w:p w14:paraId="2286235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tcBorders>
                    <w:top w:val="single" w:color="auto" w:sz="4" w:space="0"/>
                  </w:tcBorders>
                  <w:noWrap w:val="0"/>
                  <w:vAlign w:val="center"/>
                </w:tcPr>
                <w:p w14:paraId="6DCAEDF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76</w:t>
                  </w:r>
                </w:p>
              </w:tc>
              <w:tc>
                <w:tcPr>
                  <w:tcW w:w="317" w:type="pct"/>
                  <w:tcBorders>
                    <w:top w:val="single" w:color="auto" w:sz="4" w:space="0"/>
                  </w:tcBorders>
                  <w:noWrap w:val="0"/>
                  <w:vAlign w:val="center"/>
                </w:tcPr>
                <w:p w14:paraId="3210BFF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203</w:t>
                  </w:r>
                </w:p>
              </w:tc>
              <w:tc>
                <w:tcPr>
                  <w:tcW w:w="292" w:type="pct"/>
                  <w:tcBorders>
                    <w:top w:val="single" w:color="auto" w:sz="4" w:space="0"/>
                  </w:tcBorders>
                  <w:noWrap w:val="0"/>
                  <w:vAlign w:val="center"/>
                </w:tcPr>
                <w:p w14:paraId="23F82B2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14:textFill>
                        <w14:solidFill>
                          <w14:schemeClr w14:val="tx1"/>
                        </w14:solidFill>
                      </w14:textFill>
                    </w:rPr>
                    <w:t>0.5</w:t>
                  </w:r>
                </w:p>
              </w:tc>
              <w:tc>
                <w:tcPr>
                  <w:tcW w:w="374" w:type="pct"/>
                  <w:tcBorders>
                    <w:top w:val="single" w:color="auto" w:sz="4" w:space="0"/>
                  </w:tcBorders>
                  <w:noWrap w:val="0"/>
                  <w:vAlign w:val="center"/>
                </w:tcPr>
                <w:p w14:paraId="11D23E37">
                  <w:pPr>
                    <w:pStyle w:val="56"/>
                    <w:keepNext/>
                    <w:keepLines/>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487" w:type="pct"/>
                  <w:tcBorders>
                    <w:top w:val="single" w:color="auto" w:sz="4" w:space="0"/>
                  </w:tcBorders>
                  <w:noWrap w:val="0"/>
                  <w:vAlign w:val="center"/>
                </w:tcPr>
                <w:p w14:paraId="634A00B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254" w:type="pct"/>
                  <w:noWrap w:val="0"/>
                  <w:vAlign w:val="center"/>
                </w:tcPr>
                <w:p w14:paraId="07B554B9">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43279F4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41693D8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w:t>
                  </w:r>
                </w:p>
              </w:tc>
              <w:tc>
                <w:tcPr>
                  <w:tcW w:w="357" w:type="pct"/>
                  <w:noWrap w:val="0"/>
                  <w:vAlign w:val="center"/>
                </w:tcPr>
                <w:p w14:paraId="7D798EC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16988C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9" w:type="pct"/>
                  <w:noWrap w:val="0"/>
                  <w:vAlign w:val="center"/>
                </w:tcPr>
                <w:p w14:paraId="0C12E2D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54" w:type="pct"/>
                  <w:vMerge w:val="continue"/>
                  <w:noWrap w:val="0"/>
                  <w:vAlign w:val="center"/>
                </w:tcPr>
                <w:p w14:paraId="6DD73D9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4D2590C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软水泵</w:t>
                  </w:r>
                </w:p>
              </w:tc>
              <w:tc>
                <w:tcPr>
                  <w:tcW w:w="450" w:type="pct"/>
                  <w:tcBorders>
                    <w:top w:val="single" w:color="auto" w:sz="4" w:space="0"/>
                  </w:tcBorders>
                  <w:noWrap w:val="0"/>
                  <w:vAlign w:val="center"/>
                </w:tcPr>
                <w:p w14:paraId="51323C3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292" w:type="pct"/>
                  <w:vMerge w:val="continue"/>
                  <w:noWrap w:val="0"/>
                  <w:vAlign w:val="center"/>
                </w:tcPr>
                <w:p w14:paraId="7BC1DE1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tcBorders>
                    <w:top w:val="single" w:color="auto" w:sz="4" w:space="0"/>
                  </w:tcBorders>
                  <w:noWrap w:val="0"/>
                  <w:vAlign w:val="center"/>
                </w:tcPr>
                <w:p w14:paraId="489DC49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w:t>
                  </w:r>
                </w:p>
              </w:tc>
              <w:tc>
                <w:tcPr>
                  <w:tcW w:w="317" w:type="pct"/>
                  <w:tcBorders>
                    <w:top w:val="single" w:color="auto" w:sz="4" w:space="0"/>
                  </w:tcBorders>
                  <w:noWrap w:val="0"/>
                  <w:vAlign w:val="center"/>
                </w:tcPr>
                <w:p w14:paraId="1DBB9EB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190</w:t>
                  </w:r>
                </w:p>
              </w:tc>
              <w:tc>
                <w:tcPr>
                  <w:tcW w:w="292" w:type="pct"/>
                  <w:tcBorders>
                    <w:top w:val="single" w:color="auto" w:sz="4" w:space="0"/>
                  </w:tcBorders>
                  <w:noWrap w:val="0"/>
                  <w:vAlign w:val="center"/>
                </w:tcPr>
                <w:p w14:paraId="60AF130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374" w:type="pct"/>
                  <w:tcBorders>
                    <w:top w:val="single" w:color="auto" w:sz="4" w:space="0"/>
                  </w:tcBorders>
                  <w:noWrap w:val="0"/>
                  <w:vAlign w:val="center"/>
                </w:tcPr>
                <w:p w14:paraId="27EEE76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7" w:type="pct"/>
                  <w:tcBorders>
                    <w:top w:val="single" w:color="auto" w:sz="4" w:space="0"/>
                  </w:tcBorders>
                  <w:noWrap w:val="0"/>
                  <w:vAlign w:val="center"/>
                </w:tcPr>
                <w:p w14:paraId="7EB2F5F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254" w:type="pct"/>
                  <w:noWrap w:val="0"/>
                  <w:vAlign w:val="center"/>
                </w:tcPr>
                <w:p w14:paraId="619BBF13">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77B5BC6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72E5B2B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357" w:type="pct"/>
                  <w:noWrap w:val="0"/>
                  <w:vAlign w:val="center"/>
                </w:tcPr>
                <w:p w14:paraId="141B820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400D71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655750E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54" w:type="pct"/>
                  <w:vMerge w:val="continue"/>
                  <w:noWrap w:val="0"/>
                  <w:vAlign w:val="center"/>
                </w:tcPr>
                <w:p w14:paraId="3EA406C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5752066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软水泵</w:t>
                  </w:r>
                </w:p>
              </w:tc>
              <w:tc>
                <w:tcPr>
                  <w:tcW w:w="450" w:type="pct"/>
                  <w:tcBorders>
                    <w:top w:val="single" w:color="auto" w:sz="4" w:space="0"/>
                    <w:bottom w:val="single" w:color="auto" w:sz="4" w:space="0"/>
                  </w:tcBorders>
                  <w:noWrap w:val="0"/>
                  <w:vAlign w:val="center"/>
                </w:tcPr>
                <w:p w14:paraId="1C2B392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292" w:type="pct"/>
                  <w:vMerge w:val="continue"/>
                  <w:noWrap w:val="0"/>
                  <w:vAlign w:val="center"/>
                </w:tcPr>
                <w:p w14:paraId="4CD10A2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449F8B9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132</w:t>
                  </w:r>
                </w:p>
              </w:tc>
              <w:tc>
                <w:tcPr>
                  <w:tcW w:w="317" w:type="pct"/>
                  <w:noWrap w:val="0"/>
                  <w:vAlign w:val="center"/>
                </w:tcPr>
                <w:p w14:paraId="3C431E5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189</w:t>
                  </w:r>
                </w:p>
              </w:tc>
              <w:tc>
                <w:tcPr>
                  <w:tcW w:w="292" w:type="pct"/>
                  <w:noWrap w:val="0"/>
                  <w:vAlign w:val="center"/>
                </w:tcPr>
                <w:p w14:paraId="14E02D6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374" w:type="pct"/>
                  <w:noWrap w:val="0"/>
                  <w:vAlign w:val="center"/>
                </w:tcPr>
                <w:p w14:paraId="1C8E213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7" w:type="pct"/>
                  <w:noWrap w:val="0"/>
                  <w:vAlign w:val="center"/>
                </w:tcPr>
                <w:p w14:paraId="72EA774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254" w:type="pct"/>
                  <w:noWrap w:val="0"/>
                  <w:vAlign w:val="center"/>
                </w:tcPr>
                <w:p w14:paraId="1B077F12">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昼夜</w:t>
                  </w:r>
                </w:p>
              </w:tc>
              <w:tc>
                <w:tcPr>
                  <w:tcW w:w="451" w:type="pct"/>
                  <w:noWrap w:val="0"/>
                  <w:vAlign w:val="center"/>
                </w:tcPr>
                <w:p w14:paraId="5B7011C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14B39D8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357" w:type="pct"/>
                  <w:noWrap w:val="0"/>
                  <w:vAlign w:val="center"/>
                </w:tcPr>
                <w:p w14:paraId="0761E17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416235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27A0F3B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54" w:type="pct"/>
                  <w:vMerge w:val="continue"/>
                  <w:noWrap w:val="0"/>
                  <w:vAlign w:val="center"/>
                </w:tcPr>
                <w:p w14:paraId="221D055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1FD2506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软水泵</w:t>
                  </w:r>
                </w:p>
              </w:tc>
              <w:tc>
                <w:tcPr>
                  <w:tcW w:w="450" w:type="pct"/>
                  <w:tcBorders>
                    <w:top w:val="single" w:color="auto" w:sz="4" w:space="0"/>
                    <w:bottom w:val="single" w:color="auto" w:sz="4" w:space="0"/>
                  </w:tcBorders>
                  <w:noWrap w:val="0"/>
                  <w:vAlign w:val="center"/>
                </w:tcPr>
                <w:p w14:paraId="5FF5C1F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292" w:type="pct"/>
                  <w:vMerge w:val="continue"/>
                  <w:noWrap w:val="0"/>
                  <w:vAlign w:val="center"/>
                </w:tcPr>
                <w:p w14:paraId="166D471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508BDA1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141</w:t>
                  </w:r>
                </w:p>
              </w:tc>
              <w:tc>
                <w:tcPr>
                  <w:tcW w:w="317" w:type="pct"/>
                  <w:noWrap w:val="0"/>
                  <w:vAlign w:val="center"/>
                </w:tcPr>
                <w:p w14:paraId="0A9E29D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187</w:t>
                  </w:r>
                </w:p>
              </w:tc>
              <w:tc>
                <w:tcPr>
                  <w:tcW w:w="292" w:type="pct"/>
                  <w:noWrap w:val="0"/>
                  <w:vAlign w:val="center"/>
                </w:tcPr>
                <w:p w14:paraId="132FF50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374" w:type="pct"/>
                  <w:noWrap w:val="0"/>
                  <w:vAlign w:val="center"/>
                </w:tcPr>
                <w:p w14:paraId="2FA5B29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7" w:type="pct"/>
                  <w:noWrap w:val="0"/>
                  <w:vAlign w:val="center"/>
                </w:tcPr>
                <w:p w14:paraId="6C69A60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254" w:type="pct"/>
                  <w:noWrap w:val="0"/>
                  <w:vAlign w:val="center"/>
                </w:tcPr>
                <w:p w14:paraId="6EE4FC0B">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234C239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19ED45B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w:t>
                  </w:r>
                </w:p>
              </w:tc>
              <w:tc>
                <w:tcPr>
                  <w:tcW w:w="357" w:type="pct"/>
                  <w:noWrap w:val="0"/>
                  <w:vAlign w:val="center"/>
                </w:tcPr>
                <w:p w14:paraId="6A393EA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40D553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560600C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54" w:type="pct"/>
                  <w:vMerge w:val="continue"/>
                  <w:noWrap w:val="0"/>
                  <w:vAlign w:val="center"/>
                </w:tcPr>
                <w:p w14:paraId="63EF578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0D0E36C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蒸汽循环泵</w:t>
                  </w:r>
                </w:p>
              </w:tc>
              <w:tc>
                <w:tcPr>
                  <w:tcW w:w="450" w:type="pct"/>
                  <w:tcBorders>
                    <w:top w:val="single" w:color="auto" w:sz="4" w:space="0"/>
                    <w:bottom w:val="single" w:color="auto" w:sz="4" w:space="0"/>
                  </w:tcBorders>
                  <w:noWrap w:val="0"/>
                  <w:vAlign w:val="center"/>
                </w:tcPr>
                <w:p w14:paraId="207C4C7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621670B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62FD132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138</w:t>
                  </w:r>
                </w:p>
              </w:tc>
              <w:tc>
                <w:tcPr>
                  <w:tcW w:w="317" w:type="pct"/>
                  <w:noWrap w:val="0"/>
                  <w:vAlign w:val="center"/>
                </w:tcPr>
                <w:p w14:paraId="784FFBF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159</w:t>
                  </w:r>
                </w:p>
              </w:tc>
              <w:tc>
                <w:tcPr>
                  <w:tcW w:w="292" w:type="pct"/>
                  <w:noWrap w:val="0"/>
                  <w:vAlign w:val="center"/>
                </w:tcPr>
                <w:p w14:paraId="4A7B280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374" w:type="pct"/>
                  <w:noWrap w:val="0"/>
                  <w:vAlign w:val="center"/>
                </w:tcPr>
                <w:p w14:paraId="73136EE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7" w:type="pct"/>
                  <w:noWrap w:val="0"/>
                  <w:vAlign w:val="center"/>
                </w:tcPr>
                <w:p w14:paraId="46C20A7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54" w:type="pct"/>
                  <w:noWrap w:val="0"/>
                  <w:vAlign w:val="center"/>
                </w:tcPr>
                <w:p w14:paraId="30D0F60E">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4F66ED1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71CC36C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57" w:type="pct"/>
                  <w:noWrap w:val="0"/>
                  <w:vAlign w:val="center"/>
                </w:tcPr>
                <w:p w14:paraId="14D6DE7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153695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5725B5B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54" w:type="pct"/>
                  <w:vMerge w:val="continue"/>
                  <w:noWrap w:val="0"/>
                  <w:vAlign w:val="center"/>
                </w:tcPr>
                <w:p w14:paraId="2765B54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3290C33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bottom w:val="single" w:color="auto" w:sz="4" w:space="0"/>
                  </w:tcBorders>
                  <w:noWrap w:val="0"/>
                  <w:vAlign w:val="center"/>
                </w:tcPr>
                <w:p w14:paraId="314C9D8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5296D32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6AA0253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317" w:type="pct"/>
                  <w:noWrap w:val="0"/>
                  <w:vAlign w:val="center"/>
                </w:tcPr>
                <w:p w14:paraId="18E3B3F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182</w:t>
                  </w:r>
                </w:p>
              </w:tc>
              <w:tc>
                <w:tcPr>
                  <w:tcW w:w="292" w:type="pct"/>
                  <w:noWrap w:val="0"/>
                  <w:vAlign w:val="center"/>
                </w:tcPr>
                <w:p w14:paraId="1CF1449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374" w:type="pct"/>
                  <w:noWrap w:val="0"/>
                  <w:vAlign w:val="center"/>
                </w:tcPr>
                <w:p w14:paraId="35C4B42D">
                  <w:pPr>
                    <w:pStyle w:val="56"/>
                    <w:keepNext/>
                    <w:keepLines/>
                    <w:suppressLineNumbers w:val="0"/>
                    <w:spacing w:before="0" w:beforeAutospacing="0" w:after="0" w:afterAutospacing="0"/>
                    <w:ind w:left="0"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487" w:type="pct"/>
                  <w:noWrap w:val="0"/>
                  <w:vAlign w:val="center"/>
                </w:tcPr>
                <w:p w14:paraId="27F8319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59</w:t>
                  </w:r>
                </w:p>
              </w:tc>
              <w:tc>
                <w:tcPr>
                  <w:tcW w:w="254" w:type="pct"/>
                  <w:noWrap w:val="0"/>
                  <w:vAlign w:val="center"/>
                </w:tcPr>
                <w:p w14:paraId="58403878">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10F4121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49334ED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357" w:type="pct"/>
                  <w:noWrap w:val="0"/>
                  <w:vAlign w:val="center"/>
                </w:tcPr>
                <w:p w14:paraId="6232D4F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410F79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9" w:hRule="atLeast"/>
                <w:jc w:val="center"/>
              </w:trPr>
              <w:tc>
                <w:tcPr>
                  <w:tcW w:w="279" w:type="pct"/>
                  <w:noWrap w:val="0"/>
                  <w:vAlign w:val="center"/>
                </w:tcPr>
                <w:p w14:paraId="111C175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54" w:type="pct"/>
                  <w:vMerge w:val="continue"/>
                  <w:noWrap w:val="0"/>
                  <w:vAlign w:val="center"/>
                </w:tcPr>
                <w:p w14:paraId="6236695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43CE17C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bottom w:val="single" w:color="auto" w:sz="4" w:space="0"/>
                  </w:tcBorders>
                  <w:noWrap w:val="0"/>
                  <w:vAlign w:val="center"/>
                </w:tcPr>
                <w:p w14:paraId="1693480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7B0889E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5E5BFB3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78</w:t>
                  </w:r>
                </w:p>
              </w:tc>
              <w:tc>
                <w:tcPr>
                  <w:tcW w:w="317" w:type="pct"/>
                  <w:noWrap w:val="0"/>
                  <w:vAlign w:val="center"/>
                </w:tcPr>
                <w:p w14:paraId="6EF1865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181</w:t>
                  </w:r>
                </w:p>
              </w:tc>
              <w:tc>
                <w:tcPr>
                  <w:tcW w:w="292" w:type="pct"/>
                  <w:noWrap w:val="0"/>
                  <w:vAlign w:val="center"/>
                </w:tcPr>
                <w:p w14:paraId="034E5B6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2762B2C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487" w:type="pct"/>
                  <w:noWrap w:val="0"/>
                  <w:vAlign w:val="center"/>
                </w:tcPr>
                <w:p w14:paraId="4334F2D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254" w:type="pct"/>
                  <w:noWrap w:val="0"/>
                  <w:vAlign w:val="center"/>
                </w:tcPr>
                <w:p w14:paraId="092BEE8E">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083DDBE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08C06B0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w:t>
                  </w:r>
                </w:p>
              </w:tc>
              <w:tc>
                <w:tcPr>
                  <w:tcW w:w="357" w:type="pct"/>
                  <w:noWrap w:val="0"/>
                  <w:vAlign w:val="center"/>
                </w:tcPr>
                <w:p w14:paraId="3A79E06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6A2CE8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697DA4C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54" w:type="pct"/>
                  <w:vMerge w:val="continue"/>
                  <w:noWrap w:val="0"/>
                  <w:vAlign w:val="center"/>
                </w:tcPr>
                <w:p w14:paraId="13A0A93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1EB3799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bottom w:val="single" w:color="auto" w:sz="4" w:space="0"/>
                  </w:tcBorders>
                  <w:noWrap w:val="0"/>
                  <w:vAlign w:val="center"/>
                </w:tcPr>
                <w:p w14:paraId="30BF96B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279C3E6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7F8A73C3">
                  <w:pPr>
                    <w:pStyle w:val="56"/>
                    <w:keepNext/>
                    <w:keepLines/>
                    <w:suppressLineNumbers w:val="0"/>
                    <w:spacing w:before="0" w:beforeAutospacing="0" w:after="0" w:afterAutospacing="0"/>
                    <w:ind w:left="0" w:right="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89</w:t>
                  </w:r>
                </w:p>
              </w:tc>
              <w:tc>
                <w:tcPr>
                  <w:tcW w:w="317" w:type="pct"/>
                  <w:noWrap w:val="0"/>
                  <w:vAlign w:val="center"/>
                </w:tcPr>
                <w:p w14:paraId="0D863E0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179</w:t>
                  </w:r>
                </w:p>
              </w:tc>
              <w:tc>
                <w:tcPr>
                  <w:tcW w:w="292" w:type="pct"/>
                  <w:noWrap w:val="0"/>
                  <w:vAlign w:val="center"/>
                </w:tcPr>
                <w:p w14:paraId="1E7E64D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6C66324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7" w:type="pct"/>
                  <w:noWrap w:val="0"/>
                  <w:vAlign w:val="center"/>
                </w:tcPr>
                <w:p w14:paraId="2EE79C3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254" w:type="pct"/>
                  <w:noWrap w:val="0"/>
                  <w:vAlign w:val="center"/>
                </w:tcPr>
                <w:p w14:paraId="2B7C1A88">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125B64F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41745752">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357" w:type="pct"/>
                  <w:noWrap w:val="0"/>
                  <w:vAlign w:val="center"/>
                </w:tcPr>
                <w:p w14:paraId="3C4EB78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378CB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139CBCE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54" w:type="pct"/>
                  <w:vMerge w:val="continue"/>
                  <w:noWrap w:val="0"/>
                  <w:vAlign w:val="center"/>
                </w:tcPr>
                <w:p w14:paraId="7DDB880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0900776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bottom w:val="single" w:color="auto" w:sz="4" w:space="0"/>
                  </w:tcBorders>
                  <w:noWrap w:val="0"/>
                  <w:vAlign w:val="center"/>
                </w:tcPr>
                <w:p w14:paraId="1F5F0FF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2F9C984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0F18A03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104</w:t>
                  </w:r>
                </w:p>
              </w:tc>
              <w:tc>
                <w:tcPr>
                  <w:tcW w:w="317" w:type="pct"/>
                  <w:noWrap w:val="0"/>
                  <w:vAlign w:val="center"/>
                </w:tcPr>
                <w:p w14:paraId="2734908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175</w:t>
                  </w:r>
                </w:p>
              </w:tc>
              <w:tc>
                <w:tcPr>
                  <w:tcW w:w="292" w:type="pct"/>
                  <w:noWrap w:val="0"/>
                  <w:vAlign w:val="center"/>
                </w:tcPr>
                <w:p w14:paraId="2868D85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66D09ED5">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7" w:type="pct"/>
                  <w:noWrap w:val="0"/>
                  <w:vAlign w:val="center"/>
                </w:tcPr>
                <w:p w14:paraId="1074D36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254" w:type="pct"/>
                  <w:noWrap w:val="0"/>
                  <w:vAlign w:val="center"/>
                </w:tcPr>
                <w:p w14:paraId="1970750A">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30772F6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0DC29A0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357" w:type="pct"/>
                  <w:noWrap w:val="0"/>
                  <w:vAlign w:val="center"/>
                </w:tcPr>
                <w:p w14:paraId="648FA93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269D5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0E5AD9E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54" w:type="pct"/>
                  <w:vMerge w:val="continue"/>
                  <w:noWrap w:val="0"/>
                  <w:vAlign w:val="center"/>
                </w:tcPr>
                <w:p w14:paraId="0975177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015526CE">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bottom w:val="single" w:color="auto" w:sz="4" w:space="0"/>
                  </w:tcBorders>
                  <w:noWrap w:val="0"/>
                  <w:vAlign w:val="center"/>
                </w:tcPr>
                <w:p w14:paraId="4F71659A">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3F25A6D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4E2CEB80">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114</w:t>
                  </w:r>
                </w:p>
              </w:tc>
              <w:tc>
                <w:tcPr>
                  <w:tcW w:w="317" w:type="pct"/>
                  <w:noWrap w:val="0"/>
                  <w:vAlign w:val="center"/>
                </w:tcPr>
                <w:p w14:paraId="60E010F7">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173</w:t>
                  </w:r>
                </w:p>
              </w:tc>
              <w:tc>
                <w:tcPr>
                  <w:tcW w:w="292" w:type="pct"/>
                  <w:noWrap w:val="0"/>
                  <w:vAlign w:val="center"/>
                </w:tcPr>
                <w:p w14:paraId="35E238B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0E0E69B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7" w:type="pct"/>
                  <w:noWrap w:val="0"/>
                  <w:vAlign w:val="center"/>
                </w:tcPr>
                <w:p w14:paraId="6A9CD5D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254" w:type="pct"/>
                  <w:noWrap w:val="0"/>
                  <w:vAlign w:val="center"/>
                </w:tcPr>
                <w:p w14:paraId="4C4BE204">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7BDEA8A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15</w:t>
                  </w:r>
                </w:p>
              </w:tc>
              <w:tc>
                <w:tcPr>
                  <w:tcW w:w="451" w:type="pct"/>
                  <w:noWrap w:val="0"/>
                  <w:vAlign w:val="center"/>
                </w:tcPr>
                <w:p w14:paraId="590C7674">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357" w:type="pct"/>
                  <w:noWrap w:val="0"/>
                  <w:vAlign w:val="center"/>
                </w:tcPr>
                <w:p w14:paraId="3B2B1FFD">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r w14:paraId="2F81B5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9" w:type="pct"/>
                  <w:noWrap w:val="0"/>
                  <w:vAlign w:val="center"/>
                </w:tcPr>
                <w:p w14:paraId="726EDCC1">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254" w:type="pct"/>
                  <w:vMerge w:val="continue"/>
                  <w:noWrap w:val="0"/>
                  <w:vAlign w:val="center"/>
                </w:tcPr>
                <w:p w14:paraId="7C65FD3B">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416" w:type="pct"/>
                  <w:noWrap w:val="0"/>
                  <w:vAlign w:val="center"/>
                </w:tcPr>
                <w:p w14:paraId="14CA144C">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循环泵</w:t>
                  </w:r>
                </w:p>
              </w:tc>
              <w:tc>
                <w:tcPr>
                  <w:tcW w:w="450" w:type="pct"/>
                  <w:tcBorders>
                    <w:top w:val="single" w:color="auto" w:sz="4" w:space="0"/>
                  </w:tcBorders>
                  <w:noWrap w:val="0"/>
                  <w:vAlign w:val="center"/>
                </w:tcPr>
                <w:p w14:paraId="1A1C4C13">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292" w:type="pct"/>
                  <w:vMerge w:val="continue"/>
                  <w:noWrap w:val="0"/>
                  <w:vAlign w:val="center"/>
                </w:tcPr>
                <w:p w14:paraId="73F90C9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noWrap w:val="0"/>
                  <w:vAlign w:val="center"/>
                </w:tcPr>
                <w:p w14:paraId="6627915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128</w:t>
                  </w:r>
                </w:p>
              </w:tc>
              <w:tc>
                <w:tcPr>
                  <w:tcW w:w="317" w:type="pct"/>
                  <w:noWrap w:val="0"/>
                  <w:vAlign w:val="center"/>
                </w:tcPr>
                <w:p w14:paraId="1834FC8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w:t>
                  </w:r>
                </w:p>
              </w:tc>
              <w:tc>
                <w:tcPr>
                  <w:tcW w:w="292" w:type="pct"/>
                  <w:noWrap w:val="0"/>
                  <w:vAlign w:val="center"/>
                </w:tcPr>
                <w:p w14:paraId="407703E9">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0.5</w:t>
                  </w:r>
                </w:p>
              </w:tc>
              <w:tc>
                <w:tcPr>
                  <w:tcW w:w="374" w:type="pct"/>
                  <w:noWrap w:val="0"/>
                  <w:vAlign w:val="center"/>
                </w:tcPr>
                <w:p w14:paraId="2EB499E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7" w:type="pct"/>
                  <w:noWrap w:val="0"/>
                  <w:vAlign w:val="center"/>
                </w:tcPr>
                <w:p w14:paraId="77AF67F6">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254" w:type="pct"/>
                  <w:noWrap w:val="0"/>
                  <w:vAlign w:val="center"/>
                </w:tcPr>
                <w:p w14:paraId="7B604D3F">
                  <w:pPr>
                    <w:keepNext/>
                    <w:keepLines/>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昼夜</w:t>
                  </w:r>
                </w:p>
              </w:tc>
              <w:tc>
                <w:tcPr>
                  <w:tcW w:w="451" w:type="pct"/>
                  <w:noWrap w:val="0"/>
                  <w:vAlign w:val="center"/>
                </w:tcPr>
                <w:p w14:paraId="430E433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15</w:t>
                  </w:r>
                </w:p>
              </w:tc>
              <w:tc>
                <w:tcPr>
                  <w:tcW w:w="451" w:type="pct"/>
                  <w:noWrap w:val="0"/>
                  <w:vAlign w:val="center"/>
                </w:tcPr>
                <w:p w14:paraId="3AB313BF">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w:t>
                  </w:r>
                </w:p>
              </w:tc>
              <w:tc>
                <w:tcPr>
                  <w:tcW w:w="357" w:type="pct"/>
                  <w:noWrap w:val="0"/>
                  <w:vAlign w:val="center"/>
                </w:tcPr>
                <w:p w14:paraId="53FEE428">
                  <w:pPr>
                    <w:pStyle w:val="56"/>
                    <w:keepNext/>
                    <w:keepLines/>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25</w:t>
                  </w:r>
                </w:p>
              </w:tc>
            </w:tr>
          </w:tbl>
          <w:p w14:paraId="127B7A9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⑵降噪治理措施</w:t>
            </w:r>
          </w:p>
          <w:p w14:paraId="777978E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泵类</w:t>
            </w:r>
            <w:r>
              <w:rPr>
                <w:rFonts w:hint="default" w:ascii="Times New Roman" w:hAnsi="Times New Roman" w:eastAsia="宋体" w:cs="Times New Roman"/>
                <w:color w:val="000000" w:themeColor="text1"/>
                <w:sz w:val="24"/>
                <w:szCs w:val="24"/>
                <w14:textFill>
                  <w14:solidFill>
                    <w14:schemeClr w14:val="tx1"/>
                  </w14:solidFill>
                </w14:textFill>
              </w:rPr>
              <w:t>机设置基础减振，从而降低噪声的传播；</w:t>
            </w:r>
          </w:p>
          <w:p w14:paraId="530516B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②加强设备的维护和保养，确保设备处于良好的运转状态，预防维修不良的机械设备因部件振动而增加其工作噪声，从而在声源处达到降噪</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效果</w:t>
            </w:r>
            <w:r>
              <w:rPr>
                <w:rFonts w:hint="default" w:ascii="Times New Roman" w:hAnsi="Times New Roman" w:eastAsia="宋体" w:cs="Times New Roman"/>
                <w:color w:val="000000" w:themeColor="text1"/>
                <w:sz w:val="24"/>
                <w:szCs w:val="24"/>
                <w14:textFill>
                  <w14:solidFill>
                    <w14:schemeClr w14:val="tx1"/>
                  </w14:solidFill>
                </w14:textFill>
              </w:rPr>
              <w:t>；</w:t>
            </w:r>
          </w:p>
          <w:p w14:paraId="549E99D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③生产设施均设置在厂房内，采用建筑物隔声，防止噪声的扩散和传播，并避免高噪声设备集中放置；生产作业时尽量避免开窗，以增强隔声效果。</w:t>
            </w:r>
          </w:p>
          <w:p w14:paraId="653BB96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经采取上述措施，通过对设备的定期维护保养从声源处进行治理、通过设置减振垫（基础减振）、设备安装在厂房内的措施，从传播途径的阻隔，均可有效减小</w:t>
            </w:r>
            <w:r>
              <w:rPr>
                <w:rFonts w:hint="eastAsia" w:ascii="Times New Roman" w:hAnsi="Times New Roman" w:eastAsia="宋体" w:cs="Times New Roman"/>
                <w:color w:val="000000" w:themeColor="text1"/>
                <w:sz w:val="24"/>
                <w:szCs w:val="24"/>
                <w:lang w:eastAsia="zh-CN"/>
                <w14:textFill>
                  <w14:solidFill>
                    <w14:schemeClr w14:val="tx1"/>
                  </w14:solidFill>
                </w14:textFill>
              </w:rPr>
              <w:t>噪声</w:t>
            </w:r>
            <w:r>
              <w:rPr>
                <w:rFonts w:hint="default" w:ascii="Times New Roman" w:hAnsi="Times New Roman" w:eastAsia="宋体" w:cs="Times New Roman"/>
                <w:color w:val="000000" w:themeColor="text1"/>
                <w:sz w:val="24"/>
                <w:szCs w:val="24"/>
                <w14:textFill>
                  <w14:solidFill>
                    <w14:schemeClr w14:val="tx1"/>
                  </w14:solidFill>
                </w14:textFill>
              </w:rPr>
              <w:t>的传播。</w:t>
            </w:r>
          </w:p>
          <w:p w14:paraId="0C409A4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⑶厂界噪声达标分析</w:t>
            </w:r>
          </w:p>
          <w:p w14:paraId="36479E8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①预测点的确定</w:t>
            </w:r>
          </w:p>
          <w:p w14:paraId="425CC7F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项目噪声预测点与现状监测点位置相同，即厂界东、南、西、北边界外1m。</w:t>
            </w:r>
          </w:p>
          <w:p w14:paraId="15C9CAF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②预测模式</w:t>
            </w:r>
          </w:p>
          <w:p w14:paraId="57BA341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项目采用点源衰减模式和多源叠加模式预测生产时厂界噪声，预测模式如下：</w:t>
            </w:r>
          </w:p>
          <w:p w14:paraId="6FFE9F64">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A室外点源</w:t>
            </w:r>
          </w:p>
          <w:p w14:paraId="1B93AC9C">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采用的衰减公式为：</w:t>
            </w:r>
          </w:p>
          <w:p w14:paraId="7DB76C7F">
            <w:pPr>
              <w:pStyle w:val="62"/>
              <w:keepNext w:val="0"/>
              <w:keepLines w:val="0"/>
              <w:suppressLineNumbers w:val="0"/>
              <w:snapToGrid/>
              <w:spacing w:before="0" w:beforeAutospacing="0" w:after="0" w:afterAutospacing="0"/>
              <w:ind w:left="0" w:right="0"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25" o:spt="75" type="#_x0000_t75" style="height:18.05pt;width:130.15pt;" o:ole="t" filled="f" o:preferrelative="t" stroked="f" coordsize="21600,21600">
                  <v:path/>
                  <v:fill on="f" alignshape="1" focussize="0,0"/>
                  <v:stroke on="f"/>
                  <v:imagedata r:id="rId17" o:title=""/>
                  <o:lock v:ext="edit" aspectratio="t"/>
                  <w10:wrap type="none"/>
                  <w10:anchorlock/>
                </v:shape>
                <o:OLEObject Type="Embed" ProgID="Equation.3" ShapeID="_x0000_i1025" DrawAspect="Content" ObjectID="_1468075725" r:id="rId16">
                  <o:LockedField>false</o:LockedField>
                </o:OLEObject>
              </w:object>
            </w:r>
          </w:p>
          <w:p w14:paraId="4EAAC94D">
            <w:pPr>
              <w:pStyle w:val="62"/>
              <w:keepNext w:val="0"/>
              <w:keepLines w:val="0"/>
              <w:suppressLineNumbers w:val="0"/>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式中：LA（r）——距离噪声源r处的声压级，dB（A）；</w:t>
            </w:r>
          </w:p>
          <w:p w14:paraId="79F80FF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r——预测点距离噪声源的距离，m；</w:t>
            </w:r>
          </w:p>
          <w:p w14:paraId="4F0C9BAD">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r0——参考位置距噪声源的距离，m。</w:t>
            </w:r>
          </w:p>
          <w:p w14:paraId="13F6531F">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B室内声源</w:t>
            </w:r>
          </w:p>
          <w:p w14:paraId="34B0E984">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计算车间室内声源靠近围护结构处产生的声压级：</w:t>
            </w:r>
          </w:p>
          <w:p w14:paraId="2BB7B1CA">
            <w:pPr>
              <w:keepNext w:val="0"/>
              <w:keepLines w:val="0"/>
              <w:suppressLineNumbers w:val="0"/>
              <w:spacing w:before="0" w:beforeAutospacing="0" w:after="0" w:afterAutospacing="0" w:line="360" w:lineRule="auto"/>
              <w:ind w:left="48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object>
                <v:shape id="_x0000_i1026" o:spt="75" type="#_x0000_t75" style="height:35.15pt;width:137.15pt;" o:ole="t" filled="f" o:preferrelative="t" stroked="f" coordsize="21600,21600">
                  <v:path/>
                  <v:fill on="f" alignshape="1"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14:paraId="6485DA6E">
            <w:pPr>
              <w:keepNext w:val="0"/>
              <w:keepLines w:val="0"/>
              <w:suppressLineNumbers w:val="0"/>
              <w:spacing w:before="0" w:beforeAutospacing="0" w:after="0" w:afterAutospacing="0" w:line="360" w:lineRule="auto"/>
              <w:ind w:left="48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r>
              <w:rPr>
                <w:rFonts w:hint="default" w:ascii="Times New Roman" w:hAnsi="Times New Roman" w:cs="Times New Roman"/>
                <w:color w:val="000000" w:themeColor="text1"/>
                <w:sz w:val="24"/>
                <w:szCs w:val="24"/>
                <w14:textFill>
                  <w14:solidFill>
                    <w14:schemeClr w14:val="tx1"/>
                  </w14:solidFill>
                </w14:textFill>
              </w:rPr>
              <w:object>
                <v:shape id="_x0000_i1027" o:spt="75" type="#_x0000_t75" style="height:15.55pt;width:12.1pt;" o:ole="t" filled="f" o:preferrelative="t" stroked="f" coordsize="21600,21600">
                  <v:path/>
                  <v:fill on="f" focussize="0,0"/>
                  <v:stroke on="f"/>
                  <v:imagedata r:id="rId21" o:title=""/>
                  <o:lock v:ext="edit" aspectratio="t"/>
                  <w10:wrap type="none"/>
                  <w10:anchorlock/>
                </v:shape>
                <o:OLEObject Type="Embed" ProgID="Equation.DSMT4" ShapeID="_x0000_i1027" DrawAspect="Content" ObjectID="_1468075727" r:id="rId20">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—指向性因子；</w:t>
            </w:r>
          </w:p>
          <w:p w14:paraId="6CF93537">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LW—室内声源声功率级，dB；</w:t>
            </w:r>
          </w:p>
          <w:p w14:paraId="1C7EB12F">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28" o:spt="75" type="#_x0000_t75" style="height:12.65pt;width:12.1pt;" o:ole="t" filled="f" o:preferrelative="t" stroked="f" coordsize="21600,21600">
                  <v:path/>
                  <v:fill on="f" focussize="0,0"/>
                  <v:stroke on="f"/>
                  <v:imagedata r:id="rId23" o:title=""/>
                  <o:lock v:ext="edit" aspectratio="t"/>
                  <w10:wrap type="none"/>
                  <w10:anchorlock/>
                </v:shape>
                <o:OLEObject Type="Embed" ProgID="Equation.DSMT4" ShapeID="_x0000_i1028" DrawAspect="Content" ObjectID="_1468075728" r:id="rId22">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—房间常数；</w:t>
            </w:r>
          </w:p>
          <w:p w14:paraId="34BE0299">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29" o:spt="75" type="#_x0000_t75" style="height:17.85pt;width:9.8pt;" o:ole="t" filled="f" o:preferrelative="t" stroked="f" coordsize="21600,21600">
                  <v:path/>
                  <v:fill on="f" focussize="0,0"/>
                  <v:stroke on="f"/>
                  <v:imagedata r:id="rId25" o:title=""/>
                  <o:lock v:ext="edit" aspectratio="t"/>
                  <w10:wrap type="none"/>
                  <w10:anchorlock/>
                </v:shape>
                <o:OLEObject Type="Embed" ProgID="Equation.DSMT4" ShapeID="_x0000_i1029" DrawAspect="Content" ObjectID="_1468075729" r:id="rId24">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—声源到靠近围护结构某点处的距离，m。</w:t>
            </w:r>
          </w:p>
          <w:p w14:paraId="6E9350A6">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计算所有室内声源在围护结构处产生的叠加声压级：</w:t>
            </w:r>
          </w:p>
          <w:p w14:paraId="267D00F8">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0" o:spt="75" type="#_x0000_t75" style="height:35.15pt;width:128.5pt;" o:ole="t" filled="f" o:preferrelative="t" stroked="f" coordsize="21600,21600">
                  <v:path/>
                  <v:fill on="f" focussize="0,0"/>
                  <v:stroke on="f"/>
                  <v:imagedata r:id="rId27" o:title=""/>
                  <o:lock v:ext="edit" aspectratio="t"/>
                  <w10:wrap type="none"/>
                  <w10:anchorlock/>
                </v:shape>
                <o:OLEObject Type="Embed" ProgID="Equation.3" ShapeID="_x0000_i1030" DrawAspect="Content" ObjectID="_1468075730" r:id="rId26">
                  <o:LockedField>false</o:LockedField>
                </o:OLEObject>
              </w:object>
            </w:r>
          </w:p>
          <w:p w14:paraId="2CD8D331">
            <w:pPr>
              <w:keepNext w:val="0"/>
              <w:keepLines w:val="0"/>
              <w:suppressLineNumbers w:val="0"/>
              <w:spacing w:before="0" w:beforeAutospacing="0" w:after="0" w:afterAutospacing="0" w:line="360" w:lineRule="auto"/>
              <w:ind w:left="0" w:right="0" w:firstLine="616" w:firstLineChars="257"/>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式中：Lp1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T)—靠近围护结构处室内N个声源的叠加声压级，dB；</w:t>
            </w:r>
          </w:p>
          <w:p w14:paraId="5F67E2A3">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Lp1j</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T)—室内j声源声压级，dB；</w:t>
            </w:r>
          </w:p>
          <w:p w14:paraId="4334A770">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N—室内声源总数。</w:t>
            </w:r>
          </w:p>
          <w:p w14:paraId="016C3E13">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计算靠近室外</w:t>
            </w:r>
            <w:r>
              <w:rPr>
                <w:rFonts w:hint="eastAsia" w:ascii="Times New Roman" w:hAnsi="Times New Roman" w:cs="Times New Roman"/>
                <w:color w:val="000000" w:themeColor="text1"/>
                <w:sz w:val="24"/>
                <w:szCs w:val="24"/>
                <w:lang w:eastAsia="zh-CN"/>
                <w14:textFill>
                  <w14:solidFill>
                    <w14:schemeClr w14:val="tx1"/>
                  </w14:solidFill>
                </w14:textFill>
              </w:rPr>
              <w:t>围护结构</w:t>
            </w:r>
            <w:r>
              <w:rPr>
                <w:rFonts w:hint="default" w:ascii="Times New Roman" w:hAnsi="Times New Roman" w:cs="Times New Roman"/>
                <w:color w:val="000000" w:themeColor="text1"/>
                <w:sz w:val="24"/>
                <w:szCs w:val="24"/>
                <w14:textFill>
                  <w14:solidFill>
                    <w14:schemeClr w14:val="tx1"/>
                  </w14:solidFill>
                </w14:textFill>
              </w:rPr>
              <w:t>处的声压级：</w:t>
            </w:r>
          </w:p>
          <w:p w14:paraId="33DB2649">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1" o:spt="75" type="#_x0000_t75" style="height:19pt;width:135.6pt;" o:ole="t" filled="f" o:preferrelative="t" stroked="f" coordsize="21600,21600">
                  <v:path/>
                  <v:fill on="f" alignshape="1" focussize="0,0"/>
                  <v:stroke on="f"/>
                  <v:imagedata r:id="rId29" o:title=""/>
                  <o:lock v:ext="edit" aspectratio="t"/>
                  <w10:wrap type="none"/>
                  <w10:anchorlock/>
                </v:shape>
                <o:OLEObject Type="Embed" ProgID="Equation.3" ShapeID="_x0000_i1031" DrawAspect="Content" ObjectID="_1468075731" r:id="rId28">
                  <o:LockedField>false</o:LockedField>
                </o:OLEObject>
              </w:object>
            </w:r>
          </w:p>
          <w:p w14:paraId="63637566">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式中：Lp2i</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T)—靠近围护结构处室内N个声源的叠加声压级，dB；</w:t>
            </w:r>
          </w:p>
          <w:p w14:paraId="37A1AEEA">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TL—围护结构的隔声量，dB；</w:t>
            </w:r>
          </w:p>
          <w:p w14:paraId="1FEDB2E3">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将室外声源的声压级和透过面积换算成等效的室外声源，计算中心位置位于透声面积处的等效声源的声功率级：</w:t>
            </w:r>
          </w:p>
          <w:p w14:paraId="48CE43F1">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2" o:spt="75" type="#_x0000_t75" style="height:17.85pt;width:104.9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2" r:id="rId30">
                  <o:LockedField>false</o:LockedField>
                </o:OLEObject>
              </w:object>
            </w:r>
          </w:p>
          <w:p w14:paraId="257C919B">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按室外声源预测方法计算预测点处的声压级。</w:t>
            </w:r>
          </w:p>
          <w:p w14:paraId="7F8D7790">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3" o:spt="75" type="#_x0000_t75" style="height:19pt;width:134.85pt;" o:ole="t" filled="f" o:preferrelative="t" stroked="f" coordsize="21600,21600">
                  <v:path/>
                  <v:fill on="f" focussize="0,0"/>
                  <v:stroke on="f"/>
                  <v:imagedata r:id="rId33" o:title=""/>
                  <o:lock v:ext="edit" aspectratio="t"/>
                  <w10:wrap type="none"/>
                  <w10:anchorlock/>
                </v:shape>
                <o:OLEObject Type="Embed" ProgID="Equation.DSMT4" ShapeID="_x0000_i1033" DrawAspect="Content" ObjectID="_1468075733" r:id="rId32">
                  <o:LockedField>false</o:LockedField>
                </o:OLEObject>
              </w:object>
            </w:r>
          </w:p>
          <w:p w14:paraId="43E8408B">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预测点在靠近声源处，但不能满足声源条件时，按线声源或面声源模式计算。</w:t>
            </w:r>
          </w:p>
          <w:p w14:paraId="0587CA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C总声压级</w:t>
            </w:r>
          </w:p>
          <w:p w14:paraId="4D5E91D4">
            <w:pPr>
              <w:keepNext w:val="0"/>
              <w:keepLines w:val="0"/>
              <w:suppressLineNumbers w:val="0"/>
              <w:spacing w:before="0" w:beforeAutospacing="0" w:after="0" w:afterAutospacing="0" w:line="360" w:lineRule="auto"/>
              <w:ind w:left="0" w:right="0" w:firstLine="1320" w:firstLineChars="55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4" o:spt="75" type="#_x0000_t75" style="height:35.2pt;width:240.25pt;" o:ole="t" filled="f" o:preferrelative="t" stroked="f" coordsize="21600,21600">
                  <v:path/>
                  <v:fill on="f" focussize="0,0"/>
                  <v:stroke on="f"/>
                  <v:imagedata r:id="rId35" o:title=""/>
                  <o:lock v:ext="edit" aspectratio="t"/>
                  <w10:wrap type="none"/>
                  <w10:anchorlock/>
                </v:shape>
                <o:OLEObject Type="Embed" ProgID="Equation.DSMT4" ShapeID="_x0000_i1034" DrawAspect="Content" ObjectID="_1468075734" r:id="rId34">
                  <o:LockedField>false</o:LockedField>
                </o:OLEObject>
              </w:object>
            </w:r>
          </w:p>
          <w:p w14:paraId="28861C46">
            <w:pPr>
              <w:keepNext w:val="0"/>
              <w:keepLines w:val="0"/>
              <w:suppressLineNumbers w:val="0"/>
              <w:spacing w:before="0" w:beforeAutospacing="0" w:after="0" w:afterAutospacing="0" w:line="360" w:lineRule="auto"/>
              <w:ind w:left="0" w:right="0" w:firstLine="540" w:firstLineChars="22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式中：T为计算等效声级的时间；</w:t>
            </w:r>
          </w:p>
          <w:p w14:paraId="114FA0B1">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M为室外声源个数；N为室内声源个数；</w:t>
            </w:r>
          </w:p>
          <w:p w14:paraId="7FF4003C">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5" o:spt="75" type="#_x0000_t75" style="height:19pt;width:20.75pt;" o:ole="t" filled="f" o:preferrelative="t" stroked="f" coordsize="21600,21600">
                  <v:path/>
                  <v:fill on="f" focussize="0,0"/>
                  <v:stroke on="f"/>
                  <v:imagedata r:id="rId37" o:title=""/>
                  <o:lock v:ext="edit" aspectratio="t"/>
                  <w10:wrap type="none"/>
                  <w10:anchorlock/>
                </v:shape>
                <o:OLEObject Type="Embed" ProgID="Equation.DSMT4" ShapeID="_x0000_i1035" DrawAspect="Content" ObjectID="_1468075735" r:id="rId36">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为T时间内第i个室外声源的工作时间；</w:t>
            </w:r>
          </w:p>
          <w:p w14:paraId="7FC5BF1E">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6" o:spt="75" type="#_x0000_t75" style="height:19pt;width:17.85pt;" o:ole="t" filled="f" o:preferrelative="t" stroked="f" coordsize="21600,21600">
                  <v:path/>
                  <v:fill on="f" focussize="0,0"/>
                  <v:stroke on="f"/>
                  <v:imagedata r:id="rId39" o:title=""/>
                  <o:lock v:ext="edit" aspectratio="t"/>
                  <w10:wrap type="none"/>
                  <w10:anchorlock/>
                </v:shape>
                <o:OLEObject Type="Embed" ProgID="Equation.DSMT4" ShapeID="_x0000_i1036" DrawAspect="Content" ObjectID="_1468075736" r:id="rId38">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为T时间内第j个室内声源的工作时间。</w:t>
            </w:r>
          </w:p>
          <w:p w14:paraId="250BE78B">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37" o:spt="75" type="#_x0000_t75" style="height:17.85pt;width:15.55pt;" o:ole="t" filled="f" o:preferrelative="t" stroked="f" coordsize="21600,21600">
                  <v:path/>
                  <v:fill on="f" focussize="0,0"/>
                  <v:stroke on="f"/>
                  <v:imagedata r:id="rId41" o:title=""/>
                  <o:lock v:ext="edit" aspectratio="t"/>
                  <w10:wrap type="none"/>
                  <w10:anchorlock/>
                </v:shape>
                <o:OLEObject Type="Embed" ProgID="Equation.DSMT4" ShapeID="_x0000_i1037" DrawAspect="Content" ObjectID="_1468075737" r:id="rId40">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和</w:t>
            </w:r>
            <w:r>
              <w:rPr>
                <w:rFonts w:hint="default" w:ascii="Times New Roman" w:hAnsi="Times New Roman" w:cs="Times New Roman"/>
                <w:color w:val="000000" w:themeColor="text1"/>
                <w:sz w:val="24"/>
                <w:szCs w:val="24"/>
                <w14:textFill>
                  <w14:solidFill>
                    <w14:schemeClr w14:val="tx1"/>
                  </w14:solidFill>
                </w14:textFill>
              </w:rPr>
              <w:object>
                <v:shape id="_x0000_i1038" o:spt="75" type="#_x0000_t75" style="height:17.85pt;width:12.1pt;" o:ole="t" filled="f" o:preferrelative="t" stroked="f" coordsize="21600,21600">
                  <v:path/>
                  <v:fill on="f" focussize="0,0"/>
                  <v:stroke on="f"/>
                  <v:imagedata r:id="rId43" o:title=""/>
                  <o:lock v:ext="edit" aspectratio="t"/>
                  <w10:wrap type="none"/>
                  <w10:anchorlock/>
                </v:shape>
                <o:OLEObject Type="Embed" ProgID="Equation.DSMT4" ShapeID="_x0000_i1038" DrawAspect="Content" ObjectID="_1468075738" r:id="rId42">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均按T时间内实际工作时间计算。</w:t>
            </w:r>
          </w:p>
          <w:p w14:paraId="1AC6B762">
            <w:pPr>
              <w:pStyle w:val="19"/>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③预测结果</w:t>
            </w:r>
          </w:p>
          <w:p w14:paraId="39F9ECC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噪声源均在厂区内，按室内噪声源预测模式，工作时间为昼间、夜间</w:t>
            </w:r>
            <w:r>
              <w:rPr>
                <w:rFonts w:hint="eastAsia"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lang w:val="en-US" w:eastAsia="zh-Hans"/>
                <w14:textFill>
                  <w14:solidFill>
                    <w14:schemeClr w14:val="tx1"/>
                  </w14:solidFill>
                </w14:textFill>
              </w:rPr>
              <w:t>个小时</w:t>
            </w:r>
            <w:r>
              <w:rPr>
                <w:rFonts w:hint="default" w:ascii="Times New Roman" w:hAnsi="Times New Roman" w:cs="Times New Roman"/>
                <w:color w:val="000000" w:themeColor="text1"/>
                <w:sz w:val="24"/>
                <w:szCs w:val="24"/>
                <w14:textFill>
                  <w14:solidFill>
                    <w14:schemeClr w14:val="tx1"/>
                  </w14:solidFill>
                </w14:textFill>
              </w:rPr>
              <w:t>，预测结果见下表。</w:t>
            </w:r>
          </w:p>
          <w:p w14:paraId="088F04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表4-</w:t>
            </w:r>
            <w:r>
              <w:rPr>
                <w:rFonts w:hint="eastAsia" w:ascii="Times New Roman" w:hAnsi="Times New Roman" w:cs="Times New Roman"/>
                <w:color w:val="000000" w:themeColor="text1"/>
                <w:szCs w:val="21"/>
                <w:lang w:val="en-US" w:eastAsia="zh-CN"/>
                <w14:textFill>
                  <w14:solidFill>
                    <w14:schemeClr w14:val="tx1"/>
                  </w14:solidFill>
                </w14:textFill>
              </w:rPr>
              <w:t>11</w:t>
            </w:r>
            <w:r>
              <w:rPr>
                <w:rFonts w:hint="default" w:ascii="Times New Roman" w:hAnsi="Times New Roman" w:cs="Times New Roman"/>
                <w:color w:val="000000" w:themeColor="text1"/>
                <w:szCs w:val="21"/>
                <w14:textFill>
                  <w14:solidFill>
                    <w14:schemeClr w14:val="tx1"/>
                  </w14:solidFill>
                </w14:textFill>
              </w:rPr>
              <w:t xml:space="preserve">  厂界噪声贡献值结果一览表：dB</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A)</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59"/>
              <w:gridCol w:w="1263"/>
              <w:gridCol w:w="840"/>
              <w:gridCol w:w="759"/>
              <w:gridCol w:w="789"/>
              <w:gridCol w:w="810"/>
              <w:gridCol w:w="759"/>
              <w:gridCol w:w="759"/>
              <w:gridCol w:w="703"/>
              <w:gridCol w:w="608"/>
            </w:tblGrid>
            <w:tr w14:paraId="6B337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pct"/>
                  <w:gridSpan w:val="2"/>
                  <w:vMerge w:val="restart"/>
                  <w:noWrap w:val="0"/>
                  <w:vAlign w:val="center"/>
                </w:tcPr>
                <w:p w14:paraId="7E4A81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位置</w:t>
                  </w:r>
                </w:p>
              </w:tc>
              <w:tc>
                <w:tcPr>
                  <w:tcW w:w="957" w:type="pct"/>
                  <w:gridSpan w:val="2"/>
                  <w:noWrap w:val="0"/>
                  <w:vAlign w:val="center"/>
                </w:tcPr>
                <w:p w14:paraId="79186A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背景值</w:t>
                  </w:r>
                </w:p>
              </w:tc>
              <w:tc>
                <w:tcPr>
                  <w:tcW w:w="957" w:type="pct"/>
                  <w:gridSpan w:val="2"/>
                  <w:noWrap w:val="0"/>
                  <w:vAlign w:val="center"/>
                </w:tcPr>
                <w:p w14:paraId="6B2792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贡献值</w:t>
                  </w:r>
                </w:p>
              </w:tc>
              <w:tc>
                <w:tcPr>
                  <w:tcW w:w="908" w:type="pct"/>
                  <w:gridSpan w:val="2"/>
                  <w:noWrap w:val="0"/>
                  <w:vAlign w:val="center"/>
                </w:tcPr>
                <w:p w14:paraId="6D83D2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预测</w:t>
                  </w:r>
                  <w:r>
                    <w:rPr>
                      <w:rFonts w:hint="default" w:ascii="Times New Roman" w:hAnsi="Times New Roman" w:cs="Times New Roman"/>
                      <w:color w:val="000000" w:themeColor="text1"/>
                      <w14:textFill>
                        <w14:solidFill>
                          <w14:schemeClr w14:val="tx1"/>
                        </w14:solidFill>
                      </w14:textFill>
                    </w:rPr>
                    <w:t>值</w:t>
                  </w:r>
                </w:p>
              </w:tc>
              <w:tc>
                <w:tcPr>
                  <w:tcW w:w="785" w:type="pct"/>
                  <w:gridSpan w:val="2"/>
                  <w:noWrap w:val="0"/>
                  <w:vAlign w:val="center"/>
                </w:tcPr>
                <w:p w14:paraId="581851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w:t>
                  </w:r>
                </w:p>
              </w:tc>
            </w:tr>
            <w:tr w14:paraId="37951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pct"/>
                  <w:gridSpan w:val="2"/>
                  <w:vMerge w:val="continue"/>
                  <w:noWrap w:val="0"/>
                  <w:vAlign w:val="center"/>
                </w:tcPr>
                <w:p w14:paraId="1F2BC19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503" w:type="pct"/>
                  <w:noWrap w:val="0"/>
                  <w:vAlign w:val="center"/>
                </w:tcPr>
                <w:p w14:paraId="33CACC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454" w:type="pct"/>
                  <w:noWrap w:val="0"/>
                  <w:vAlign w:val="center"/>
                </w:tcPr>
                <w:p w14:paraId="52881A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472" w:type="pct"/>
                  <w:noWrap w:val="0"/>
                  <w:vAlign w:val="center"/>
                </w:tcPr>
                <w:p w14:paraId="4037B4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484" w:type="pct"/>
                  <w:noWrap w:val="0"/>
                  <w:vAlign w:val="center"/>
                </w:tcPr>
                <w:p w14:paraId="4D41CF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454" w:type="pct"/>
                  <w:noWrap w:val="0"/>
                  <w:vAlign w:val="center"/>
                </w:tcPr>
                <w:p w14:paraId="7F8767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454" w:type="pct"/>
                  <w:noWrap w:val="0"/>
                  <w:vAlign w:val="center"/>
                </w:tcPr>
                <w:p w14:paraId="0D21D2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c>
                <w:tcPr>
                  <w:tcW w:w="421" w:type="pct"/>
                  <w:noWrap w:val="0"/>
                  <w:vAlign w:val="center"/>
                </w:tcPr>
                <w:p w14:paraId="3E5DD6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c>
                <w:tcPr>
                  <w:tcW w:w="364" w:type="pct"/>
                  <w:noWrap w:val="0"/>
                  <w:vAlign w:val="center"/>
                </w:tcPr>
                <w:p w14:paraId="69236A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w:t>
                  </w:r>
                </w:p>
              </w:tc>
            </w:tr>
            <w:tr w14:paraId="0632E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 w:type="pct"/>
                  <w:vMerge w:val="restart"/>
                  <w:noWrap w:val="0"/>
                  <w:vAlign w:val="center"/>
                </w:tcPr>
                <w:p w14:paraId="2E7FF5F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厂界噪声</w:t>
                  </w:r>
                </w:p>
              </w:tc>
              <w:tc>
                <w:tcPr>
                  <w:tcW w:w="755" w:type="pct"/>
                  <w:noWrap w:val="0"/>
                  <w:vAlign w:val="center"/>
                </w:tcPr>
                <w:p w14:paraId="1B802D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厂界东侧</w:t>
                  </w:r>
                </w:p>
              </w:tc>
              <w:tc>
                <w:tcPr>
                  <w:tcW w:w="957" w:type="pct"/>
                  <w:gridSpan w:val="2"/>
                  <w:vMerge w:val="restart"/>
                  <w:noWrap w:val="0"/>
                  <w:vAlign w:val="center"/>
                </w:tcPr>
                <w:p w14:paraId="1F5419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72" w:type="pct"/>
                  <w:noWrap w:val="0"/>
                  <w:vAlign w:val="center"/>
                </w:tcPr>
                <w:p w14:paraId="5535FE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31</w:t>
                  </w:r>
                </w:p>
              </w:tc>
              <w:tc>
                <w:tcPr>
                  <w:tcW w:w="484" w:type="pct"/>
                  <w:noWrap w:val="0"/>
                  <w:vAlign w:val="center"/>
                </w:tcPr>
                <w:p w14:paraId="50607D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31</w:t>
                  </w:r>
                </w:p>
              </w:tc>
              <w:tc>
                <w:tcPr>
                  <w:tcW w:w="908" w:type="pct"/>
                  <w:gridSpan w:val="2"/>
                  <w:vMerge w:val="restart"/>
                  <w:noWrap w:val="0"/>
                  <w:vAlign w:val="center"/>
                </w:tcPr>
                <w:p w14:paraId="03D451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421" w:type="pct"/>
                  <w:noWrap w:val="0"/>
                  <w:vAlign w:val="center"/>
                </w:tcPr>
                <w:p w14:paraId="230DAC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364" w:type="pct"/>
                  <w:noWrap w:val="0"/>
                  <w:vAlign w:val="center"/>
                </w:tcPr>
                <w:p w14:paraId="2C28A1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r w14:paraId="465D0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 w:type="pct"/>
                  <w:vMerge w:val="continue"/>
                  <w:noWrap w:val="0"/>
                  <w:vAlign w:val="center"/>
                </w:tcPr>
                <w:p w14:paraId="2707839A">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755" w:type="pct"/>
                  <w:noWrap w:val="0"/>
                  <w:vAlign w:val="center"/>
                </w:tcPr>
                <w:p w14:paraId="05F130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厂界南侧</w:t>
                  </w:r>
                </w:p>
              </w:tc>
              <w:tc>
                <w:tcPr>
                  <w:tcW w:w="957" w:type="pct"/>
                  <w:gridSpan w:val="2"/>
                  <w:vMerge w:val="continue"/>
                  <w:noWrap w:val="0"/>
                  <w:vAlign w:val="center"/>
                </w:tcPr>
                <w:p w14:paraId="5E0873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72" w:type="pct"/>
                  <w:noWrap w:val="0"/>
                  <w:vAlign w:val="center"/>
                </w:tcPr>
                <w:p w14:paraId="46BFB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9</w:t>
                  </w:r>
                </w:p>
              </w:tc>
              <w:tc>
                <w:tcPr>
                  <w:tcW w:w="484" w:type="pct"/>
                  <w:noWrap w:val="0"/>
                  <w:vAlign w:val="center"/>
                </w:tcPr>
                <w:p w14:paraId="07ED52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9</w:t>
                  </w:r>
                </w:p>
              </w:tc>
              <w:tc>
                <w:tcPr>
                  <w:tcW w:w="908" w:type="pct"/>
                  <w:gridSpan w:val="2"/>
                  <w:vMerge w:val="continue"/>
                  <w:noWrap w:val="0"/>
                  <w:vAlign w:val="center"/>
                </w:tcPr>
                <w:p w14:paraId="0F4B00E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21" w:type="pct"/>
                  <w:noWrap w:val="0"/>
                  <w:vAlign w:val="center"/>
                </w:tcPr>
                <w:p w14:paraId="2CC7E4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364" w:type="pct"/>
                  <w:noWrap w:val="0"/>
                  <w:vAlign w:val="center"/>
                </w:tcPr>
                <w:p w14:paraId="370AF8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r w14:paraId="05E18D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 w:type="pct"/>
                  <w:vMerge w:val="continue"/>
                  <w:noWrap w:val="0"/>
                  <w:vAlign w:val="center"/>
                </w:tcPr>
                <w:p w14:paraId="4A91A54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755" w:type="pct"/>
                  <w:noWrap w:val="0"/>
                  <w:vAlign w:val="center"/>
                </w:tcPr>
                <w:p w14:paraId="18CB13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厂界西侧</w:t>
                  </w:r>
                </w:p>
              </w:tc>
              <w:tc>
                <w:tcPr>
                  <w:tcW w:w="957" w:type="pct"/>
                  <w:gridSpan w:val="2"/>
                  <w:vMerge w:val="continue"/>
                  <w:noWrap w:val="0"/>
                  <w:vAlign w:val="center"/>
                </w:tcPr>
                <w:p w14:paraId="79D9DFF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72" w:type="pct"/>
                  <w:noWrap w:val="0"/>
                  <w:vAlign w:val="center"/>
                </w:tcPr>
                <w:p w14:paraId="0CF659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45</w:t>
                  </w:r>
                </w:p>
              </w:tc>
              <w:tc>
                <w:tcPr>
                  <w:tcW w:w="484" w:type="pct"/>
                  <w:noWrap w:val="0"/>
                  <w:vAlign w:val="center"/>
                </w:tcPr>
                <w:p w14:paraId="4A744E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45</w:t>
                  </w:r>
                </w:p>
              </w:tc>
              <w:tc>
                <w:tcPr>
                  <w:tcW w:w="908" w:type="pct"/>
                  <w:gridSpan w:val="2"/>
                  <w:vMerge w:val="continue"/>
                  <w:noWrap w:val="0"/>
                  <w:vAlign w:val="center"/>
                </w:tcPr>
                <w:p w14:paraId="79E2A08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21" w:type="pct"/>
                  <w:noWrap w:val="0"/>
                  <w:vAlign w:val="center"/>
                </w:tcPr>
                <w:p w14:paraId="0D97D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364" w:type="pct"/>
                  <w:noWrap w:val="0"/>
                  <w:vAlign w:val="center"/>
                </w:tcPr>
                <w:p w14:paraId="07C30D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r w14:paraId="2EA4C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 w:type="pct"/>
                  <w:vMerge w:val="continue"/>
                  <w:noWrap w:val="0"/>
                  <w:vAlign w:val="center"/>
                </w:tcPr>
                <w:p w14:paraId="58B00F3D">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p>
              </w:tc>
              <w:tc>
                <w:tcPr>
                  <w:tcW w:w="755" w:type="pct"/>
                  <w:noWrap w:val="0"/>
                  <w:vAlign w:val="center"/>
                </w:tcPr>
                <w:p w14:paraId="323FD1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厂界北侧</w:t>
                  </w:r>
                </w:p>
              </w:tc>
              <w:tc>
                <w:tcPr>
                  <w:tcW w:w="957" w:type="pct"/>
                  <w:gridSpan w:val="2"/>
                  <w:vMerge w:val="continue"/>
                  <w:noWrap w:val="0"/>
                  <w:vAlign w:val="center"/>
                </w:tcPr>
                <w:p w14:paraId="6F19D7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72" w:type="pct"/>
                  <w:noWrap w:val="0"/>
                  <w:vAlign w:val="center"/>
                </w:tcPr>
                <w:p w14:paraId="56089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41</w:t>
                  </w:r>
                </w:p>
              </w:tc>
              <w:tc>
                <w:tcPr>
                  <w:tcW w:w="484" w:type="pct"/>
                  <w:noWrap w:val="0"/>
                  <w:vAlign w:val="center"/>
                </w:tcPr>
                <w:p w14:paraId="4F0612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41</w:t>
                  </w:r>
                </w:p>
              </w:tc>
              <w:tc>
                <w:tcPr>
                  <w:tcW w:w="908" w:type="pct"/>
                  <w:gridSpan w:val="2"/>
                  <w:vMerge w:val="continue"/>
                  <w:noWrap w:val="0"/>
                  <w:vAlign w:val="center"/>
                </w:tcPr>
                <w:p w14:paraId="201FA73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421" w:type="pct"/>
                  <w:noWrap w:val="0"/>
                  <w:vAlign w:val="center"/>
                </w:tcPr>
                <w:p w14:paraId="1F2DC2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364" w:type="pct"/>
                  <w:noWrap w:val="0"/>
                  <w:vAlign w:val="center"/>
                </w:tcPr>
                <w:p w14:paraId="142EB4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r w14:paraId="57066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34" w:type="pct"/>
                  <w:noWrap w:val="0"/>
                  <w:vAlign w:val="center"/>
                </w:tcPr>
                <w:p w14:paraId="10C6CA0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敏感目标</w:t>
                  </w:r>
                </w:p>
              </w:tc>
              <w:tc>
                <w:tcPr>
                  <w:tcW w:w="755" w:type="pct"/>
                  <w:noWrap w:val="0"/>
                  <w:vAlign w:val="center"/>
                </w:tcPr>
                <w:p w14:paraId="686204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东巴庄村</w:t>
                  </w:r>
                </w:p>
              </w:tc>
              <w:tc>
                <w:tcPr>
                  <w:tcW w:w="503" w:type="pct"/>
                  <w:noWrap w:val="0"/>
                  <w:vAlign w:val="center"/>
                </w:tcPr>
                <w:p w14:paraId="257CEEE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53</w:t>
                  </w:r>
                </w:p>
              </w:tc>
              <w:tc>
                <w:tcPr>
                  <w:tcW w:w="454" w:type="pct"/>
                  <w:noWrap w:val="0"/>
                  <w:vAlign w:val="center"/>
                </w:tcPr>
                <w:p w14:paraId="1767F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43</w:t>
                  </w:r>
                </w:p>
              </w:tc>
              <w:tc>
                <w:tcPr>
                  <w:tcW w:w="472" w:type="pct"/>
                  <w:noWrap w:val="0"/>
                  <w:vAlign w:val="center"/>
                </w:tcPr>
                <w:p w14:paraId="2DE1B6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40</w:t>
                  </w:r>
                </w:p>
              </w:tc>
              <w:tc>
                <w:tcPr>
                  <w:tcW w:w="484" w:type="pct"/>
                  <w:noWrap w:val="0"/>
                  <w:vAlign w:val="center"/>
                </w:tcPr>
                <w:p w14:paraId="76D5A6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40</w:t>
                  </w:r>
                </w:p>
              </w:tc>
              <w:tc>
                <w:tcPr>
                  <w:tcW w:w="454" w:type="pct"/>
                  <w:noWrap w:val="0"/>
                  <w:vAlign w:val="center"/>
                </w:tcPr>
                <w:p w14:paraId="7AE46E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53</w:t>
                  </w:r>
                </w:p>
              </w:tc>
              <w:tc>
                <w:tcPr>
                  <w:tcW w:w="454" w:type="pct"/>
                  <w:noWrap w:val="0"/>
                  <w:vAlign w:val="center"/>
                </w:tcPr>
                <w:p w14:paraId="6A82CA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45</w:t>
                  </w:r>
                </w:p>
              </w:tc>
              <w:tc>
                <w:tcPr>
                  <w:tcW w:w="421" w:type="pct"/>
                  <w:noWrap w:val="0"/>
                  <w:vAlign w:val="center"/>
                </w:tcPr>
                <w:p w14:paraId="670DF4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60</w:t>
                  </w:r>
                </w:p>
              </w:tc>
              <w:tc>
                <w:tcPr>
                  <w:tcW w:w="364" w:type="pct"/>
                  <w:noWrap w:val="0"/>
                  <w:vAlign w:val="center"/>
                </w:tcPr>
                <w:p w14:paraId="5EC3E8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50</w:t>
                  </w:r>
                </w:p>
              </w:tc>
            </w:tr>
          </w:tbl>
          <w:p w14:paraId="4058D51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由估算结果可知，厂界噪声贡献值</w:t>
            </w:r>
            <w:r>
              <w:rPr>
                <w:rFonts w:hint="eastAsia" w:ascii="Times New Roman" w:hAnsi="Times New Roman" w:cs="Times New Roman"/>
                <w:color w:val="000000" w:themeColor="text1"/>
                <w:sz w:val="24"/>
                <w:szCs w:val="24"/>
                <w:lang w:val="en-US" w:eastAsia="zh-CN"/>
                <w14:textFill>
                  <w14:solidFill>
                    <w14:schemeClr w14:val="tx1"/>
                  </w14:solidFill>
                </w14:textFill>
              </w:rPr>
              <w:t>及敏感目标预测值均</w:t>
            </w:r>
            <w:r>
              <w:rPr>
                <w:rFonts w:hint="default" w:ascii="Times New Roman" w:hAnsi="Times New Roman" w:cs="Times New Roman"/>
                <w:color w:val="000000" w:themeColor="text1"/>
                <w:sz w:val="24"/>
                <w:szCs w:val="24"/>
                <w14:textFill>
                  <w14:solidFill>
                    <w14:schemeClr w14:val="tx1"/>
                  </w14:solidFill>
                </w14:textFill>
              </w:rPr>
              <w:t>满足《工业企业厂界环境噪声排放标准》（GB12348-2008）中的</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类标准要求。</w:t>
            </w:r>
          </w:p>
          <w:p w14:paraId="2AEA093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⑶噪声监测要求</w:t>
            </w:r>
          </w:p>
          <w:p w14:paraId="13EFE42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噪声监测按照《排污单位自行监测技术指南 总则》（HJ819-2017）确定监测因子及频次，</w:t>
            </w:r>
            <w:r>
              <w:rPr>
                <w:rFonts w:hint="eastAsia" w:ascii="Times New Roman" w:hAnsi="Times New Roman" w:cs="Times New Roman"/>
                <w:color w:val="000000" w:themeColor="text1"/>
                <w:sz w:val="24"/>
                <w:szCs w:val="24"/>
                <w:lang w:val="en-US" w:eastAsia="zh-CN"/>
                <w14:textFill>
                  <w14:solidFill>
                    <w14:schemeClr w14:val="tx1"/>
                  </w14:solidFill>
                </w14:textFill>
              </w:rPr>
              <w:t>本次环评建议企业噪声自行监测方案</w:t>
            </w:r>
            <w:r>
              <w:rPr>
                <w:rFonts w:hint="default" w:ascii="Times New Roman" w:hAnsi="Times New Roman" w:cs="Times New Roman"/>
                <w:color w:val="000000" w:themeColor="text1"/>
                <w:sz w:val="24"/>
                <w:szCs w:val="24"/>
                <w14:textFill>
                  <w14:solidFill>
                    <w14:schemeClr w14:val="tx1"/>
                  </w14:solidFill>
                </w14:textFill>
              </w:rPr>
              <w:t>具体如下表</w:t>
            </w:r>
            <w:r>
              <w:rPr>
                <w:rFonts w:hint="eastAsia" w:ascii="Times New Roman" w:hAnsi="Times New Roman" w:cs="Times New Roman"/>
                <w:color w:val="000000" w:themeColor="text1"/>
                <w:sz w:val="24"/>
                <w:szCs w:val="24"/>
                <w:lang w:eastAsia="zh-CN"/>
                <w14:textFill>
                  <w14:solidFill>
                    <w14:schemeClr w14:val="tx1"/>
                  </w14:solidFill>
                </w14:textFill>
              </w:rPr>
              <w:t>。</w:t>
            </w:r>
          </w:p>
          <w:p w14:paraId="5145A3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表4-</w:t>
            </w:r>
            <w:r>
              <w:rPr>
                <w:rFonts w:hint="eastAsia" w:ascii="Times New Roman" w:hAnsi="Times New Roman" w:cs="Times New Roman"/>
                <w:color w:val="000000" w:themeColor="text1"/>
                <w:szCs w:val="21"/>
                <w:lang w:val="en-US" w:eastAsia="zh-CN"/>
                <w14:textFill>
                  <w14:solidFill>
                    <w14:schemeClr w14:val="tx1"/>
                  </w14:solidFill>
                </w14:textFill>
              </w:rPr>
              <w:t>12</w:t>
            </w:r>
            <w:r>
              <w:rPr>
                <w:rFonts w:hint="default" w:ascii="Times New Roman" w:hAnsi="Times New Roman" w:cs="Times New Roman"/>
                <w:color w:val="000000" w:themeColor="text1"/>
                <w:szCs w:val="21"/>
                <w14:textFill>
                  <w14:solidFill>
                    <w14:schemeClr w14:val="tx1"/>
                  </w14:solidFill>
                </w14:textFill>
              </w:rPr>
              <w:t xml:space="preserve"> 噪声监测计划</w:t>
            </w:r>
          </w:p>
          <w:tbl>
            <w:tblPr>
              <w:tblStyle w:val="2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453"/>
              <w:gridCol w:w="1269"/>
              <w:gridCol w:w="1600"/>
              <w:gridCol w:w="3947"/>
            </w:tblGrid>
            <w:tr w14:paraId="1BDB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878" w:type="pct"/>
                  <w:noWrap w:val="0"/>
                  <w:vAlign w:val="center"/>
                </w:tcPr>
                <w:p w14:paraId="5F823C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监测点位</w:t>
                  </w:r>
                </w:p>
              </w:tc>
              <w:tc>
                <w:tcPr>
                  <w:tcW w:w="767" w:type="pct"/>
                  <w:noWrap w:val="0"/>
                  <w:vAlign w:val="center"/>
                </w:tcPr>
                <w:p w14:paraId="58F66E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监测项目</w:t>
                  </w:r>
                </w:p>
              </w:tc>
              <w:tc>
                <w:tcPr>
                  <w:tcW w:w="967" w:type="pct"/>
                  <w:noWrap w:val="0"/>
                  <w:vAlign w:val="center"/>
                </w:tcPr>
                <w:p w14:paraId="4D1936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频次</w:t>
                  </w:r>
                </w:p>
              </w:tc>
              <w:tc>
                <w:tcPr>
                  <w:tcW w:w="2385" w:type="pct"/>
                  <w:noWrap w:val="0"/>
                  <w:vAlign w:val="center"/>
                </w:tcPr>
                <w:p w14:paraId="057A69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14:paraId="1E9D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878" w:type="pct"/>
                  <w:noWrap w:val="0"/>
                  <w:vAlign w:val="center"/>
                </w:tcPr>
                <w:p w14:paraId="4FDCAD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厂界四周</w:t>
                  </w:r>
                </w:p>
              </w:tc>
              <w:tc>
                <w:tcPr>
                  <w:tcW w:w="767" w:type="pct"/>
                  <w:noWrap w:val="0"/>
                  <w:vAlign w:val="center"/>
                </w:tcPr>
                <w:p w14:paraId="65B506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967" w:type="pct"/>
                  <w:noWrap w:val="0"/>
                  <w:vAlign w:val="center"/>
                </w:tcPr>
                <w:p w14:paraId="79BA59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每季度1次</w:t>
                  </w:r>
                </w:p>
              </w:tc>
              <w:tc>
                <w:tcPr>
                  <w:tcW w:w="2385" w:type="pct"/>
                  <w:noWrap w:val="0"/>
                  <w:vAlign w:val="center"/>
                </w:tcPr>
                <w:p w14:paraId="13955B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《工业企业厂界环境噪声排放标准》（GB12348-2008）</w:t>
                  </w:r>
                  <w:r>
                    <w:rPr>
                      <w:rFonts w:hint="eastAsia"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类标准限值</w:t>
                  </w:r>
                </w:p>
              </w:tc>
            </w:tr>
          </w:tbl>
          <w:p w14:paraId="5F3106CC">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4、固体废物防治措施</w:t>
            </w:r>
          </w:p>
          <w:p w14:paraId="126A2CF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①生活垃圾</w:t>
            </w:r>
          </w:p>
          <w:p w14:paraId="0CC530F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本项目配备工作人员25人，锅炉房运行时间以300天计，生活垃圾产生量按0.44kg/人·d计，生活垃圾产生量为3.3t/a，设垃圾桶分类收集，工作人员生活垃圾委托环卫部门处置。</w:t>
            </w:r>
          </w:p>
          <w:p w14:paraId="41E669D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②废离子交换树脂</w:t>
            </w:r>
          </w:p>
          <w:p w14:paraId="731A86E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全自动软水制备装置运行过程中产生的废离子交换树脂，根据建设单位提供的资料，年产生量约0.8t，废离子交换树脂由离子交换树脂厂家回收。</w:t>
            </w:r>
          </w:p>
          <w:p w14:paraId="69C5BE8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5、地下水环境影响和保护措施</w:t>
            </w:r>
          </w:p>
          <w:p w14:paraId="18D5172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本项目供水由当地自来水管网供给，不取用地下水</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项目用地范围内均进行了水泥硬化，无地下水污染途径和污染因子。因此，项目不会对地下水环境产生影响</w:t>
            </w:r>
            <w:r>
              <w:rPr>
                <w:rFonts w:hint="default" w:ascii="Times New Roman" w:hAnsi="Times New Roman" w:cs="Times New Roman"/>
                <w:color w:val="000000" w:themeColor="text1"/>
                <w:sz w:val="24"/>
                <w:szCs w:val="24"/>
                <w14:textFill>
                  <w14:solidFill>
                    <w14:schemeClr w14:val="tx1"/>
                  </w14:solidFill>
                </w14:textFill>
              </w:rPr>
              <w:t>。</w:t>
            </w:r>
          </w:p>
          <w:p w14:paraId="3DF960C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6、土壤环境影响和保护措施</w:t>
            </w:r>
          </w:p>
          <w:p w14:paraId="2CFE2AA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本项目为燃气锅炉建设项目，不存在土壤污染的途径和污染因子，对土壤环境不会产生影响。</w:t>
            </w:r>
          </w:p>
          <w:p w14:paraId="5C7A39A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7、生态环境影响和保护措施</w:t>
            </w:r>
          </w:p>
          <w:p w14:paraId="0835B09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项目位于</w:t>
            </w:r>
            <w:r>
              <w:rPr>
                <w:rFonts w:hint="eastAsia" w:ascii="Times New Roman" w:hAnsi="Times New Roman" w:cs="Times New Roman"/>
                <w:color w:val="000000" w:themeColor="text1"/>
                <w:sz w:val="24"/>
                <w:szCs w:val="24"/>
                <w:lang w:eastAsia="zh-CN"/>
                <w14:textFill>
                  <w14:solidFill>
                    <w14:schemeClr w14:val="tx1"/>
                  </w14:solidFill>
                </w14:textFill>
              </w:rPr>
              <w:t>宝鸡市凤翔高新区西凤酒城</w:t>
            </w:r>
            <w:r>
              <w:rPr>
                <w:rFonts w:hint="default"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评价范围内</w:t>
            </w:r>
            <w:r>
              <w:rPr>
                <w:rFonts w:hint="default" w:ascii="Times New Roman" w:hAnsi="Times New Roman" w:cs="Times New Roman"/>
                <w:color w:val="000000" w:themeColor="text1"/>
                <w:sz w:val="24"/>
                <w:szCs w:val="24"/>
                <w14:textFill>
                  <w14:solidFill>
                    <w14:schemeClr w14:val="tx1"/>
                  </w14:solidFill>
                </w14:textFill>
              </w:rPr>
              <w:t>不含有生态环境保护目标</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本次环评不进行</w:t>
            </w:r>
            <w:r>
              <w:rPr>
                <w:rFonts w:hint="eastAsia" w:ascii="Times New Roman" w:hAnsi="Times New Roman" w:cs="Times New Roman"/>
                <w:color w:val="000000" w:themeColor="text1"/>
                <w:sz w:val="24"/>
                <w:szCs w:val="24"/>
                <w:lang w:val="en-US" w:eastAsia="zh-CN"/>
                <w14:textFill>
                  <w14:solidFill>
                    <w14:schemeClr w14:val="tx1"/>
                  </w14:solidFill>
                </w14:textFill>
              </w:rPr>
              <w:t>运营期</w:t>
            </w:r>
            <w:r>
              <w:rPr>
                <w:rFonts w:hint="default" w:ascii="Times New Roman" w:hAnsi="Times New Roman" w:cs="Times New Roman"/>
                <w:color w:val="000000" w:themeColor="text1"/>
                <w:sz w:val="24"/>
                <w:szCs w:val="24"/>
                <w14:textFill>
                  <w14:solidFill>
                    <w14:schemeClr w14:val="tx1"/>
                  </w14:solidFill>
                </w14:textFill>
              </w:rPr>
              <w:t>生态环境影响分析。</w:t>
            </w:r>
          </w:p>
          <w:p w14:paraId="176877F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8、环境风险影响和保护措施</w:t>
            </w:r>
          </w:p>
          <w:p w14:paraId="3829830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⑴项目危险物质及分布情况</w:t>
            </w:r>
          </w:p>
          <w:p w14:paraId="6347BF5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根据《建设项目环境风险评价技术导则》（HJ169-2018）附录B可知，本项目涉及的危险物质</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为</w:t>
            </w:r>
            <w:r>
              <w:rPr>
                <w:rFonts w:hint="default" w:ascii="Times New Roman" w:hAnsi="Times New Roman" w:cs="Times New Roman"/>
                <w:color w:val="000000" w:themeColor="text1"/>
                <w:kern w:val="0"/>
                <w:sz w:val="24"/>
                <w:szCs w:val="24"/>
                <w14:textFill>
                  <w14:solidFill>
                    <w14:schemeClr w14:val="tx1"/>
                  </w14:solidFill>
                </w14:textFill>
              </w:rPr>
              <w:t>天然气，具体核算如下</w:t>
            </w:r>
            <w:r>
              <w:rPr>
                <w:rFonts w:hint="default" w:ascii="Times New Roman" w:hAnsi="Times New Roman" w:cs="Times New Roman"/>
                <w:color w:val="000000" w:themeColor="text1"/>
                <w:kern w:val="0"/>
                <w:szCs w:val="21"/>
                <w14:textFill>
                  <w14:solidFill>
                    <w14:schemeClr w14:val="tx1"/>
                  </w14:solidFill>
                </w14:textFill>
              </w:rPr>
              <w:t>：</w:t>
            </w:r>
          </w:p>
          <w:p w14:paraId="22FF85CD">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天然气主要成分为甲烷，在供气管道内暂时储存，天然气管道长度约为3</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0m，管道直径在20cm左右，则</w:t>
            </w:r>
            <w:r>
              <w:rPr>
                <w:rFonts w:hint="default" w:ascii="Times New Roman" w:hAnsi="Times New Roman" w:cs="Times New Roman"/>
                <w:color w:val="000000" w:themeColor="text1"/>
                <w:sz w:val="24"/>
                <w:lang w:val="en-US" w:eastAsia="zh-Hans"/>
                <w14:textFill>
                  <w14:solidFill>
                    <w14:schemeClr w14:val="tx1"/>
                  </w14:solidFill>
                </w14:textFill>
              </w:rPr>
              <w:t>厂区</w:t>
            </w:r>
            <w:r>
              <w:rPr>
                <w:rFonts w:hint="default" w:ascii="Times New Roman" w:hAnsi="Times New Roman" w:cs="Times New Roman"/>
                <w:color w:val="000000" w:themeColor="text1"/>
                <w:sz w:val="24"/>
                <w14:textFill>
                  <w14:solidFill>
                    <w14:schemeClr w14:val="tx1"/>
                  </w14:solidFill>
                </w14:textFill>
              </w:rPr>
              <w:t>内天然气的最大存在总量为</w:t>
            </w:r>
            <w:r>
              <w:rPr>
                <w:rFonts w:hint="default" w:ascii="Times New Roman" w:hAnsi="Times New Roman" w:cs="Times New Roman"/>
                <w:color w:val="000000" w:themeColor="text1"/>
                <w:kern w:val="0"/>
                <w:sz w:val="24"/>
                <w:lang w:bidi="ar"/>
                <w14:textFill>
                  <w14:solidFill>
                    <w14:schemeClr w14:val="tx1"/>
                  </w14:solidFill>
                </w14:textFill>
              </w:rPr>
              <w:t>m=πR</w:t>
            </w:r>
            <w:r>
              <w:rPr>
                <w:rFonts w:hint="default" w:ascii="Times New Roman" w:hAnsi="Times New Roman" w:cs="Times New Roman"/>
                <w:color w:val="000000" w:themeColor="text1"/>
                <w:kern w:val="0"/>
                <w:sz w:val="24"/>
                <w:vertAlign w:val="superscript"/>
                <w:lang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lρ（天然气）=3.14×（0.1m）</w:t>
            </w:r>
            <w:r>
              <w:rPr>
                <w:rFonts w:hint="default" w:ascii="Times New Roman" w:hAnsi="Times New Roman" w:cs="Times New Roman"/>
                <w:color w:val="000000" w:themeColor="text1"/>
                <w:kern w:val="0"/>
                <w:sz w:val="24"/>
                <w:vertAlign w:val="superscript"/>
                <w:lang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×30</w:t>
            </w:r>
            <w:r>
              <w:rPr>
                <w:rFonts w:hint="eastAsia" w:ascii="Times New Roman" w:hAnsi="Times New Roman" w:cs="Times New Roman"/>
                <w:color w:val="000000" w:themeColor="text1"/>
                <w:kern w:val="0"/>
                <w:sz w:val="24"/>
                <w:lang w:val="en-US" w:eastAsia="zh-CN" w:bidi="ar"/>
                <w14:textFill>
                  <w14:solidFill>
                    <w14:schemeClr w14:val="tx1"/>
                  </w14:solidFill>
                </w14:textFill>
              </w:rPr>
              <w:t>0</w:t>
            </w:r>
            <w:r>
              <w:rPr>
                <w:rFonts w:hint="default" w:ascii="Times New Roman" w:hAnsi="Times New Roman" w:cs="Times New Roman"/>
                <w:color w:val="000000" w:themeColor="text1"/>
                <w:kern w:val="0"/>
                <w:sz w:val="24"/>
                <w:lang w:bidi="ar"/>
                <w14:textFill>
                  <w14:solidFill>
                    <w14:schemeClr w14:val="tx1"/>
                  </w14:solidFill>
                </w14:textFill>
              </w:rPr>
              <w:t>m×0.742kg/m</w:t>
            </w:r>
            <w:r>
              <w:rPr>
                <w:rFonts w:hint="default" w:ascii="Times New Roman" w:hAnsi="Times New Roman" w:cs="Times New Roman"/>
                <w:color w:val="000000" w:themeColor="text1"/>
                <w:kern w:val="0"/>
                <w:sz w:val="24"/>
                <w:vertAlign w:val="superscript"/>
                <w:lang w:bidi="ar"/>
                <w14:textFill>
                  <w14:solidFill>
                    <w14:schemeClr w14:val="tx1"/>
                  </w14:solidFill>
                </w14:textFill>
              </w:rPr>
              <w:t>3</w:t>
            </w:r>
            <w:r>
              <w:rPr>
                <w:rFonts w:hint="default" w:ascii="Times New Roman" w:hAnsi="Times New Roman" w:cs="Times New Roman"/>
                <w:color w:val="000000" w:themeColor="text1"/>
                <w:kern w:val="0"/>
                <w:sz w:val="24"/>
                <w:lang w:bidi="ar"/>
                <w14:textFill>
                  <w14:solidFill>
                    <w14:schemeClr w14:val="tx1"/>
                  </w14:solidFill>
                </w14:textFill>
              </w:rPr>
              <w:t>=</w:t>
            </w:r>
            <w:r>
              <w:rPr>
                <w:rFonts w:hint="eastAsia" w:ascii="Times New Roman" w:hAnsi="Times New Roman" w:cs="Times New Roman"/>
                <w:color w:val="000000" w:themeColor="text1"/>
                <w:kern w:val="0"/>
                <w:sz w:val="24"/>
                <w:lang w:val="en-US" w:eastAsia="zh-CN" w:bidi="ar"/>
                <w14:textFill>
                  <w14:solidFill>
                    <w14:schemeClr w14:val="tx1"/>
                  </w14:solidFill>
                </w14:textFill>
              </w:rPr>
              <w:t>6.99</w:t>
            </w:r>
            <w:r>
              <w:rPr>
                <w:rFonts w:hint="default" w:ascii="Times New Roman" w:hAnsi="Times New Roman" w:cs="Times New Roman"/>
                <w:color w:val="000000" w:themeColor="text1"/>
                <w:kern w:val="0"/>
                <w:sz w:val="24"/>
                <w:lang w:bidi="ar"/>
                <w14:textFill>
                  <w14:solidFill>
                    <w14:schemeClr w14:val="tx1"/>
                  </w14:solidFill>
                </w14:textFill>
              </w:rPr>
              <w:t>kg</w:t>
            </w:r>
            <w:r>
              <w:rPr>
                <w:rFonts w:hint="default" w:ascii="Times New Roman" w:hAnsi="Times New Roman" w:cs="Times New Roman"/>
                <w:color w:val="000000" w:themeColor="text1"/>
                <w:sz w:val="24"/>
                <w14:textFill>
                  <w14:solidFill>
                    <w14:schemeClr w14:val="tx1"/>
                  </w14:solidFill>
                </w14:textFill>
              </w:rPr>
              <w:t>。</w:t>
            </w:r>
          </w:p>
          <w:p w14:paraId="267837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表4-1</w:t>
            </w:r>
            <w:r>
              <w:rPr>
                <w:rFonts w:hint="eastAsia"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项目Q值确定表</w:t>
            </w:r>
          </w:p>
          <w:tbl>
            <w:tblPr>
              <w:tblStyle w:val="23"/>
              <w:tblW w:w="8117" w:type="dxa"/>
              <w:jc w:val="center"/>
              <w:tblLayout w:type="autofit"/>
              <w:tblCellMar>
                <w:top w:w="0" w:type="dxa"/>
                <w:left w:w="108" w:type="dxa"/>
                <w:bottom w:w="0" w:type="dxa"/>
                <w:right w:w="108" w:type="dxa"/>
              </w:tblCellMar>
            </w:tblPr>
            <w:tblGrid>
              <w:gridCol w:w="1748"/>
              <w:gridCol w:w="1563"/>
              <w:gridCol w:w="1849"/>
              <w:gridCol w:w="1134"/>
              <w:gridCol w:w="1823"/>
            </w:tblGrid>
            <w:tr w14:paraId="5FA0FBC0">
              <w:trPr>
                <w:trHeight w:val="440" w:hRule="atLeast"/>
                <w:jc w:val="center"/>
              </w:trPr>
              <w:tc>
                <w:tcPr>
                  <w:tcW w:w="1076" w:type="pct"/>
                  <w:tcBorders>
                    <w:top w:val="single" w:color="000000" w:sz="4" w:space="0"/>
                    <w:left w:val="single" w:color="000000" w:sz="4" w:space="0"/>
                    <w:bottom w:val="single" w:color="000000" w:sz="4" w:space="0"/>
                    <w:right w:val="single" w:color="000000" w:sz="4" w:space="0"/>
                  </w:tcBorders>
                  <w:noWrap w:val="0"/>
                  <w:vAlign w:val="center"/>
                </w:tcPr>
                <w:p w14:paraId="4739A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危险物质名称</w:t>
                  </w:r>
                </w:p>
              </w:tc>
              <w:tc>
                <w:tcPr>
                  <w:tcW w:w="962" w:type="pct"/>
                  <w:tcBorders>
                    <w:top w:val="single" w:color="000000" w:sz="4" w:space="0"/>
                    <w:left w:val="single" w:color="000000" w:sz="4" w:space="0"/>
                    <w:bottom w:val="single" w:color="000000" w:sz="4" w:space="0"/>
                    <w:right w:val="single" w:color="000000" w:sz="4" w:space="0"/>
                  </w:tcBorders>
                  <w:noWrap w:val="0"/>
                  <w:vAlign w:val="center"/>
                </w:tcPr>
                <w:p w14:paraId="7EF679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分布情况</w:t>
                  </w:r>
                </w:p>
              </w:tc>
              <w:tc>
                <w:tcPr>
                  <w:tcW w:w="1138" w:type="pct"/>
                  <w:tcBorders>
                    <w:top w:val="single" w:color="000000" w:sz="4" w:space="0"/>
                    <w:left w:val="single" w:color="000000" w:sz="4" w:space="0"/>
                    <w:bottom w:val="single" w:color="000000" w:sz="4" w:space="0"/>
                    <w:right w:val="single" w:color="000000" w:sz="4" w:space="0"/>
                  </w:tcBorders>
                  <w:noWrap w:val="0"/>
                  <w:vAlign w:val="center"/>
                </w:tcPr>
                <w:p w14:paraId="18492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最大存在量/t</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58849E7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临界量/t</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5C3B8E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危险物质Q值</w:t>
                  </w:r>
                </w:p>
              </w:tc>
            </w:tr>
            <w:tr w14:paraId="764E6D52">
              <w:tblPrEx>
                <w:tblCellMar>
                  <w:top w:w="0" w:type="dxa"/>
                  <w:left w:w="108" w:type="dxa"/>
                  <w:bottom w:w="0" w:type="dxa"/>
                  <w:right w:w="108" w:type="dxa"/>
                </w:tblCellMar>
              </w:tblPrEx>
              <w:trPr>
                <w:trHeight w:val="454" w:hRule="atLeast"/>
                <w:jc w:val="center"/>
              </w:trPr>
              <w:tc>
                <w:tcPr>
                  <w:tcW w:w="1076" w:type="pct"/>
                  <w:tcBorders>
                    <w:top w:val="single" w:color="000000" w:sz="4" w:space="0"/>
                    <w:left w:val="single" w:color="000000" w:sz="4" w:space="0"/>
                    <w:bottom w:val="single" w:color="auto" w:sz="6" w:space="0"/>
                    <w:right w:val="single" w:color="000000" w:sz="4" w:space="0"/>
                  </w:tcBorders>
                  <w:noWrap w:val="0"/>
                  <w:vAlign w:val="center"/>
                </w:tcPr>
                <w:p w14:paraId="4099EF3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天然气</w:t>
                  </w:r>
                </w:p>
              </w:tc>
              <w:tc>
                <w:tcPr>
                  <w:tcW w:w="962" w:type="pct"/>
                  <w:tcBorders>
                    <w:top w:val="single" w:color="000000" w:sz="4" w:space="0"/>
                    <w:left w:val="single" w:color="000000" w:sz="4" w:space="0"/>
                    <w:bottom w:val="single" w:color="auto" w:sz="6" w:space="0"/>
                    <w:right w:val="single" w:color="000000" w:sz="4" w:space="0"/>
                  </w:tcBorders>
                  <w:noWrap w:val="0"/>
                  <w:vAlign w:val="center"/>
                </w:tcPr>
                <w:p w14:paraId="6817EC2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天然气管道</w:t>
                  </w:r>
                </w:p>
              </w:tc>
              <w:tc>
                <w:tcPr>
                  <w:tcW w:w="1138" w:type="pct"/>
                  <w:tcBorders>
                    <w:top w:val="single" w:color="000000" w:sz="4" w:space="0"/>
                    <w:left w:val="single" w:color="000000" w:sz="4" w:space="0"/>
                    <w:bottom w:val="single" w:color="000000" w:sz="4" w:space="0"/>
                    <w:right w:val="single" w:color="000000" w:sz="4" w:space="0"/>
                  </w:tcBorders>
                  <w:noWrap w:val="0"/>
                  <w:vAlign w:val="center"/>
                </w:tcPr>
                <w:p w14:paraId="01AF09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lang w:eastAsia="zh-Han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Hans"/>
                      <w14:textFill>
                        <w14:solidFill>
                          <w14:schemeClr w14:val="tx1"/>
                        </w14:solidFill>
                      </w14:textFill>
                    </w:rPr>
                    <w:t>.</w:t>
                  </w:r>
                  <w:r>
                    <w:rPr>
                      <w:rFonts w:hint="default" w:ascii="Times New Roman" w:hAnsi="Times New Roman" w:cs="Times New Roman"/>
                      <w:color w:val="000000" w:themeColor="text1"/>
                      <w:szCs w:val="21"/>
                      <w:lang w:eastAsia="zh-Hans"/>
                      <w14:textFill>
                        <w14:solidFill>
                          <w14:schemeClr w14:val="tx1"/>
                        </w14:solidFill>
                      </w14:textFill>
                    </w:rPr>
                    <w:t>00699</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5763B5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073B79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bl>
          <w:p w14:paraId="25CE78D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项目主要风险物质最大存在</w:t>
            </w:r>
            <w:r>
              <w:rPr>
                <w:rFonts w:hint="eastAsia" w:ascii="Times New Roman" w:hAnsi="Times New Roman" w:cs="Times New Roman"/>
                <w:color w:val="000000" w:themeColor="text1"/>
                <w:sz w:val="24"/>
                <w:szCs w:val="24"/>
                <w:lang w:eastAsia="zh-CN"/>
                <w14:textFill>
                  <w14:solidFill>
                    <w14:schemeClr w14:val="tx1"/>
                  </w14:solidFill>
                </w14:textFill>
              </w:rPr>
              <w:t>量</w:t>
            </w:r>
            <w:r>
              <w:rPr>
                <w:rFonts w:hint="default" w:ascii="Times New Roman" w:hAnsi="Times New Roman" w:cs="Times New Roman"/>
                <w:color w:val="000000" w:themeColor="text1"/>
                <w:sz w:val="24"/>
                <w:szCs w:val="24"/>
                <w14:textFill>
                  <w14:solidFill>
                    <w14:schemeClr w14:val="tx1"/>
                  </w14:solidFill>
                </w14:textFill>
              </w:rPr>
              <w:t>未超过临界量，项目Q值＜1，据此判定风险评价工作等级为简单分析，不设置环境风险专项评价。</w:t>
            </w:r>
          </w:p>
          <w:p w14:paraId="0DBABEF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⑵可能影响环境的途径：</w:t>
            </w:r>
          </w:p>
          <w:p w14:paraId="4542CC4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w:t>
            </w:r>
            <w:r>
              <w:rPr>
                <w:rFonts w:hint="eastAsia" w:ascii="Times New Roman" w:hAnsi="Times New Roman" w:cs="Times New Roman"/>
                <w:color w:val="000000" w:themeColor="text1"/>
                <w:sz w:val="24"/>
                <w:szCs w:val="24"/>
                <w:lang w:val="en-US" w:eastAsia="zh-CN"/>
                <w14:textFill>
                  <w14:solidFill>
                    <w14:schemeClr w14:val="tx1"/>
                  </w14:solidFill>
                </w14:textFill>
              </w:rPr>
              <w:t>管道中</w:t>
            </w:r>
            <w:r>
              <w:rPr>
                <w:rFonts w:hint="default" w:ascii="Times New Roman" w:hAnsi="Times New Roman" w:cs="Times New Roman"/>
                <w:color w:val="000000" w:themeColor="text1"/>
                <w:sz w:val="24"/>
                <w:szCs w:val="24"/>
                <w14:textFill>
                  <w14:solidFill>
                    <w14:schemeClr w14:val="tx1"/>
                  </w14:solidFill>
                </w14:textFill>
              </w:rPr>
              <w:t>天然气发生泄漏后直接进入大气环境或挥发进入大气环境，或者泄漏发生火灾</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爆炸事故时伴生污染物进入大气环境，通过大气环境扩散对周围环境造成危害。</w:t>
            </w:r>
          </w:p>
          <w:p w14:paraId="05C5E30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②天然气泄漏中毒事故：人短暂接触1%甲烷，不引起症状；25%</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30%的浓度，只引起轻度头晕；接触高浓度时可出现意识丧失；极高浓度时可致窒息。</w:t>
            </w:r>
          </w:p>
          <w:p w14:paraId="2B7B253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⑶环境风险防范措施</w:t>
            </w:r>
          </w:p>
          <w:p w14:paraId="126B30A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①风险源头管控</w:t>
            </w:r>
          </w:p>
          <w:p w14:paraId="17399F9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天然气输送管道的设计、布置须符合《建筑设计防火规范</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城镇燃气 设计规范》等相关要求，必须与</w:t>
            </w:r>
            <w:r>
              <w:rPr>
                <w:rFonts w:hint="eastAsia" w:ascii="Times New Roman" w:hAnsi="Times New Roman" w:cs="Times New Roman"/>
                <w:color w:val="000000" w:themeColor="text1"/>
                <w:sz w:val="24"/>
                <w:szCs w:val="24"/>
                <w:lang w:eastAsia="zh-CN"/>
                <w14:textFill>
                  <w14:solidFill>
                    <w14:schemeClr w14:val="tx1"/>
                  </w14:solidFill>
                </w14:textFill>
              </w:rPr>
              <w:t>其他构筑物</w:t>
            </w:r>
            <w:r>
              <w:rPr>
                <w:rFonts w:hint="default" w:ascii="Times New Roman" w:hAnsi="Times New Roman" w:cs="Times New Roman"/>
                <w:color w:val="000000" w:themeColor="text1"/>
                <w:sz w:val="24"/>
                <w:szCs w:val="24"/>
                <w14:textFill>
                  <w14:solidFill>
                    <w14:schemeClr w14:val="tx1"/>
                  </w14:solidFill>
                </w14:textFill>
              </w:rPr>
              <w:t>有足够的间隔距离。燃气调压站的设施、设备、照明装置等均应为防爆型。</w:t>
            </w:r>
          </w:p>
          <w:p w14:paraId="5F29026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②风险途径防范措施</w:t>
            </w:r>
          </w:p>
          <w:p w14:paraId="4550D60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定时地对阀门进行检查，以确定各阀门没有泄漏</w:t>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在锅炉点火前，要确保锅炉的各项性能符合标准，做好安全检查工作；锅炉运行中的合理操作和监督；对锅炉设备的定期维护。</w:t>
            </w:r>
            <w:r>
              <w:rPr>
                <w:rFonts w:hint="default" w:ascii="Times New Roman" w:hAnsi="Times New Roman" w:cs="Times New Roman"/>
                <w:color w:val="000000" w:themeColor="text1"/>
                <w:kern w:val="0"/>
                <w:sz w:val="24"/>
                <w:lang w:bidi="ar"/>
                <w14:textFill>
                  <w14:solidFill>
                    <w14:schemeClr w14:val="tx1"/>
                  </w14:solidFill>
                </w14:textFill>
              </w:rPr>
              <w:t>如果管路、阀门发生泄漏，在查明原因并消除缺陷之前应停止相关的作业，待隐患消除后恢复。</w:t>
            </w:r>
          </w:p>
          <w:p w14:paraId="7167889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③保护目标防范措施</w:t>
            </w:r>
          </w:p>
          <w:p w14:paraId="71F03EC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加强人员安全教育、科学管理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提高安全防范风险的意识；加强</w:t>
            </w:r>
            <w:r>
              <w:rPr>
                <w:rFonts w:hint="eastAsia" w:ascii="Times New Roman" w:hAnsi="Times New Roman" w:cs="Times New Roman"/>
                <w:color w:val="000000" w:themeColor="text1"/>
                <w:sz w:val="24"/>
                <w:szCs w:val="24"/>
                <w:lang w:val="en-US" w:eastAsia="zh-CN"/>
                <w14:textFill>
                  <w14:solidFill>
                    <w14:schemeClr w14:val="tx1"/>
                  </w14:solidFill>
                </w14:textFill>
              </w:rPr>
              <w:t>对</w:t>
            </w:r>
            <w:r>
              <w:rPr>
                <w:rFonts w:hint="default" w:ascii="Times New Roman" w:hAnsi="Times New Roman" w:cs="Times New Roman"/>
                <w:color w:val="000000" w:themeColor="text1"/>
                <w:sz w:val="24"/>
                <w:szCs w:val="24"/>
                <w14:textFill>
                  <w14:solidFill>
                    <w14:schemeClr w14:val="tx1"/>
                  </w14:solidFill>
                </w14:textFill>
              </w:rPr>
              <w:t>防爆电气设备</w:t>
            </w:r>
            <w:r>
              <w:rPr>
                <w:rFonts w:hint="default" w:ascii="Times New Roman" w:hAnsi="Times New Roman" w:eastAsia="宋体" w:cs="Times New Roman"/>
                <w:color w:val="000000" w:themeColor="text1"/>
                <w:sz w:val="24"/>
                <w14:textFill>
                  <w14:solidFill>
                    <w14:schemeClr w14:val="tx1"/>
                  </w14:solidFill>
                </w14:textFill>
              </w:rPr>
              <w:t>的日常巡视和检查工作；严格落实各项规章制度。</w:t>
            </w:r>
          </w:p>
          <w:p w14:paraId="09C1CEC5">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eastAsia" w:ascii="Times New Roman" w:hAnsi="Times New Roman" w:eastAsia="宋体" w:cs="Times New Roman"/>
                <w:color w:val="000000" w:themeColor="text1"/>
                <w:sz w:val="24"/>
                <w:lang w:val="en-US" w:eastAsia="zh-CN"/>
                <w14:textFill>
                  <w14:solidFill>
                    <w14:schemeClr w14:val="tx1"/>
                  </w14:solidFill>
                </w14:textFill>
              </w:rPr>
              <w:t>完善预案</w:t>
            </w:r>
          </w:p>
          <w:p w14:paraId="6C96D7C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及时修订企业环境风险应急预案，并组织定期进行演练。</w:t>
            </w:r>
          </w:p>
        </w:tc>
      </w:tr>
    </w:tbl>
    <w:p w14:paraId="2659336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5" w:name="_Toc75955706"/>
      <w:r>
        <w:rPr>
          <w:rFonts w:hint="default" w:ascii="Times New Roman" w:hAnsi="宋体" w:eastAsia="宋体"/>
          <w:b/>
          <w:bCs/>
          <w:snapToGrid w:val="0"/>
          <w:color w:val="000000" w:themeColor="text1"/>
          <w:sz w:val="30"/>
          <w:szCs w:val="30"/>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五、</w:t>
      </w:r>
      <w:bookmarkStart w:id="6" w:name="_Hlk54167917"/>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环境保护措施监督检查清单</w:t>
      </w:r>
      <w:bookmarkEnd w:id="5"/>
      <w:bookmarkEnd w:id="6"/>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864"/>
        <w:gridCol w:w="1553"/>
        <w:gridCol w:w="2347"/>
        <w:gridCol w:w="2309"/>
      </w:tblGrid>
      <w:tr w14:paraId="5E5E3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single" w:color="auto" w:sz="4" w:space="0"/>
            </w:tcBorders>
            <w:noWrap w:val="0"/>
            <w:vAlign w:val="top"/>
          </w:tcPr>
          <w:p w14:paraId="3022A1DC">
            <w:pPr>
              <w:keepNext w:val="0"/>
              <w:keepLines w:val="0"/>
              <w:suppressLineNumbers w:val="0"/>
              <w:adjustRightInd w:val="0"/>
              <w:snapToGrid w:val="0"/>
              <w:spacing w:before="0" w:beforeAutospacing="0" w:after="0" w:afterAutospacing="0"/>
              <w:ind w:left="0" w:right="0" w:firstLine="525" w:firstLineChars="25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内容</w:t>
            </w:r>
          </w:p>
          <w:p w14:paraId="0A862FD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要素</w:t>
            </w:r>
          </w:p>
        </w:tc>
        <w:tc>
          <w:tcPr>
            <w:tcW w:w="1003" w:type="pct"/>
            <w:noWrap w:val="0"/>
            <w:vAlign w:val="center"/>
          </w:tcPr>
          <w:p w14:paraId="72C322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排放口（编号、名称）/污染源</w:t>
            </w:r>
          </w:p>
        </w:tc>
        <w:tc>
          <w:tcPr>
            <w:tcW w:w="836" w:type="pct"/>
            <w:noWrap w:val="0"/>
            <w:vAlign w:val="center"/>
          </w:tcPr>
          <w:p w14:paraId="4F53C0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污染物项目</w:t>
            </w:r>
          </w:p>
        </w:tc>
        <w:tc>
          <w:tcPr>
            <w:tcW w:w="1263" w:type="pct"/>
            <w:tcBorders>
              <w:bottom w:val="single" w:color="auto" w:sz="4" w:space="0"/>
            </w:tcBorders>
            <w:noWrap w:val="0"/>
            <w:vAlign w:val="center"/>
          </w:tcPr>
          <w:p w14:paraId="6A5841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环境保护措施</w:t>
            </w:r>
          </w:p>
        </w:tc>
        <w:tc>
          <w:tcPr>
            <w:tcW w:w="1242" w:type="pct"/>
            <w:tcBorders>
              <w:bottom w:val="single" w:color="auto" w:sz="4" w:space="0"/>
            </w:tcBorders>
            <w:noWrap w:val="0"/>
            <w:vAlign w:val="center"/>
          </w:tcPr>
          <w:p w14:paraId="112D61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执行标准</w:t>
            </w:r>
          </w:p>
        </w:tc>
      </w:tr>
      <w:tr w14:paraId="03647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Merge w:val="restart"/>
            <w:noWrap w:val="0"/>
            <w:vAlign w:val="center"/>
          </w:tcPr>
          <w:p w14:paraId="23220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1003" w:type="pct"/>
            <w:vMerge w:val="restart"/>
            <w:noWrap w:val="0"/>
            <w:vAlign w:val="center"/>
          </w:tcPr>
          <w:p w14:paraId="5D7864C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7台50</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eastAsia="宋体" w:cs="Times New Roman"/>
                <w:color w:val="000000" w:themeColor="text1"/>
                <w:szCs w:val="21"/>
                <w14:textFill>
                  <w14:solidFill>
                    <w14:schemeClr w14:val="tx1"/>
                  </w14:solidFill>
                </w14:textFill>
              </w:rPr>
              <w:t>h</w:t>
            </w:r>
            <w:r>
              <w:rPr>
                <w:rFonts w:hint="eastAsia" w:ascii="Times New Roman" w:hAnsi="Times New Roman" w:eastAsia="宋体" w:cs="Times New Roman"/>
                <w:color w:val="000000" w:themeColor="text1"/>
                <w:szCs w:val="21"/>
                <w:lang w:val="en-US" w:eastAsia="zh-CN"/>
                <w14:textFill>
                  <w14:solidFill>
                    <w14:schemeClr w14:val="tx1"/>
                  </w14:solidFill>
                </w14:textFill>
              </w:rPr>
              <w:t>天然气</w:t>
            </w:r>
            <w:r>
              <w:rPr>
                <w:rFonts w:hint="default" w:ascii="Times New Roman" w:hAnsi="Times New Roman" w:eastAsia="宋体" w:cs="Times New Roman"/>
                <w:color w:val="000000" w:themeColor="text1"/>
                <w:szCs w:val="21"/>
                <w14:textFill>
                  <w14:solidFill>
                    <w14:schemeClr w14:val="tx1"/>
                  </w14:solidFill>
                </w14:textFill>
              </w:rPr>
              <w:t>锅炉</w:t>
            </w:r>
            <w:r>
              <w:rPr>
                <w:rFonts w:hint="eastAsia" w:ascii="Times New Roman" w:hAnsi="Times New Roman" w:eastAsia="宋体" w:cs="Times New Roman"/>
                <w:color w:val="000000" w:themeColor="text1"/>
                <w:szCs w:val="21"/>
                <w:lang w:val="en-US" w:eastAsia="zh-CN"/>
                <w14:textFill>
                  <w14:solidFill>
                    <w14:schemeClr w14:val="tx1"/>
                  </w14:solidFill>
                </w14:textFill>
              </w:rPr>
              <w:t>废气排放口</w:t>
            </w:r>
          </w:p>
          <w:p w14:paraId="55D2934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DA001、DA002、DA003、DA004</w:t>
            </w:r>
          </w:p>
        </w:tc>
        <w:tc>
          <w:tcPr>
            <w:tcW w:w="836" w:type="pct"/>
            <w:noWrap w:val="0"/>
            <w:vAlign w:val="center"/>
          </w:tcPr>
          <w:p w14:paraId="25A415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1263" w:type="pct"/>
            <w:vMerge w:val="restart"/>
            <w:tcBorders>
              <w:right w:val="single" w:color="auto" w:sz="6" w:space="0"/>
            </w:tcBorders>
            <w:noWrap w:val="0"/>
            <w:vAlign w:val="center"/>
          </w:tcPr>
          <w:p w14:paraId="7EA3EA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低氮燃烧设备+</w:t>
            </w:r>
            <w:r>
              <w:rPr>
                <w:rFonts w:hint="eastAsia" w:ascii="Times New Roman" w:hAnsi="Times New Roman" w:cs="Times New Roman"/>
                <w:color w:val="000000" w:themeColor="text1"/>
                <w:szCs w:val="21"/>
                <w:highlight w:val="none"/>
                <w:lang w:val="en-US" w:eastAsia="zh-CN"/>
                <w14:textFill>
                  <w14:solidFill>
                    <w14:schemeClr w14:val="tx1"/>
                  </w14:solidFill>
                </w14:textFill>
              </w:rPr>
              <w:t>20.8</w:t>
            </w:r>
            <w:r>
              <w:rPr>
                <w:rFonts w:hint="default" w:ascii="Times New Roman" w:hAnsi="Times New Roman" w:cs="Times New Roman"/>
                <w:color w:val="000000" w:themeColor="text1"/>
                <w:szCs w:val="21"/>
                <w:highlight w:val="none"/>
                <w14:textFill>
                  <w14:solidFill>
                    <w14:schemeClr w14:val="tx1"/>
                  </w14:solidFill>
                </w14:textFill>
              </w:rPr>
              <w:t>m排气筒</w:t>
            </w:r>
          </w:p>
        </w:tc>
        <w:tc>
          <w:tcPr>
            <w:tcW w:w="1242" w:type="pct"/>
            <w:vMerge w:val="restart"/>
            <w:tcBorders>
              <w:left w:val="single" w:color="auto" w:sz="6" w:space="0"/>
            </w:tcBorders>
            <w:noWrap w:val="0"/>
            <w:vAlign w:val="center"/>
          </w:tcPr>
          <w:p w14:paraId="6A479E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颗粒物、SO</w:t>
            </w:r>
            <w:r>
              <w:rPr>
                <w:rFonts w:hint="default" w:ascii="Times New Roman" w:hAnsi="Times New Roman" w:cs="Times New Roman"/>
                <w:color w:val="000000" w:themeColor="text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执行</w:t>
            </w:r>
            <w:r>
              <w:rPr>
                <w:rFonts w:hint="default" w:ascii="Times New Roman" w:hAnsi="Times New Roman" w:cs="Times New Roman"/>
                <w:color w:val="000000" w:themeColor="text1"/>
                <w:szCs w:val="21"/>
                <w:highlight w:val="none"/>
                <w14:textFill>
                  <w14:solidFill>
                    <w14:schemeClr w14:val="tx1"/>
                  </w14:solidFill>
                </w14:textFill>
              </w:rPr>
              <w:t>《锅炉大气污染物排放标准》（DB61/1226-2018）表5排放浓度限值</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烟气黑度执行《</w:t>
            </w:r>
            <w:r>
              <w:rPr>
                <w:rFonts w:hint="default" w:ascii="Times New Roman" w:hAnsi="Times New Roman" w:cs="Times New Roman"/>
                <w:color w:val="000000" w:themeColor="text1"/>
                <w:szCs w:val="21"/>
                <w:highlight w:val="none"/>
                <w14:textFill>
                  <w14:solidFill>
                    <w14:schemeClr w14:val="tx1"/>
                  </w14:solidFill>
                </w14:textFill>
              </w:rPr>
              <w:t>锅炉大气污染物排放标准》（GB13271-2014）表3排放限值</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氮氧化物满足</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《宝鸡市锅炉大气专项整治行动方案》中排放浓度要求</w:t>
            </w:r>
          </w:p>
        </w:tc>
      </w:tr>
      <w:tr w14:paraId="53C05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Merge w:val="continue"/>
            <w:noWrap w:val="0"/>
            <w:vAlign w:val="center"/>
          </w:tcPr>
          <w:p w14:paraId="54FA7A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003" w:type="pct"/>
            <w:vMerge w:val="continue"/>
            <w:noWrap w:val="0"/>
            <w:vAlign w:val="center"/>
          </w:tcPr>
          <w:p w14:paraId="4F0106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36" w:type="pct"/>
            <w:noWrap w:val="0"/>
            <w:vAlign w:val="center"/>
          </w:tcPr>
          <w:p w14:paraId="2EE2A4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SO</w:t>
            </w:r>
            <w:r>
              <w:rPr>
                <w:rFonts w:hint="default" w:ascii="Times New Roman" w:hAnsi="Times New Roman" w:cs="Times New Roman"/>
                <w:bCs/>
                <w:color w:val="000000" w:themeColor="text1"/>
                <w:szCs w:val="21"/>
                <w:vertAlign w:val="subscript"/>
                <w14:textFill>
                  <w14:solidFill>
                    <w14:schemeClr w14:val="tx1"/>
                  </w14:solidFill>
                </w14:textFill>
              </w:rPr>
              <w:t>2</w:t>
            </w:r>
          </w:p>
        </w:tc>
        <w:tc>
          <w:tcPr>
            <w:tcW w:w="1263" w:type="pct"/>
            <w:vMerge w:val="continue"/>
            <w:tcBorders>
              <w:right w:val="single" w:color="auto" w:sz="6" w:space="0"/>
            </w:tcBorders>
            <w:noWrap w:val="0"/>
            <w:vAlign w:val="center"/>
          </w:tcPr>
          <w:p w14:paraId="11F44A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red"/>
                <w14:textFill>
                  <w14:solidFill>
                    <w14:schemeClr w14:val="tx1"/>
                  </w14:solidFill>
                </w14:textFill>
              </w:rPr>
            </w:pPr>
          </w:p>
        </w:tc>
        <w:tc>
          <w:tcPr>
            <w:tcW w:w="1242" w:type="pct"/>
            <w:vMerge w:val="continue"/>
            <w:tcBorders>
              <w:left w:val="single" w:color="auto" w:sz="6" w:space="0"/>
            </w:tcBorders>
            <w:noWrap w:val="0"/>
            <w:vAlign w:val="center"/>
          </w:tcPr>
          <w:p w14:paraId="129A03C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r>
      <w:tr w14:paraId="359A6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Merge w:val="continue"/>
            <w:noWrap w:val="0"/>
            <w:vAlign w:val="center"/>
          </w:tcPr>
          <w:p w14:paraId="358006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003" w:type="pct"/>
            <w:vMerge w:val="continue"/>
            <w:noWrap w:val="0"/>
            <w:vAlign w:val="center"/>
          </w:tcPr>
          <w:p w14:paraId="26BA3E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36" w:type="pct"/>
            <w:noWrap w:val="0"/>
            <w:vAlign w:val="center"/>
          </w:tcPr>
          <w:p w14:paraId="6993F2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NO</w:t>
            </w:r>
            <w:r>
              <w:rPr>
                <w:rFonts w:hint="default" w:ascii="Times New Roman" w:hAnsi="Times New Roman" w:cs="Times New Roman"/>
                <w:bCs/>
                <w:color w:val="000000" w:themeColor="text1"/>
                <w:szCs w:val="21"/>
                <w:vertAlign w:val="subscript"/>
                <w14:textFill>
                  <w14:solidFill>
                    <w14:schemeClr w14:val="tx1"/>
                  </w14:solidFill>
                </w14:textFill>
              </w:rPr>
              <w:t>X</w:t>
            </w:r>
          </w:p>
        </w:tc>
        <w:tc>
          <w:tcPr>
            <w:tcW w:w="1263" w:type="pct"/>
            <w:vMerge w:val="continue"/>
            <w:tcBorders>
              <w:right w:val="single" w:color="auto" w:sz="6" w:space="0"/>
            </w:tcBorders>
            <w:noWrap w:val="0"/>
            <w:vAlign w:val="center"/>
          </w:tcPr>
          <w:p w14:paraId="296C4E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red"/>
                <w14:textFill>
                  <w14:solidFill>
                    <w14:schemeClr w14:val="tx1"/>
                  </w14:solidFill>
                </w14:textFill>
              </w:rPr>
            </w:pPr>
          </w:p>
        </w:tc>
        <w:tc>
          <w:tcPr>
            <w:tcW w:w="1242" w:type="pct"/>
            <w:vMerge w:val="continue"/>
            <w:tcBorders>
              <w:left w:val="single" w:color="auto" w:sz="6" w:space="0"/>
            </w:tcBorders>
            <w:noWrap w:val="0"/>
            <w:vAlign w:val="center"/>
          </w:tcPr>
          <w:p w14:paraId="74F2408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r>
      <w:tr w14:paraId="5D331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vMerge w:val="continue"/>
            <w:noWrap w:val="0"/>
            <w:vAlign w:val="center"/>
          </w:tcPr>
          <w:p w14:paraId="21BBDB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1003" w:type="pct"/>
            <w:vMerge w:val="continue"/>
            <w:noWrap w:val="0"/>
            <w:vAlign w:val="center"/>
          </w:tcPr>
          <w:p w14:paraId="0342EF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p>
        </w:tc>
        <w:tc>
          <w:tcPr>
            <w:tcW w:w="836" w:type="pct"/>
            <w:noWrap w:val="0"/>
            <w:vAlign w:val="center"/>
          </w:tcPr>
          <w:p w14:paraId="243505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烟气黑度</w:t>
            </w:r>
          </w:p>
        </w:tc>
        <w:tc>
          <w:tcPr>
            <w:tcW w:w="1263" w:type="pct"/>
            <w:vMerge w:val="continue"/>
            <w:tcBorders>
              <w:right w:val="single" w:color="auto" w:sz="6" w:space="0"/>
            </w:tcBorders>
            <w:noWrap w:val="0"/>
            <w:vAlign w:val="center"/>
          </w:tcPr>
          <w:p w14:paraId="4E5BA8D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red"/>
                <w14:textFill>
                  <w14:solidFill>
                    <w14:schemeClr w14:val="tx1"/>
                  </w14:solidFill>
                </w14:textFill>
              </w:rPr>
            </w:pPr>
          </w:p>
        </w:tc>
        <w:tc>
          <w:tcPr>
            <w:tcW w:w="1242" w:type="pct"/>
            <w:vMerge w:val="continue"/>
            <w:tcBorders>
              <w:left w:val="single" w:color="auto" w:sz="6" w:space="0"/>
            </w:tcBorders>
            <w:noWrap w:val="0"/>
            <w:vAlign w:val="center"/>
          </w:tcPr>
          <w:p w14:paraId="75545E7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themeColor="text1"/>
                <w:szCs w:val="21"/>
                <w14:textFill>
                  <w14:solidFill>
                    <w14:schemeClr w14:val="tx1"/>
                  </w14:solidFill>
                </w14:textFill>
              </w:rPr>
            </w:pPr>
          </w:p>
        </w:tc>
      </w:tr>
      <w:tr w14:paraId="7678C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6DEEFF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003" w:type="pct"/>
            <w:noWrap w:val="0"/>
            <w:vAlign w:val="center"/>
          </w:tcPr>
          <w:p w14:paraId="2858F02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厂区总排口DW001</w:t>
            </w:r>
          </w:p>
        </w:tc>
        <w:tc>
          <w:tcPr>
            <w:tcW w:w="836" w:type="pct"/>
            <w:noWrap w:val="0"/>
            <w:vAlign w:val="center"/>
          </w:tcPr>
          <w:p w14:paraId="45A4CF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position w:val="2"/>
                <w:szCs w:val="21"/>
                <w14:textFill>
                  <w14:solidFill>
                    <w14:schemeClr w14:val="tx1"/>
                  </w14:solidFill>
                </w14:textFill>
              </w:rPr>
              <w:t>BOD</w:t>
            </w:r>
            <w:r>
              <w:rPr>
                <w:rFonts w:hint="default" w:ascii="Times New Roman" w:hAnsi="Times New Roman" w:cs="Times New Roman"/>
                <w:color w:val="000000" w:themeColor="text1"/>
                <w:position w:val="2"/>
                <w:szCs w:val="21"/>
                <w:vertAlign w:val="subscript"/>
                <w14:textFill>
                  <w14:solidFill>
                    <w14:schemeClr w14:val="tx1"/>
                  </w14:solidFill>
                </w14:textFill>
              </w:rPr>
              <w:t>5</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COD</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SS</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NH</w:t>
            </w:r>
            <w:r>
              <w:rPr>
                <w:rFonts w:hint="default" w:ascii="Times New Roman" w:hAnsi="Times New Roman" w:cs="Times New Roman"/>
                <w:color w:val="000000" w:themeColor="text1"/>
                <w:position w:val="2"/>
                <w:szCs w:val="21"/>
                <w:vertAlign w:val="subscript"/>
                <w14:textFill>
                  <w14:solidFill>
                    <w14:schemeClr w14:val="tx1"/>
                  </w14:solidFill>
                </w14:textFill>
              </w:rPr>
              <w:t>3</w:t>
            </w:r>
            <w:r>
              <w:rPr>
                <w:rFonts w:hint="default" w:ascii="Times New Roman" w:hAnsi="Times New Roman" w:cs="Times New Roman"/>
                <w:color w:val="000000" w:themeColor="text1"/>
                <w:position w:val="2"/>
                <w:szCs w:val="21"/>
                <w14:textFill>
                  <w14:solidFill>
                    <w14:schemeClr w14:val="tx1"/>
                  </w14:solidFill>
                </w14:textFill>
              </w:rPr>
              <w:t>-N</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总磷</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总氮</w:t>
            </w:r>
            <w:r>
              <w:rPr>
                <w:rFonts w:hint="eastAsia" w:ascii="Times New Roman" w:hAnsi="Times New Roman" w:cs="Times New Roman"/>
                <w:color w:val="000000" w:themeColor="text1"/>
                <w:position w:val="2"/>
                <w:szCs w:val="21"/>
                <w:lang w:eastAsia="zh-CN"/>
                <w14:textFill>
                  <w14:solidFill>
                    <w14:schemeClr w14:val="tx1"/>
                  </w14:solidFill>
                </w14:textFill>
              </w:rPr>
              <w:t>、</w:t>
            </w:r>
            <w:r>
              <w:rPr>
                <w:rFonts w:hint="default" w:ascii="Times New Roman" w:hAnsi="Times New Roman" w:cs="Times New Roman"/>
                <w:color w:val="000000" w:themeColor="text1"/>
                <w:position w:val="2"/>
                <w:szCs w:val="21"/>
                <w14:textFill>
                  <w14:solidFill>
                    <w14:schemeClr w14:val="tx1"/>
                  </w14:solidFill>
                </w14:textFill>
              </w:rPr>
              <w:t>SS</w:t>
            </w:r>
          </w:p>
        </w:tc>
        <w:tc>
          <w:tcPr>
            <w:tcW w:w="1263" w:type="pct"/>
            <w:tcBorders>
              <w:right w:val="single" w:color="auto" w:sz="6" w:space="0"/>
            </w:tcBorders>
            <w:noWrap w:val="0"/>
            <w:vAlign w:val="center"/>
          </w:tcPr>
          <w:p w14:paraId="47113F4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化粪池</w:t>
            </w:r>
          </w:p>
        </w:tc>
        <w:tc>
          <w:tcPr>
            <w:tcW w:w="1242" w:type="pct"/>
            <w:tcBorders>
              <w:left w:val="single" w:color="auto" w:sz="6" w:space="0"/>
            </w:tcBorders>
            <w:noWrap w:val="0"/>
            <w:vAlign w:val="center"/>
          </w:tcPr>
          <w:p w14:paraId="6729EE8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《陕西省黄河流域污水综合排放标准》（DB61/224-2018）</w:t>
            </w:r>
          </w:p>
        </w:tc>
      </w:tr>
      <w:tr w14:paraId="23332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5058EA2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1003" w:type="pct"/>
            <w:noWrap w:val="0"/>
            <w:vAlign w:val="center"/>
          </w:tcPr>
          <w:p w14:paraId="73BDE3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生产设备</w:t>
            </w:r>
          </w:p>
        </w:tc>
        <w:tc>
          <w:tcPr>
            <w:tcW w:w="836" w:type="pct"/>
            <w:noWrap w:val="0"/>
            <w:vAlign w:val="center"/>
          </w:tcPr>
          <w:p w14:paraId="229DED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1263" w:type="pct"/>
            <w:tcBorders>
              <w:right w:val="single" w:color="auto" w:sz="6" w:space="0"/>
            </w:tcBorders>
            <w:noWrap w:val="0"/>
            <w:vAlign w:val="center"/>
          </w:tcPr>
          <w:p w14:paraId="1B87803F">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①锅炉</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水泵选用低噪声设备，</w:t>
            </w:r>
            <w:r>
              <w:rPr>
                <w:rFonts w:hint="default" w:ascii="Times New Roman" w:hAnsi="Times New Roman" w:cs="Times New Roman"/>
                <w:color w:val="000000" w:themeColor="text1"/>
                <w:szCs w:val="21"/>
                <w14:textFill>
                  <w14:solidFill>
                    <w14:schemeClr w14:val="tx1"/>
                  </w14:solidFill>
                </w14:textFill>
              </w:rPr>
              <w:t>安装时加装基座</w:t>
            </w:r>
            <w:r>
              <w:rPr>
                <w:rFonts w:hint="default" w:ascii="Times New Roman" w:hAnsi="Times New Roman" w:cs="Times New Roman"/>
                <w:color w:val="000000" w:themeColor="text1"/>
                <w:szCs w:val="21"/>
                <w:lang w:eastAsia="zh-CN"/>
                <w14:textFill>
                  <w14:solidFill>
                    <w14:schemeClr w14:val="tx1"/>
                  </w14:solidFill>
                </w14:textFill>
              </w:rPr>
              <w:t>减振</w:t>
            </w:r>
            <w:r>
              <w:rPr>
                <w:rFonts w:hint="default" w:ascii="Times New Roman" w:hAnsi="Times New Roman" w:cs="Times New Roman"/>
                <w:color w:val="000000" w:themeColor="text1"/>
                <w:szCs w:val="21"/>
                <w14:textFill>
                  <w14:solidFill>
                    <w14:schemeClr w14:val="tx1"/>
                  </w14:solidFill>
                </w14:textFill>
              </w:rPr>
              <w:t>；</w:t>
            </w:r>
          </w:p>
          <w:p w14:paraId="4E437C9E">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w:t>
            </w:r>
            <w:r>
              <w:rPr>
                <w:rFonts w:hint="default" w:ascii="Times New Roman" w:hAnsi="Times New Roman" w:cs="Times New Roman"/>
                <w:color w:val="000000" w:themeColor="text1"/>
                <w:szCs w:val="21"/>
                <w:lang w:val="en-US" w:eastAsia="zh-Hans"/>
                <w14:textFill>
                  <w14:solidFill>
                    <w14:schemeClr w14:val="tx1"/>
                  </w14:solidFill>
                </w14:textFill>
              </w:rPr>
              <w:t>构筑物采用砖墙</w:t>
            </w:r>
            <w:r>
              <w:rPr>
                <w:rFonts w:hint="default" w:ascii="Times New Roman" w:hAnsi="Times New Roman" w:cs="Times New Roman"/>
                <w:color w:val="000000" w:themeColor="text1"/>
                <w:szCs w:val="21"/>
                <w:lang w:eastAsia="zh-Hans"/>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生产期间门窗处于常闭状态；</w:t>
            </w:r>
          </w:p>
          <w:p w14:paraId="7F65DAF8">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③企业建立完善的设备维护管理制度，确保设备处于良好</w:t>
            </w:r>
            <w:bookmarkStart w:id="9" w:name="_GoBack"/>
            <w:r>
              <w:rPr>
                <w:rFonts w:hint="eastAsia" w:ascii="Times New Roman" w:hAnsi="Times New Roman" w:cs="Times New Roman"/>
                <w:color w:val="000000" w:themeColor="text1"/>
                <w:szCs w:val="21"/>
                <w:lang w:val="en-US" w:eastAsia="zh-CN"/>
                <w14:textFill>
                  <w14:solidFill>
                    <w14:schemeClr w14:val="tx1"/>
                  </w14:solidFill>
                </w14:textFill>
              </w:rPr>
              <w:t>的</w:t>
            </w:r>
            <w:bookmarkEnd w:id="9"/>
            <w:r>
              <w:rPr>
                <w:rFonts w:hint="default" w:ascii="Times New Roman" w:hAnsi="Times New Roman" w:cs="Times New Roman"/>
                <w:color w:val="000000" w:themeColor="text1"/>
                <w:szCs w:val="21"/>
                <w14:textFill>
                  <w14:solidFill>
                    <w14:schemeClr w14:val="tx1"/>
                  </w14:solidFill>
                </w14:textFill>
              </w:rPr>
              <w:t>运转状态</w:t>
            </w:r>
            <w:r>
              <w:rPr>
                <w:rFonts w:hint="eastAsia" w:ascii="Times New Roman" w:hAnsi="Times New Roman" w:cs="Times New Roman"/>
                <w:color w:val="000000" w:themeColor="text1"/>
                <w:szCs w:val="21"/>
                <w:lang w:eastAsia="zh-CN"/>
                <w14:textFill>
                  <w14:solidFill>
                    <w14:schemeClr w14:val="tx1"/>
                  </w14:solidFill>
                </w14:textFill>
              </w:rPr>
              <w:t>。</w:t>
            </w:r>
          </w:p>
        </w:tc>
        <w:tc>
          <w:tcPr>
            <w:tcW w:w="1242" w:type="pct"/>
            <w:tcBorders>
              <w:left w:val="single" w:color="auto" w:sz="6" w:space="0"/>
            </w:tcBorders>
            <w:noWrap w:val="0"/>
            <w:vAlign w:val="center"/>
          </w:tcPr>
          <w:p w14:paraId="60392B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《工业企业厂界环境噪声排放标准》（GB12348-2008）</w:t>
            </w: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类标准限值</w:t>
            </w:r>
          </w:p>
        </w:tc>
      </w:tr>
      <w:tr w14:paraId="63B37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222836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电磁辐射</w:t>
            </w:r>
          </w:p>
        </w:tc>
        <w:tc>
          <w:tcPr>
            <w:tcW w:w="1003" w:type="pct"/>
            <w:noWrap w:val="0"/>
            <w:vAlign w:val="center"/>
          </w:tcPr>
          <w:p w14:paraId="038B0E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836" w:type="pct"/>
            <w:noWrap w:val="0"/>
            <w:vAlign w:val="center"/>
          </w:tcPr>
          <w:p w14:paraId="3197D9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263" w:type="pct"/>
            <w:noWrap w:val="0"/>
            <w:vAlign w:val="center"/>
          </w:tcPr>
          <w:p w14:paraId="378CCE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242" w:type="pct"/>
            <w:noWrap w:val="0"/>
            <w:vAlign w:val="center"/>
          </w:tcPr>
          <w:p w14:paraId="580B3B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382C2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58F97C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4345" w:type="pct"/>
            <w:gridSpan w:val="4"/>
            <w:noWrap w:val="0"/>
            <w:vAlign w:val="center"/>
          </w:tcPr>
          <w:p w14:paraId="0DD93432">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项目固体废物主要是员工生活垃圾和软化水制备产生的废离子交换树脂。生活垃圾设垃圾桶分类收集，统一委托环卫部门处置。软水制备产生废离子交换树脂由离子交换树脂厂家回收</w:t>
            </w:r>
            <w:r>
              <w:rPr>
                <w:rFonts w:hint="eastAsia" w:ascii="Times New Roman" w:hAnsi="Times New Roman" w:cs="Times New Roman"/>
                <w:color w:val="000000" w:themeColor="text1"/>
                <w:szCs w:val="21"/>
                <w:lang w:eastAsia="zh-CN"/>
                <w14:textFill>
                  <w14:solidFill>
                    <w14:schemeClr w14:val="tx1"/>
                  </w14:solidFill>
                </w14:textFill>
              </w:rPr>
              <w:t>。</w:t>
            </w:r>
          </w:p>
        </w:tc>
      </w:tr>
      <w:tr w14:paraId="73B15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62EB1A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土壤及地下水污染防治措施</w:t>
            </w:r>
          </w:p>
        </w:tc>
        <w:tc>
          <w:tcPr>
            <w:tcW w:w="4345" w:type="pct"/>
            <w:gridSpan w:val="4"/>
            <w:noWrap w:val="0"/>
            <w:vAlign w:val="center"/>
          </w:tcPr>
          <w:p w14:paraId="486A289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锅炉房地面硬化处理</w:t>
            </w:r>
          </w:p>
        </w:tc>
      </w:tr>
      <w:tr w14:paraId="6F9BE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39ED01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生态保护措施</w:t>
            </w:r>
          </w:p>
        </w:tc>
        <w:tc>
          <w:tcPr>
            <w:tcW w:w="4345" w:type="pct"/>
            <w:gridSpan w:val="4"/>
            <w:noWrap w:val="0"/>
            <w:vAlign w:val="center"/>
          </w:tcPr>
          <w:p w14:paraId="76C44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1D3C6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noWrap w:val="0"/>
            <w:vAlign w:val="center"/>
          </w:tcPr>
          <w:p w14:paraId="33A922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环境风险</w:t>
            </w:r>
          </w:p>
          <w:p w14:paraId="219F4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防范措施</w:t>
            </w:r>
          </w:p>
        </w:tc>
        <w:tc>
          <w:tcPr>
            <w:tcW w:w="4345" w:type="pct"/>
            <w:gridSpan w:val="4"/>
            <w:noWrap w:val="0"/>
            <w:vAlign w:val="center"/>
          </w:tcPr>
          <w:p w14:paraId="014EF619">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环境风险防范措施</w:t>
            </w:r>
          </w:p>
          <w:p w14:paraId="05B6BAF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①风险源头管控</w:t>
            </w:r>
          </w:p>
          <w:p w14:paraId="6AA1877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天然气输送管道的设计、布置须符合《建筑设计防火规范</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城镇燃气 设计规范》等相关要求，必须与</w:t>
            </w:r>
            <w:r>
              <w:rPr>
                <w:rFonts w:hint="eastAsia" w:ascii="Times New Roman" w:hAnsi="Times New Roman" w:cs="Times New Roman"/>
                <w:color w:val="000000" w:themeColor="text1"/>
                <w:szCs w:val="21"/>
                <w:lang w:eastAsia="zh-CN"/>
                <w14:textFill>
                  <w14:solidFill>
                    <w14:schemeClr w14:val="tx1"/>
                  </w14:solidFill>
                </w14:textFill>
              </w:rPr>
              <w:t>其他构筑物</w:t>
            </w:r>
            <w:r>
              <w:rPr>
                <w:rFonts w:hint="default" w:ascii="Times New Roman" w:hAnsi="Times New Roman" w:cs="Times New Roman"/>
                <w:color w:val="000000" w:themeColor="text1"/>
                <w:szCs w:val="21"/>
                <w14:textFill>
                  <w14:solidFill>
                    <w14:schemeClr w14:val="tx1"/>
                  </w14:solidFill>
                </w14:textFill>
              </w:rPr>
              <w:t>有足够的间隔距离。燃气调压站的设施、设备、照明装置等均应为防爆型。</w:t>
            </w:r>
          </w:p>
          <w:p w14:paraId="186CA3B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②风险途径防范措施</w:t>
            </w:r>
          </w:p>
          <w:p w14:paraId="50894F5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定时地对阀门进行检查，以确定各阀门没有泄漏。在锅炉点火前，要确保锅炉的各项性能符合标准，做好安全检查工作；锅炉运行中的合理操作和监督；对锅炉设备的定期维护。如果管路、阀门发生泄漏，在查明原因并消除缺陷之前应停止相关的作业，待隐患消除后恢复。</w:t>
            </w:r>
          </w:p>
          <w:p w14:paraId="204BE94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③保护目标防范措施</w:t>
            </w:r>
          </w:p>
          <w:p w14:paraId="7F3D04E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加强人员安全教育、科学管理</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提高安全防范风险的意识；加强防爆电气设备的日常巡视和检查工作；严格落实各项规章制度。</w:t>
            </w:r>
          </w:p>
        </w:tc>
      </w:tr>
      <w:tr w14:paraId="4F6AC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9" w:hRule="atLeast"/>
          <w:jc w:val="center"/>
        </w:trPr>
        <w:tc>
          <w:tcPr>
            <w:tcW w:w="654" w:type="pct"/>
            <w:noWrap w:val="0"/>
            <w:vAlign w:val="center"/>
          </w:tcPr>
          <w:p w14:paraId="6598D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其他环境</w:t>
            </w:r>
          </w:p>
          <w:p w14:paraId="3613CF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Cs w:val="21"/>
                <w14:textFill>
                  <w14:solidFill>
                    <w14:schemeClr w14:val="tx1"/>
                  </w14:solidFill>
                </w14:textFill>
              </w:rPr>
            </w:pPr>
            <w:r>
              <w:rPr>
                <w:rFonts w:hint="default" w:ascii="Times New Roman" w:hAnsi="Times New Roman" w:cs="Times New Roman"/>
                <w:color w:val="000000" w:themeColor="text1"/>
                <w:spacing w:val="-8"/>
                <w:szCs w:val="21"/>
                <w14:textFill>
                  <w14:solidFill>
                    <w14:schemeClr w14:val="tx1"/>
                  </w14:solidFill>
                </w14:textFill>
              </w:rPr>
              <w:t>管理要求</w:t>
            </w:r>
          </w:p>
        </w:tc>
        <w:tc>
          <w:tcPr>
            <w:tcW w:w="4345" w:type="pct"/>
            <w:gridSpan w:val="4"/>
            <w:noWrap w:val="0"/>
            <w:vAlign w:val="center"/>
          </w:tcPr>
          <w:p w14:paraId="28A8DCE5">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建议陕西西凤宝气新能源科技有限公司按照《排污许可证》管理要求，建立</w:t>
            </w:r>
            <w:r>
              <w:rPr>
                <w:rFonts w:hint="default" w:ascii="Times New Roman" w:hAnsi="Times New Roman" w:cs="Times New Roman"/>
                <w:color w:val="000000" w:themeColor="text1"/>
                <w:szCs w:val="21"/>
                <w14:textFill>
                  <w14:solidFill>
                    <w14:schemeClr w14:val="tx1"/>
                  </w14:solidFill>
                </w14:textFill>
              </w:rPr>
              <w:t>日常环境管理要求</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定期对</w:t>
            </w:r>
            <w:r>
              <w:rPr>
                <w:rFonts w:hint="default" w:ascii="Times New Roman" w:hAnsi="Times New Roman" w:cs="Times New Roman"/>
                <w:color w:val="000000" w:themeColor="text1"/>
                <w:szCs w:val="21"/>
                <w14:textFill>
                  <w14:solidFill>
                    <w14:schemeClr w14:val="tx1"/>
                  </w14:solidFill>
                </w14:textFill>
              </w:rPr>
              <w:t>社会公开信息内容</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本次评价对项目排污口提出管理要求：</w:t>
            </w:r>
          </w:p>
          <w:p w14:paraId="5118A82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①排污口规范管理原则</w:t>
            </w:r>
          </w:p>
          <w:p w14:paraId="3641E5A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ⅰ、排污口设置合理，按照环监[96]470号文件进行规范化管理；并按照自行监测方案开展自行监测。</w:t>
            </w:r>
          </w:p>
          <w:p w14:paraId="28F70B9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ⅱ、废气排气装置应设置便于采样、监测的平台，其采用位置优先选择在垂直管段，并设置在距离弯头、阀门、变径管下游方向不小于6倍直径和距离上述部件上游方向不小于3倍直径处。采样口内径应不小于80mm，长度应不大于50mm，不使用时采用盖板、管堵或管帽封闭。采样平台面积应不小于1.5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，并设有1.1m高的护栏，采样口距离平台面约为1.2～1.3m。</w:t>
            </w:r>
          </w:p>
          <w:p w14:paraId="4152822E">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②排污口规范化</w:t>
            </w:r>
          </w:p>
          <w:p w14:paraId="669D2C53">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根据国家环境保护部《关于开展排放口规范化整治工作的通知》（环发〔1999〕24号）、《危险废物识别标志设置技术规范（GB1276-2022）》及《环境保护图形标志</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固体废物暂存（处置）场》（GB15562.2-1995）修改单及《环境保护图形标志》（GB15562.1-1995）（GB15562.2-1995）的规定，设置环境保护图形标志牌。环境保护图形标志牌设置位置应距污染物排放口（源）、固体废物贮存（堆放）场或采样点较近且醒目处，并能长久保留。环境保护图形标志具体设置图形见表5-1。</w:t>
            </w:r>
          </w:p>
          <w:p w14:paraId="50893853">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表5-1</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 xml:space="preserve"> 环境保护图形标志图形</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0"/>
              <w:gridCol w:w="931"/>
              <w:gridCol w:w="1259"/>
              <w:gridCol w:w="1271"/>
              <w:gridCol w:w="1256"/>
              <w:gridCol w:w="1499"/>
              <w:gridCol w:w="1351"/>
            </w:tblGrid>
            <w:tr w14:paraId="7BBE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vMerge w:val="restart"/>
                  <w:tcBorders>
                    <w:top w:val="single" w:color="auto" w:sz="4" w:space="0"/>
                    <w:left w:val="single" w:color="auto" w:sz="4" w:space="0"/>
                    <w:bottom w:val="single" w:color="auto" w:sz="4" w:space="0"/>
                    <w:right w:val="single" w:color="auto" w:sz="4" w:space="0"/>
                  </w:tcBorders>
                  <w:noWrap w:val="0"/>
                  <w:vAlign w:val="center"/>
                </w:tcPr>
                <w:p w14:paraId="481984D7">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593" w:type="pct"/>
                  <w:vMerge w:val="restart"/>
                  <w:tcBorders>
                    <w:top w:val="single" w:color="auto" w:sz="4" w:space="0"/>
                    <w:left w:val="single" w:color="auto" w:sz="4" w:space="0"/>
                    <w:bottom w:val="single" w:color="auto" w:sz="4" w:space="0"/>
                    <w:right w:val="single" w:color="auto" w:sz="4" w:space="0"/>
                  </w:tcBorders>
                  <w:noWrap w:val="0"/>
                  <w:vAlign w:val="center"/>
                </w:tcPr>
                <w:p w14:paraId="06B74315">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要求</w:t>
                  </w:r>
                </w:p>
              </w:tc>
              <w:tc>
                <w:tcPr>
                  <w:tcW w:w="4229" w:type="pct"/>
                  <w:gridSpan w:val="5"/>
                  <w:tcBorders>
                    <w:top w:val="single" w:color="auto" w:sz="4" w:space="0"/>
                    <w:left w:val="single" w:color="auto" w:sz="4" w:space="0"/>
                    <w:bottom w:val="single" w:color="auto" w:sz="4" w:space="0"/>
                    <w:right w:val="single" w:color="auto" w:sz="4" w:space="0"/>
                  </w:tcBorders>
                  <w:noWrap w:val="0"/>
                  <w:vAlign w:val="center"/>
                </w:tcPr>
                <w:p w14:paraId="10726019">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图形标志设置部位</w:t>
                  </w:r>
                </w:p>
              </w:tc>
            </w:tr>
            <w:tr w14:paraId="15F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vMerge w:val="continue"/>
                  <w:tcBorders>
                    <w:top w:val="single" w:color="auto" w:sz="4" w:space="0"/>
                    <w:left w:val="single" w:color="auto" w:sz="4" w:space="0"/>
                    <w:bottom w:val="single" w:color="auto" w:sz="4" w:space="0"/>
                    <w:right w:val="single" w:color="auto" w:sz="4" w:space="0"/>
                  </w:tcBorders>
                  <w:noWrap w:val="0"/>
                  <w:vAlign w:val="center"/>
                </w:tcPr>
                <w:p w14:paraId="3F950BF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0"/>
                      <w:szCs w:val="21"/>
                      <w14:textFill>
                        <w14:solidFill>
                          <w14:schemeClr w14:val="tx1"/>
                        </w14:solidFill>
                      </w14:textFill>
                    </w:rPr>
                  </w:pPr>
                </w:p>
              </w:tc>
              <w:tc>
                <w:tcPr>
                  <w:tcW w:w="593" w:type="pct"/>
                  <w:vMerge w:val="continue"/>
                  <w:tcBorders>
                    <w:top w:val="single" w:color="auto" w:sz="4" w:space="0"/>
                    <w:left w:val="single" w:color="auto" w:sz="4" w:space="0"/>
                    <w:bottom w:val="single" w:color="auto" w:sz="4" w:space="0"/>
                    <w:right w:val="single" w:color="auto" w:sz="4" w:space="0"/>
                  </w:tcBorders>
                  <w:noWrap w:val="0"/>
                  <w:vAlign w:val="center"/>
                </w:tcPr>
                <w:p w14:paraId="11C3690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0"/>
                      <w:szCs w:val="21"/>
                      <w14:textFill>
                        <w14:solidFill>
                          <w14:schemeClr w14:val="tx1"/>
                        </w14:solidFill>
                      </w14:textFill>
                    </w:rPr>
                  </w:pPr>
                </w:p>
              </w:tc>
              <w:tc>
                <w:tcPr>
                  <w:tcW w:w="802" w:type="pct"/>
                  <w:tcBorders>
                    <w:top w:val="single" w:color="auto" w:sz="4" w:space="0"/>
                    <w:left w:val="single" w:color="auto" w:sz="4" w:space="0"/>
                    <w:bottom w:val="single" w:color="auto" w:sz="4" w:space="0"/>
                    <w:right w:val="single" w:color="auto" w:sz="4" w:space="0"/>
                  </w:tcBorders>
                  <w:noWrap w:val="0"/>
                  <w:vAlign w:val="center"/>
                </w:tcPr>
                <w:p w14:paraId="1EA14016">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废水排放口</w:t>
                  </w:r>
                </w:p>
              </w:tc>
              <w:tc>
                <w:tcPr>
                  <w:tcW w:w="810" w:type="pct"/>
                  <w:tcBorders>
                    <w:top w:val="single" w:color="auto" w:sz="4" w:space="0"/>
                    <w:left w:val="single" w:color="auto" w:sz="4" w:space="0"/>
                    <w:bottom w:val="single" w:color="auto" w:sz="4" w:space="0"/>
                    <w:right w:val="single" w:color="auto" w:sz="4" w:space="0"/>
                  </w:tcBorders>
                  <w:noWrap w:val="0"/>
                  <w:vAlign w:val="center"/>
                </w:tcPr>
                <w:p w14:paraId="1350A768">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废气排放口</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2D28E87A">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噪声源</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2CB7641D">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固废堆场</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674A3842">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危废间</w:t>
                  </w:r>
                </w:p>
              </w:tc>
            </w:tr>
            <w:tr w14:paraId="20E5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580C5F98">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36F64905">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图形符号</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54AFC8C8">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723900" cy="723900"/>
                        <wp:effectExtent l="0" t="0" r="7620" b="7620"/>
                        <wp:docPr id="7" name="图片 1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wps1"/>
                                <pic:cNvPicPr>
                                  <a:picLocks noChangeAspect="1"/>
                                </pic:cNvPicPr>
                              </pic:nvPicPr>
                              <pic:blipFill>
                                <a:blip r:embed="rId44"/>
                                <a:stretch>
                                  <a:fillRect/>
                                </a:stretch>
                              </pic:blipFill>
                              <pic:spPr>
                                <a:xfrm>
                                  <a:off x="0" y="0"/>
                                  <a:ext cx="723900" cy="72390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noWrap w:val="0"/>
                  <w:vAlign w:val="center"/>
                </w:tcPr>
                <w:p w14:paraId="4F05E0FF">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742950" cy="723900"/>
                        <wp:effectExtent l="0" t="0" r="3810" b="7620"/>
                        <wp:docPr id="8" name="图片 1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wps2"/>
                                <pic:cNvPicPr>
                                  <a:picLocks noChangeAspect="1"/>
                                </pic:cNvPicPr>
                              </pic:nvPicPr>
                              <pic:blipFill>
                                <a:blip r:embed="rId45"/>
                                <a:stretch>
                                  <a:fillRect/>
                                </a:stretch>
                              </pic:blipFill>
                              <pic:spPr>
                                <a:xfrm>
                                  <a:off x="0" y="0"/>
                                  <a:ext cx="742950" cy="723900"/>
                                </a:xfrm>
                                <a:prstGeom prst="rect">
                                  <a:avLst/>
                                </a:prstGeom>
                                <a:noFill/>
                                <a:ln>
                                  <a:noFill/>
                                </a:ln>
                              </pic:spPr>
                            </pic:pic>
                          </a:graphicData>
                        </a:graphic>
                      </wp:inline>
                    </w:drawing>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530F4A80">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733425" cy="723900"/>
                        <wp:effectExtent l="0" t="0" r="13335" b="7620"/>
                        <wp:docPr id="9" name="图片 1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wps3"/>
                                <pic:cNvPicPr>
                                  <a:picLocks noChangeAspect="1"/>
                                </pic:cNvPicPr>
                              </pic:nvPicPr>
                              <pic:blipFill>
                                <a:blip r:embed="rId46"/>
                                <a:stretch>
                                  <a:fillRect/>
                                </a:stretch>
                              </pic:blipFill>
                              <pic:spPr>
                                <a:xfrm>
                                  <a:off x="0" y="0"/>
                                  <a:ext cx="733425" cy="723900"/>
                                </a:xfrm>
                                <a:prstGeom prst="rect">
                                  <a:avLst/>
                                </a:prstGeom>
                                <a:noFill/>
                                <a:ln>
                                  <a:noFill/>
                                </a:ln>
                              </pic:spPr>
                            </pic:pic>
                          </a:graphicData>
                        </a:graphic>
                      </wp:inline>
                    </w:drawing>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5285A26F">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876300" cy="723900"/>
                        <wp:effectExtent l="0" t="0" r="7620" b="7620"/>
                        <wp:docPr id="10" name="图片 20"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wps4"/>
                                <pic:cNvPicPr>
                                  <a:picLocks noChangeAspect="1"/>
                                </pic:cNvPicPr>
                              </pic:nvPicPr>
                              <pic:blipFill>
                                <a:blip r:embed="rId47"/>
                                <a:stretch>
                                  <a:fillRect/>
                                </a:stretch>
                              </pic:blipFill>
                              <pic:spPr>
                                <a:xfrm>
                                  <a:off x="0" y="0"/>
                                  <a:ext cx="876300" cy="723900"/>
                                </a:xfrm>
                                <a:prstGeom prst="rect">
                                  <a:avLst/>
                                </a:prstGeom>
                                <a:noFill/>
                                <a:ln>
                                  <a:noFill/>
                                </a:ln>
                              </pic:spPr>
                            </pic:pic>
                          </a:graphicData>
                        </a:graphic>
                      </wp:inline>
                    </w:drawing>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196223B0">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627380" cy="724535"/>
                        <wp:effectExtent l="0" t="0" r="12700" b="6985"/>
                        <wp:docPr id="11" name="图片 21" descr="19ee2203b44412b40b3c66264f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19ee2203b44412b40b3c66264fc76f9"/>
                                <pic:cNvPicPr>
                                  <a:picLocks noChangeAspect="1"/>
                                </pic:cNvPicPr>
                              </pic:nvPicPr>
                              <pic:blipFill>
                                <a:blip r:embed="rId48"/>
                                <a:srcRect l="40559" t="16992" r="14629" b="59164"/>
                                <a:stretch>
                                  <a:fillRect/>
                                </a:stretch>
                              </pic:blipFill>
                              <pic:spPr>
                                <a:xfrm>
                                  <a:off x="0" y="0"/>
                                  <a:ext cx="627380" cy="724535"/>
                                </a:xfrm>
                                <a:prstGeom prst="rect">
                                  <a:avLst/>
                                </a:prstGeom>
                                <a:noFill/>
                                <a:ln>
                                  <a:noFill/>
                                </a:ln>
                              </pic:spPr>
                            </pic:pic>
                          </a:graphicData>
                        </a:graphic>
                      </wp:inline>
                    </w:drawing>
                  </w:r>
                </w:p>
              </w:tc>
            </w:tr>
            <w:tr w14:paraId="45BA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363ACB18">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3794DB7B">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背景颜色</w:t>
                  </w:r>
                </w:p>
              </w:tc>
              <w:tc>
                <w:tcPr>
                  <w:tcW w:w="3367" w:type="pct"/>
                  <w:gridSpan w:val="4"/>
                  <w:tcBorders>
                    <w:top w:val="single" w:color="auto" w:sz="4" w:space="0"/>
                    <w:left w:val="single" w:color="auto" w:sz="4" w:space="0"/>
                    <w:bottom w:val="single" w:color="auto" w:sz="4" w:space="0"/>
                    <w:right w:val="single" w:color="auto" w:sz="4" w:space="0"/>
                  </w:tcBorders>
                  <w:noWrap w:val="0"/>
                  <w:vAlign w:val="center"/>
                </w:tcPr>
                <w:p w14:paraId="6FAFB52C">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绿色</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7D9AE02B">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黄色</w:t>
                  </w:r>
                </w:p>
              </w:tc>
            </w:tr>
            <w:tr w14:paraId="7C57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687986E8">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51A1E6DF">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图形颜色</w:t>
                  </w:r>
                </w:p>
              </w:tc>
              <w:tc>
                <w:tcPr>
                  <w:tcW w:w="3367" w:type="pct"/>
                  <w:gridSpan w:val="4"/>
                  <w:tcBorders>
                    <w:top w:val="single" w:color="auto" w:sz="4" w:space="0"/>
                    <w:left w:val="single" w:color="auto" w:sz="4" w:space="0"/>
                    <w:bottom w:val="single" w:color="auto" w:sz="4" w:space="0"/>
                    <w:right w:val="single" w:color="auto" w:sz="4" w:space="0"/>
                  </w:tcBorders>
                  <w:noWrap w:val="0"/>
                  <w:vAlign w:val="center"/>
                </w:tcPr>
                <w:p w14:paraId="4FB2EF36">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白色</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1392D7A5">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黑色</w:t>
                  </w:r>
                </w:p>
              </w:tc>
            </w:tr>
          </w:tbl>
          <w:p w14:paraId="5CAC014A">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themeColor="text1"/>
                <w:szCs w:val="21"/>
                <w14:textFill>
                  <w14:solidFill>
                    <w14:schemeClr w14:val="tx1"/>
                  </w14:solidFill>
                </w14:textFill>
              </w:rPr>
            </w:pPr>
          </w:p>
        </w:tc>
      </w:tr>
    </w:tbl>
    <w:p w14:paraId="7B20E69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宋体" w:eastAsia="宋体"/>
          <w:b/>
          <w:bCs/>
          <w:snapToGrid w:val="0"/>
          <w:color w:val="000000" w:themeColor="text1"/>
          <w:sz w:val="30"/>
          <w:szCs w:val="30"/>
          <w14:textFill>
            <w14:solidFill>
              <w14:schemeClr w14:val="tx1"/>
            </w14:solidFill>
          </w14:textFill>
        </w:rPr>
      </w:pPr>
      <w:bookmarkStart w:id="7" w:name="_Toc75955707"/>
      <w:r>
        <w:rPr>
          <w:rFonts w:hint="default" w:ascii="Times New Roman" w:hAnsi="宋体" w:eastAsia="宋体"/>
          <w:b/>
          <w:bCs/>
          <w:snapToGrid w:val="0"/>
          <w:color w:val="000000" w:themeColor="text1"/>
          <w:sz w:val="30"/>
          <w:szCs w:val="30"/>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六、结论</w:t>
      </w:r>
      <w:bookmarkEnd w:id="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DFCF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4421960">
            <w:pPr>
              <w:keepNext w:val="0"/>
              <w:keepLines w:val="0"/>
              <w:pageBreakBefore w:val="0"/>
              <w:widowControl w:val="0"/>
              <w:suppressLineNumbers w:val="0"/>
              <w:kinsoku/>
              <w:wordWrap/>
              <w:overflowPunct/>
              <w:topLinePunct w:val="0"/>
              <w:autoSpaceDE/>
              <w:autoSpaceDN/>
              <w:bidi w:val="0"/>
              <w:adjustRightInd/>
              <w:snapToGrid/>
              <w:spacing w:before="469" w:beforeLines="150" w:beforeAutospacing="0" w:after="0" w:afterAutospacing="0" w:line="360" w:lineRule="auto"/>
              <w:ind w:left="0" w:right="0" w:firstLine="720" w:firstLineChars="3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从</w:t>
            </w:r>
            <w:r>
              <w:rPr>
                <w:rFonts w:hint="eastAsia" w:ascii="Times New Roman" w:hAnsi="Times New Roman" w:cs="Times New Roman"/>
                <w:color w:val="000000" w:themeColor="text1"/>
                <w:sz w:val="24"/>
                <w:szCs w:val="24"/>
                <w:lang w:val="en-US" w:eastAsia="zh-CN"/>
                <w14:textFill>
                  <w14:solidFill>
                    <w14:schemeClr w14:val="tx1"/>
                  </w14:solidFill>
                </w14:textFill>
              </w:rPr>
              <w:t>环境保护</w:t>
            </w:r>
            <w:r>
              <w:rPr>
                <w:rFonts w:hint="default" w:ascii="Times New Roman" w:hAnsi="Times New Roman" w:cs="Times New Roman"/>
                <w:color w:val="000000" w:themeColor="text1"/>
                <w:sz w:val="24"/>
                <w:szCs w:val="24"/>
                <w14:textFill>
                  <w14:solidFill>
                    <w14:schemeClr w14:val="tx1"/>
                  </w14:solidFill>
                </w14:textFill>
              </w:rPr>
              <w:t>角度，西凤酒综合能源中心项目</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一期）</w:t>
            </w:r>
            <w:r>
              <w:rPr>
                <w:rFonts w:hint="eastAsia" w:ascii="Times New Roman" w:hAnsi="Times New Roman" w:cs="Times New Roman"/>
                <w:color w:val="000000" w:themeColor="text1"/>
                <w:sz w:val="24"/>
                <w:szCs w:val="24"/>
                <w:lang w:val="en-US" w:eastAsia="zh-CN"/>
                <w14:textFill>
                  <w14:solidFill>
                    <w14:schemeClr w14:val="tx1"/>
                  </w14:solidFill>
                </w14:textFill>
              </w:rPr>
              <w:t>环境影响</w:t>
            </w:r>
            <w:r>
              <w:rPr>
                <w:rFonts w:hint="default" w:ascii="Times New Roman" w:hAnsi="Times New Roman" w:cs="Times New Roman"/>
                <w:color w:val="000000" w:themeColor="text1"/>
                <w:sz w:val="24"/>
                <w:szCs w:val="24"/>
                <w14:textFill>
                  <w14:solidFill>
                    <w14:schemeClr w14:val="tx1"/>
                  </w14:solidFill>
                </w14:textFill>
              </w:rPr>
              <w:t>可行。</w:t>
            </w:r>
          </w:p>
        </w:tc>
      </w:tr>
    </w:tbl>
    <w:p w14:paraId="00FDFE19">
      <w:pPr>
        <w:rPr>
          <w:rFonts w:hint="default" w:ascii="Times New Roman" w:hAnsi="Times New Roman" w:cs="Times New Roman"/>
          <w:color w:val="000000" w:themeColor="text1"/>
          <w14:textFill>
            <w14:solidFill>
              <w14:schemeClr w14:val="tx1"/>
            </w14:solidFill>
          </w14:textFill>
        </w:rPr>
        <w:sectPr>
          <w:headerReference r:id="rId5" w:type="default"/>
          <w:footerReference r:id="rId6" w:type="default"/>
          <w:pgSz w:w="11906" w:h="16838"/>
          <w:pgMar w:top="1417" w:right="1417" w:bottom="1417" w:left="1417" w:header="851" w:footer="851" w:gutter="0"/>
          <w:pgNumType w:fmt="decimal"/>
          <w:cols w:space="720" w:num="1"/>
          <w:docGrid w:linePitch="312" w:charSpace="0"/>
        </w:sectPr>
      </w:pPr>
    </w:p>
    <w:p w14:paraId="6657E67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pPr>
      <w:bookmarkStart w:id="8" w:name="_Toc75955708"/>
      <w:r>
        <w:rPr>
          <w:rFonts w:hint="default" w:ascii="Times New Roman" w:hAnsi="Times New Roman" w:eastAsia="黑体" w:cs="Times New Roman"/>
          <w:snapToGrid w:val="0"/>
          <w:color w:val="000000" w:themeColor="text1"/>
          <w:sz w:val="30"/>
          <w:szCs w:val="30"/>
          <w:lang w:eastAsia="zh-CN" w:bidi="ar"/>
          <w14:textFill>
            <w14:solidFill>
              <w14:schemeClr w14:val="tx1"/>
            </w14:solidFill>
          </w14:textFill>
        </w:rPr>
        <w:t>建设项目污染物排放量汇总表</w:t>
      </w:r>
      <w:bookmarkEnd w:id="8"/>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859"/>
        <w:gridCol w:w="2036"/>
        <w:gridCol w:w="1315"/>
        <w:gridCol w:w="1983"/>
        <w:gridCol w:w="1729"/>
        <w:gridCol w:w="1989"/>
        <w:gridCol w:w="1785"/>
        <w:gridCol w:w="1613"/>
      </w:tblGrid>
      <w:tr w14:paraId="4738B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370" w:type="pct"/>
            <w:tcBorders>
              <w:top w:val="single" w:color="auto" w:sz="8" w:space="0"/>
              <w:left w:val="single" w:color="auto" w:sz="8" w:space="0"/>
              <w:bottom w:val="single" w:color="auto" w:sz="4" w:space="0"/>
              <w:right w:val="single" w:color="auto" w:sz="4" w:space="0"/>
              <w:tl2br w:val="single" w:color="auto" w:sz="4" w:space="0"/>
            </w:tcBorders>
            <w:noWrap w:val="0"/>
            <w:tcMar>
              <w:top w:w="0" w:type="dxa"/>
              <w:left w:w="28" w:type="dxa"/>
              <w:bottom w:w="0" w:type="dxa"/>
              <w:right w:w="28" w:type="dxa"/>
            </w:tcMar>
            <w:vAlign w:val="center"/>
          </w:tcPr>
          <w:p w14:paraId="37787FC3">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 xml:space="preserve">   项目</w:t>
            </w:r>
          </w:p>
          <w:p w14:paraId="2F662B28">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14:paraId="2A4F079E">
            <w:pPr>
              <w:pStyle w:val="45"/>
              <w:keepNext w:val="0"/>
              <w:keepLines w:val="0"/>
              <w:suppressLineNumbers w:val="0"/>
              <w:spacing w:before="0" w:beforeLines="0" w:beforeAutospacing="0" w:after="0" w:afterLines="0" w:afterAutospacing="0"/>
              <w:ind w:left="0" w:right="0" w:firstLine="198" w:firstLineChars="100"/>
              <w:jc w:val="both"/>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分类</w:t>
            </w:r>
          </w:p>
        </w:tc>
        <w:tc>
          <w:tcPr>
            <w:tcW w:w="601"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1CF091">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污染物名称</w:t>
            </w:r>
          </w:p>
        </w:tc>
        <w:tc>
          <w:tcPr>
            <w:tcW w:w="658"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E8F35AC">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现有工程排放量（固体废物产生量）①</w:t>
            </w:r>
          </w:p>
        </w:tc>
        <w:tc>
          <w:tcPr>
            <w:tcW w:w="425"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287928D">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现有工程许可排放量②</w:t>
            </w:r>
          </w:p>
        </w:tc>
        <w:tc>
          <w:tcPr>
            <w:tcW w:w="641"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BCB40E5">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在建工程排放量（固体废物产生量）③</w:t>
            </w:r>
          </w:p>
        </w:tc>
        <w:tc>
          <w:tcPr>
            <w:tcW w:w="559"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9A9E0AE">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本项目排放量</w:t>
            </w:r>
          </w:p>
          <w:p w14:paraId="598C73AF">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（固体废物产生量）④</w:t>
            </w:r>
          </w:p>
        </w:tc>
        <w:tc>
          <w:tcPr>
            <w:tcW w:w="643"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AEC6B1C">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以新带老削减量（新建项目不填）⑤</w:t>
            </w:r>
          </w:p>
        </w:tc>
        <w:tc>
          <w:tcPr>
            <w:tcW w:w="577"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14A0DD9">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16"/>
                <w:kern w:val="21"/>
                <w14:textFill>
                  <w14:solidFill>
                    <w14:schemeClr w14:val="tx1"/>
                  </w14:solidFill>
                </w14:textFill>
              </w:rPr>
            </w:pPr>
            <w:r>
              <w:rPr>
                <w:rFonts w:hint="default" w:ascii="Times New Roman" w:hAnsi="Times New Roman" w:cs="Times New Roman"/>
                <w:color w:val="000000" w:themeColor="text1"/>
                <w:spacing w:val="-16"/>
                <w:kern w:val="21"/>
                <w14:textFill>
                  <w14:solidFill>
                    <w14:schemeClr w14:val="tx1"/>
                  </w14:solidFill>
                </w14:textFill>
              </w:rPr>
              <w:t>本项目建成后全厂排放量（固体废物产生量）⑥</w:t>
            </w:r>
          </w:p>
        </w:tc>
        <w:tc>
          <w:tcPr>
            <w:tcW w:w="521" w:type="pct"/>
            <w:tcBorders>
              <w:top w:val="single" w:color="auto" w:sz="8" w:space="0"/>
              <w:left w:val="single" w:color="auto" w:sz="4" w:space="0"/>
              <w:bottom w:val="single" w:color="auto" w:sz="4" w:space="0"/>
              <w:right w:val="single" w:color="auto" w:sz="8" w:space="0"/>
            </w:tcBorders>
            <w:noWrap w:val="0"/>
            <w:tcMar>
              <w:top w:w="0" w:type="dxa"/>
              <w:left w:w="28" w:type="dxa"/>
              <w:bottom w:w="0" w:type="dxa"/>
              <w:right w:w="28" w:type="dxa"/>
            </w:tcMar>
            <w:vAlign w:val="center"/>
          </w:tcPr>
          <w:p w14:paraId="3AFA7AB5">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szCs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变化量</w:t>
            </w:r>
          </w:p>
          <w:p w14:paraId="170ABADC">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spacing w:val="-6"/>
                <w:kern w:val="21"/>
                <w14:textFill>
                  <w14:solidFill>
                    <w14:schemeClr w14:val="tx1"/>
                  </w14:solidFill>
                </w14:textFill>
              </w:rPr>
            </w:pPr>
            <w:r>
              <w:rPr>
                <w:rFonts w:hint="default" w:ascii="Times New Roman" w:hAnsi="Times New Roman" w:cs="Times New Roman"/>
                <w:color w:val="000000" w:themeColor="text1"/>
                <w:spacing w:val="-6"/>
                <w:kern w:val="21"/>
                <w14:textFill>
                  <w14:solidFill>
                    <w14:schemeClr w14:val="tx1"/>
                  </w14:solidFill>
                </w14:textFill>
              </w:rPr>
              <w:t>⑦</w:t>
            </w:r>
          </w:p>
        </w:tc>
      </w:tr>
      <w:tr w14:paraId="43ACA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left w:val="single" w:color="auto" w:sz="8" w:space="0"/>
              <w:right w:val="single" w:color="auto" w:sz="4" w:space="0"/>
            </w:tcBorders>
            <w:noWrap w:val="0"/>
            <w:vAlign w:val="center"/>
          </w:tcPr>
          <w:p w14:paraId="41C0FA6D">
            <w:pPr>
              <w:pStyle w:val="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cs="Times New Roman"/>
                <w:color w:val="000000" w:themeColor="text1"/>
                <w:kern w:val="21"/>
                <w:lang w:val="en-US" w:eastAsia="zh-CN"/>
                <w14:textFill>
                  <w14:solidFill>
                    <w14:schemeClr w14:val="tx1"/>
                  </w14:solidFill>
                </w14:textFill>
              </w:rPr>
              <w:t>废气</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476EAA49">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颗粒物</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0C9A0888">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DF5E123">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2E8546D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5526DCB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2.1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ED351D2">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147AAF83">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2.1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1613" w:type="dxa"/>
            <w:tcBorders>
              <w:top w:val="single" w:color="auto" w:sz="4" w:space="0"/>
              <w:left w:val="single" w:color="auto" w:sz="4" w:space="0"/>
              <w:bottom w:val="single" w:color="auto" w:sz="4" w:space="0"/>
              <w:right w:val="single" w:color="auto" w:sz="8" w:space="0"/>
            </w:tcBorders>
            <w:noWrap w:val="0"/>
            <w:vAlign w:val="center"/>
          </w:tcPr>
          <w:p w14:paraId="2C077CA3">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+2.1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r>
      <w:tr w14:paraId="01C03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left w:val="single" w:color="auto" w:sz="8" w:space="0"/>
              <w:right w:val="single" w:color="auto" w:sz="4" w:space="0"/>
            </w:tcBorders>
            <w:noWrap w:val="0"/>
            <w:vAlign w:val="center"/>
          </w:tcPr>
          <w:p w14:paraId="133E0DBD">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21"/>
                <w:szCs w:val="21"/>
                <w14:textFill>
                  <w14:solidFill>
                    <w14:schemeClr w14:val="tx1"/>
                  </w14:solidFill>
                </w14:textFill>
              </w:rPr>
            </w:pPr>
          </w:p>
        </w:tc>
        <w:tc>
          <w:tcPr>
            <w:tcW w:w="601" w:type="pct"/>
            <w:tcBorders>
              <w:top w:val="single" w:color="auto" w:sz="4" w:space="0"/>
              <w:left w:val="single" w:color="auto" w:sz="4" w:space="0"/>
              <w:bottom w:val="single" w:color="auto" w:sz="4" w:space="0"/>
              <w:right w:val="single" w:color="auto" w:sz="4" w:space="0"/>
            </w:tcBorders>
            <w:noWrap w:val="0"/>
            <w:vAlign w:val="center"/>
          </w:tcPr>
          <w:p w14:paraId="0B17A2B1">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0F14558E">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469DA40">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23A26130">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275AB12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3184</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364E4145">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0EC73CA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3184</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1613" w:type="dxa"/>
            <w:tcBorders>
              <w:top w:val="single" w:color="auto" w:sz="4" w:space="0"/>
              <w:left w:val="single" w:color="auto" w:sz="4" w:space="0"/>
              <w:bottom w:val="single" w:color="auto" w:sz="4" w:space="0"/>
              <w:right w:val="single" w:color="auto" w:sz="8" w:space="0"/>
            </w:tcBorders>
            <w:noWrap w:val="0"/>
            <w:vAlign w:val="center"/>
          </w:tcPr>
          <w:p w14:paraId="22A46757">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3184</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r>
      <w:tr w14:paraId="10E1B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left w:val="single" w:color="auto" w:sz="8" w:space="0"/>
              <w:right w:val="single" w:color="auto" w:sz="4" w:space="0"/>
            </w:tcBorders>
            <w:noWrap w:val="0"/>
            <w:vAlign w:val="center"/>
          </w:tcPr>
          <w:p w14:paraId="15A9D0D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themeColor="text1"/>
                <w:kern w:val="21"/>
                <w:szCs w:val="21"/>
                <w14:textFill>
                  <w14:solidFill>
                    <w14:schemeClr w14:val="tx1"/>
                  </w14:solidFill>
                </w14:textFill>
              </w:rPr>
            </w:pPr>
          </w:p>
        </w:tc>
        <w:tc>
          <w:tcPr>
            <w:tcW w:w="601" w:type="pct"/>
            <w:tcBorders>
              <w:top w:val="single" w:color="auto" w:sz="4" w:space="0"/>
              <w:left w:val="single" w:color="auto" w:sz="4" w:space="0"/>
              <w:bottom w:val="single" w:color="auto" w:sz="4" w:space="0"/>
              <w:right w:val="single" w:color="auto" w:sz="4" w:space="0"/>
            </w:tcBorders>
            <w:noWrap w:val="0"/>
            <w:vAlign w:val="center"/>
          </w:tcPr>
          <w:p w14:paraId="02B8199D">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N0</w:t>
            </w:r>
            <w:r>
              <w:rPr>
                <w:rFonts w:hint="default" w:ascii="Times New Roman" w:hAnsi="Times New Roman" w:cs="Times New Roman"/>
                <w:color w:val="000000" w:themeColor="text1"/>
                <w:vertAlign w:val="subscript"/>
                <w14:textFill>
                  <w14:solidFill>
                    <w14:schemeClr w14:val="tx1"/>
                  </w14:solidFill>
                </w14:textFill>
              </w:rPr>
              <w:t>X</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EF434F8">
            <w:pPr>
              <w:pStyle w:val="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eastAsia="zh-Hans"/>
                <w14:textFill>
                  <w14:solidFill>
                    <w14:schemeClr w14:val="tx1"/>
                  </w14:solidFill>
                </w14:textFill>
              </w:rPr>
            </w:pPr>
            <w:r>
              <w:rPr>
                <w:rFonts w:hint="default" w:ascii="Times New Roman" w:hAnsi="Times New Roman" w:eastAsia="宋体" w:cs="Times New Roman"/>
                <w:color w:val="000000" w:themeColor="text1"/>
                <w:kern w:val="21"/>
                <w:lang w:eastAsia="zh-Hans"/>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E58D0D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2C24CC9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354370F0">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45.4861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133081C">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BBAB49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45.4861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c>
          <w:tcPr>
            <w:tcW w:w="1613" w:type="dxa"/>
            <w:tcBorders>
              <w:top w:val="single" w:color="auto" w:sz="4" w:space="0"/>
              <w:left w:val="single" w:color="auto" w:sz="4" w:space="0"/>
              <w:bottom w:val="single" w:color="auto" w:sz="4" w:space="0"/>
              <w:right w:val="single" w:color="auto" w:sz="8" w:space="0"/>
            </w:tcBorders>
            <w:noWrap w:val="0"/>
            <w:vAlign w:val="center"/>
          </w:tcPr>
          <w:p w14:paraId="41B6DF0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+45.4861</w:t>
            </w: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t/a</w:t>
            </w:r>
          </w:p>
        </w:tc>
      </w:tr>
      <w:tr w14:paraId="5DB23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op w:val="single" w:color="auto" w:sz="4" w:space="0"/>
              <w:left w:val="single" w:color="auto" w:sz="8" w:space="0"/>
              <w:right w:val="single" w:color="auto" w:sz="4" w:space="0"/>
            </w:tcBorders>
            <w:noWrap w:val="0"/>
            <w:vAlign w:val="center"/>
          </w:tcPr>
          <w:p w14:paraId="08ACC302">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废水</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5D8EAB9F">
            <w:pPr>
              <w:pStyle w:val="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废水</w:t>
            </w:r>
            <w:r>
              <w:rPr>
                <w:rFonts w:hint="default" w:ascii="Times New Roman" w:hAnsi="Times New Roman" w:cs="Times New Roman"/>
                <w:color w:val="000000" w:themeColor="text1"/>
                <w:kern w:val="21"/>
                <w:lang w:val="en-US" w:eastAsia="zh-CN"/>
                <w14:textFill>
                  <w14:solidFill>
                    <w14:schemeClr w14:val="tx1"/>
                  </w14:solidFill>
                </w14:textFill>
              </w:rPr>
              <w:t>量</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66052CD4">
            <w:pPr>
              <w:pStyle w:val="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533500E">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0132B56E">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71B0858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228E6F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0BAAA42B">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35D7915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r>
      <w:tr w14:paraId="34D2D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70" w:type="pct"/>
            <w:vMerge w:val="continue"/>
            <w:tcBorders>
              <w:left w:val="single" w:color="auto" w:sz="8" w:space="0"/>
              <w:right w:val="single" w:color="auto" w:sz="4" w:space="0"/>
            </w:tcBorders>
            <w:noWrap w:val="0"/>
            <w:vAlign w:val="center"/>
          </w:tcPr>
          <w:p w14:paraId="4ECF4BCD">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601" w:type="pct"/>
            <w:tcBorders>
              <w:left w:val="single" w:color="auto" w:sz="4" w:space="0"/>
              <w:right w:val="single" w:color="auto" w:sz="4" w:space="0"/>
            </w:tcBorders>
            <w:noWrap w:val="0"/>
            <w:vAlign w:val="center"/>
          </w:tcPr>
          <w:p w14:paraId="0F271593">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化学需氧量</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20F58692">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C7C39FA">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56233B6">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6DE8B62C">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2B3B92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6570BAFD">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7491FF8E">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r>
      <w:tr w14:paraId="50EB7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left w:val="single" w:color="auto" w:sz="8" w:space="0"/>
              <w:right w:val="single" w:color="auto" w:sz="4" w:space="0"/>
            </w:tcBorders>
            <w:noWrap w:val="0"/>
            <w:vAlign w:val="center"/>
          </w:tcPr>
          <w:p w14:paraId="6433FB13">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601" w:type="pct"/>
            <w:tcBorders>
              <w:left w:val="single" w:color="auto" w:sz="4" w:space="0"/>
              <w:right w:val="single" w:color="auto" w:sz="4" w:space="0"/>
            </w:tcBorders>
            <w:noWrap w:val="0"/>
            <w:vAlign w:val="center"/>
          </w:tcPr>
          <w:p w14:paraId="67AFF1AB">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氨氮</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368212A5">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AAD107E">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7BDD6EC8">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23D7EBA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F3FACFF">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0FD4CB97">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62EB1423">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r>
      <w:tr w14:paraId="7A573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left w:val="single" w:color="auto" w:sz="8" w:space="0"/>
              <w:right w:val="single" w:color="auto" w:sz="4" w:space="0"/>
            </w:tcBorders>
            <w:noWrap w:val="0"/>
            <w:vAlign w:val="center"/>
          </w:tcPr>
          <w:p w14:paraId="28270ACE">
            <w:pPr>
              <w:pStyle w:val="45"/>
              <w:keepNext w:val="0"/>
              <w:keepLines w:val="0"/>
              <w:suppressLineNumbers w:val="0"/>
              <w:spacing w:before="0" w:beforeLines="0" w:beforeAutospacing="0" w:after="0" w:afterLines="0" w:afterAutospacing="0"/>
              <w:ind w:left="0" w:right="0"/>
              <w:rPr>
                <w:rFonts w:hint="default" w:ascii="Times New Roman" w:hAnsi="Times New Roman" w:cs="Times New Roman"/>
                <w:color w:val="000000" w:themeColor="text1"/>
                <w:kern w:val="21"/>
                <w14:textFill>
                  <w14:solidFill>
                    <w14:schemeClr w14:val="tx1"/>
                  </w14:solidFill>
                </w14:textFill>
              </w:rPr>
            </w:pPr>
          </w:p>
        </w:tc>
        <w:tc>
          <w:tcPr>
            <w:tcW w:w="601" w:type="pct"/>
            <w:tcBorders>
              <w:left w:val="single" w:color="auto" w:sz="4" w:space="0"/>
              <w:right w:val="single" w:color="auto" w:sz="4" w:space="0"/>
            </w:tcBorders>
            <w:noWrap w:val="0"/>
            <w:vAlign w:val="center"/>
          </w:tcPr>
          <w:p w14:paraId="51AA5759">
            <w:pPr>
              <w:pStyle w:val="45"/>
              <w:keepNext w:val="0"/>
              <w:keepLines w:val="0"/>
              <w:suppressLineNumbers w:val="0"/>
              <w:spacing w:before="0" w:beforeLines="0" w:beforeAutospacing="0" w:after="0" w:afterLines="0" w:afterAutospacing="0"/>
              <w:ind w:left="0" w:right="0"/>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eastAsia" w:ascii="Times New Roman" w:hAnsi="Times New Roman" w:cs="Times New Roman"/>
                <w:color w:val="000000" w:themeColor="text1"/>
                <w:kern w:val="21"/>
                <w:lang w:val="en-US" w:eastAsia="zh-CN"/>
                <w14:textFill>
                  <w14:solidFill>
                    <w14:schemeClr w14:val="tx1"/>
                  </w14:solidFill>
                </w14:textFill>
              </w:rPr>
              <w:t>SS</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4BC199E8">
            <w:pPr>
              <w:pStyle w:val="45"/>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lang w:val="en-US" w:eastAsia="zh-CN"/>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C476749">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6106E502">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4B22C1C2">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354709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4223F94A">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1BBB23DC">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r>
      <w:tr w14:paraId="3B321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op w:val="single" w:color="auto" w:sz="4" w:space="0"/>
              <w:left w:val="single" w:color="auto" w:sz="8" w:space="0"/>
              <w:right w:val="single" w:color="auto" w:sz="4" w:space="0"/>
            </w:tcBorders>
            <w:noWrap w:val="0"/>
            <w:vAlign w:val="center"/>
          </w:tcPr>
          <w:p w14:paraId="055912DA">
            <w:pPr>
              <w:pStyle w:val="45"/>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一般固废</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00E6652C">
            <w:pPr>
              <w:pStyle w:val="41"/>
              <w:keepNext w:val="0"/>
              <w:keepLines w:val="0"/>
              <w:suppressLineNumbers w:val="0"/>
              <w:snapToGrid w:val="0"/>
              <w:spacing w:before="0" w:beforeAutospacing="0" w:after="0" w:afterLines="0" w:afterAutospacing="0" w:line="240" w:lineRule="auto"/>
              <w:ind w:left="0" w:right="0" w:firstLine="0" w:firstLineChars="0"/>
              <w:jc w:val="center"/>
              <w:rPr>
                <w:rFonts w:hint="default" w:ascii="Times New Roman" w:hAnsi="Times New Roman" w:cs="Times New Roman"/>
                <w:color w:val="000000" w:themeColor="text1"/>
                <w:kern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废离子交换树脂</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4CFBEC4">
            <w:pPr>
              <w:pStyle w:val="41"/>
              <w:keepNext w:val="0"/>
              <w:keepLines w:val="0"/>
              <w:suppressLineNumbers w:val="0"/>
              <w:snapToGrid w:val="0"/>
              <w:spacing w:before="0" w:beforeAutospacing="0" w:after="0" w:afterLines="0" w:afterAutospacing="0" w:line="240" w:lineRule="auto"/>
              <w:ind w:left="0" w:right="0" w:firstLine="0" w:firstLineChars="0"/>
              <w:jc w:val="center"/>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B3FB61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32B826A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7EE56ACA">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0.8t/a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108C68A9">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0AEB87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0.8t/a</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4066A4A6">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t>+0.8t/a</w:t>
            </w:r>
          </w:p>
        </w:tc>
      </w:tr>
      <w:tr w14:paraId="51AF2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op w:val="single" w:color="auto" w:sz="4" w:space="0"/>
              <w:left w:val="single" w:color="auto" w:sz="8" w:space="0"/>
              <w:right w:val="single" w:color="auto" w:sz="4" w:space="0"/>
            </w:tcBorders>
            <w:noWrap w:val="0"/>
            <w:vAlign w:val="center"/>
          </w:tcPr>
          <w:p w14:paraId="561B50DF">
            <w:pPr>
              <w:pStyle w:val="45"/>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cs="Times New Roman"/>
                <w:color w:val="000000" w:themeColor="text1"/>
                <w:kern w:val="21"/>
                <w14:textFill>
                  <w14:solidFill>
                    <w14:schemeClr w14:val="tx1"/>
                  </w14:solidFill>
                </w14:textFill>
              </w:rPr>
              <w:t>危险固废</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4E34CC01">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themeColor="text1"/>
                <w:kern w:val="21"/>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631E896D">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themeColor="text1"/>
                <w:kern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87A6FA9">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0F3F5AE3">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2781BE09">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Hans"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1675DBD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6EB75617">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07BF782F">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t>/</w:t>
            </w:r>
          </w:p>
        </w:tc>
      </w:tr>
    </w:tbl>
    <w:p w14:paraId="04D0B3DE">
      <w:pPr>
        <w:pStyle w:val="45"/>
        <w:spacing w:before="192" w:beforeLines="80" w:after="24"/>
        <w:jc w:val="left"/>
        <w:rPr>
          <w:rFonts w:hint="default" w:ascii="Times New Roman" w:hAnsi="Times New Roman" w:cs="Times New Roman"/>
          <w:snapToGrid w:val="0"/>
          <w:color w:val="000000" w:themeColor="text1"/>
          <w:kern w:val="21"/>
          <w14:textFill>
            <w14:solidFill>
              <w14:schemeClr w14:val="tx1"/>
            </w14:solidFill>
          </w14:textFill>
        </w:rPr>
      </w:pPr>
      <w:r>
        <w:rPr>
          <w:rFonts w:hint="default" w:ascii="Times New Roman" w:hAnsi="Times New Roman" w:cs="Times New Roman"/>
          <w:snapToGrid w:val="0"/>
          <w:color w:val="000000" w:themeColor="text1"/>
          <w:kern w:val="21"/>
          <w14:textFill>
            <w14:solidFill>
              <w14:schemeClr w14:val="tx1"/>
            </w14:solidFill>
          </w14:textFill>
        </w:rPr>
        <w:t>注：</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⑦</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snapToGrid w:val="0"/>
          <w:color w:val="000000" w:themeColor="text1"/>
          <w:kern w:val="21"/>
          <w14:textFill>
            <w14:solidFill>
              <w14:schemeClr w14:val="tx1"/>
            </w14:solidFill>
          </w14:textFill>
        </w:rPr>
        <w:fldChar w:fldCharType="end"/>
      </w:r>
      <w:r>
        <w:rPr>
          <w:rFonts w:hint="default" w:ascii="Times New Roman" w:hAnsi="Times New Roman" w:cs="Times New Roman"/>
          <w:snapToGrid w:val="0"/>
          <w:color w:val="000000" w:themeColor="text1"/>
          <w:kern w:val="21"/>
          <w14:textFill>
            <w14:solidFill>
              <w14:schemeClr w14:val="tx1"/>
            </w14:solidFill>
          </w14:textFill>
        </w:rPr>
        <w:t>-</w:t>
      </w:r>
      <w:r>
        <w:rPr>
          <w:rFonts w:hint="default" w:ascii="Times New Roman" w:hAnsi="Times New Roman" w:cs="Times New Roman"/>
          <w:snapToGrid w:val="0"/>
          <w:color w:val="000000" w:themeColor="text1"/>
          <w:kern w:val="21"/>
          <w14:textFill>
            <w14:solidFill>
              <w14:schemeClr w14:val="tx1"/>
            </w14:solidFill>
          </w14:textFill>
        </w:rPr>
        <w:fldChar w:fldCharType="begin"/>
      </w:r>
      <w:r>
        <w:rPr>
          <w:rFonts w:hint="default" w:ascii="Times New Roman" w:hAnsi="Times New Roman" w:cs="Times New Roman"/>
          <w:snapToGrid w:val="0"/>
          <w:color w:val="000000" w:themeColor="text1"/>
          <w:kern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kern w:val="2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①</w:t>
      </w:r>
      <w:r>
        <w:rPr>
          <w:rFonts w:hint="default" w:ascii="Times New Roman" w:hAnsi="Times New Roman" w:cs="Times New Roman"/>
          <w:snapToGrid w:val="0"/>
          <w:color w:val="000000" w:themeColor="text1"/>
          <w:kern w:val="21"/>
          <w14:textFill>
            <w14:solidFill>
              <w14:schemeClr w14:val="tx1"/>
            </w14:solidFill>
          </w14:textFill>
        </w:rPr>
        <w:fldChar w:fldCharType="end"/>
      </w:r>
    </w:p>
    <w:p w14:paraId="70344ACF">
      <w:pPr>
        <w:jc w:val="center"/>
        <w:rPr>
          <w:rFonts w:hint="default"/>
          <w:color w:val="000000" w:themeColor="text1"/>
          <w:sz w:val="24"/>
          <w:szCs w:val="24"/>
          <w:lang w:val="en-US" w:eastAsia="zh-CN"/>
          <w14:textFill>
            <w14:solidFill>
              <w14:schemeClr w14:val="tx1"/>
            </w14:solidFill>
          </w14:textFill>
        </w:rPr>
      </w:pPr>
    </w:p>
    <w:sectPr>
      <w:headerReference r:id="rId7" w:type="default"/>
      <w:footerReference r:id="rId8" w:type="default"/>
      <w:pgSz w:w="16838" w:h="11906" w:orient="landscape"/>
      <w:pgMar w:top="720" w:right="720" w:bottom="720" w:left="720" w:header="567" w:footer="56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方正小标宋_GBK">
    <w:altName w:val="微软雅黑"/>
    <w:panose1 w:val="02000000000000000000"/>
    <w:charset w:val="00"/>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MS UI Gothic"/>
    <w:panose1 w:val="02020609040205080304"/>
    <w:charset w:val="00"/>
    <w:family w:val="moder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BD2A">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F4501">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5335" cy="230505"/>
              <wp:effectExtent l="0" t="0" r="0" b="0"/>
              <wp:wrapNone/>
              <wp:docPr id="12" name="文本框 3075"/>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7CAEB3AE">
                          <w:pPr>
                            <w:pStyle w:val="17"/>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14</w:t>
                          </w:r>
                          <w:r>
                            <w:rPr>
                              <w:rStyle w:val="26"/>
                              <w:rFonts w:hint="default" w:ascii="Times New Roman" w:hAnsi="Times New Roman" w:cs="Times New Roman"/>
                              <w:sz w:val="26"/>
                              <w:szCs w:val="26"/>
                            </w:rPr>
                            <w:fldChar w:fldCharType="end"/>
                          </w:r>
                          <w:r>
                            <w:rPr>
                              <w:rStyle w:val="26"/>
                              <w:rFonts w:hint="default" w:ascii="Times New Roman" w:hAnsi="Times New Roman" w:cs="Times New Roman"/>
                              <w:sz w:val="20"/>
                            </w:rPr>
                            <w:t xml:space="preserve"> </w:t>
                          </w:r>
                          <w:r>
                            <w:rPr>
                              <w:rStyle w:val="26"/>
                              <w:rFonts w:hint="eastAsia" w:ascii="宋体" w:hAnsi="宋体"/>
                              <w:sz w:val="20"/>
                            </w:rPr>
                            <w:t xml:space="preserve"> </w:t>
                          </w:r>
                          <w:r>
                            <w:rPr>
                              <w:rStyle w:val="26"/>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5" o:spid="_x0000_s1026" o:spt="202" type="#_x0000_t202" style="position:absolute;left:0pt;margin-top:0pt;height:18.15pt;width:61.05pt;mso-position-horizontal:center;mso-position-horizontal-relative:margin;mso-wrap-style:none;z-index:251659264;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OieX0QAAAAQBAAAP&#10;AAAAAAAAAAEAIAAAACIAAABkcnMvZG93bnJldi54bWxQSwECFAAUAAAACACHTuJAyeZlhOYBAADA&#10;AwAADgAAAAAAAAABACAAAAAgAQAAZHJzL2Uyb0RvYy54bWxQSwUGAAAAAAYABgBZAQAAeAUAAAAA&#10;">
              <v:fill on="f" focussize="0,0"/>
              <v:stroke on="f"/>
              <v:imagedata o:title=""/>
              <o:lock v:ext="edit" aspectratio="f"/>
              <v:textbox inset="0mm,0mm,0mm,0mm" style="mso-fit-shape-to-text:t;">
                <w:txbxContent>
                  <w:p w14:paraId="7CAEB3AE">
                    <w:pPr>
                      <w:pStyle w:val="17"/>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hint="default" w:ascii="Times New Roman" w:hAnsi="Times New Roman" w:cs="Times New Roman"/>
                        <w:sz w:val="20"/>
                      </w:rPr>
                      <w:t xml:space="preserve"> </w:t>
                    </w:r>
                    <w:r>
                      <w:rPr>
                        <w:rStyle w:val="26"/>
                        <w:rFonts w:hint="default" w:ascii="Times New Roman" w:hAnsi="Times New Roman" w:cs="Times New Roman"/>
                        <w:sz w:val="26"/>
                        <w:szCs w:val="26"/>
                      </w:rPr>
                      <w:fldChar w:fldCharType="begin"/>
                    </w:r>
                    <w:r>
                      <w:rPr>
                        <w:rStyle w:val="26"/>
                        <w:rFonts w:hint="default" w:ascii="Times New Roman" w:hAnsi="Times New Roman" w:cs="Times New Roman"/>
                        <w:sz w:val="26"/>
                        <w:szCs w:val="26"/>
                      </w:rPr>
                      <w:instrText xml:space="preserve">PAGE  </w:instrText>
                    </w:r>
                    <w:r>
                      <w:rPr>
                        <w:rStyle w:val="26"/>
                        <w:rFonts w:hint="default" w:ascii="Times New Roman" w:hAnsi="Times New Roman" w:cs="Times New Roman"/>
                        <w:sz w:val="26"/>
                        <w:szCs w:val="26"/>
                      </w:rPr>
                      <w:fldChar w:fldCharType="separate"/>
                    </w:r>
                    <w:r>
                      <w:rPr>
                        <w:rStyle w:val="26"/>
                        <w:rFonts w:hint="default" w:ascii="Times New Roman" w:hAnsi="Times New Roman" w:cs="Times New Roman"/>
                        <w:sz w:val="26"/>
                        <w:szCs w:val="26"/>
                      </w:rPr>
                      <w:t>14</w:t>
                    </w:r>
                    <w:r>
                      <w:rPr>
                        <w:rStyle w:val="26"/>
                        <w:rFonts w:hint="default" w:ascii="Times New Roman" w:hAnsi="Times New Roman" w:cs="Times New Roman"/>
                        <w:sz w:val="26"/>
                        <w:szCs w:val="26"/>
                      </w:rPr>
                      <w:fldChar w:fldCharType="end"/>
                    </w:r>
                    <w:r>
                      <w:rPr>
                        <w:rStyle w:val="26"/>
                        <w:rFonts w:hint="default" w:ascii="Times New Roman" w:hAnsi="Times New Roman" w:cs="Times New Roman"/>
                        <w:sz w:val="20"/>
                      </w:rPr>
                      <w:t xml:space="preserve"> </w:t>
                    </w:r>
                    <w:r>
                      <w:rPr>
                        <w:rStyle w:val="26"/>
                        <w:rFonts w:hint="eastAsia" w:ascii="宋体" w:hAnsi="宋体"/>
                        <w:sz w:val="20"/>
                      </w:rPr>
                      <w:t xml:space="preserve"> </w:t>
                    </w:r>
                    <w:r>
                      <w:rPr>
                        <w:rStyle w:val="26"/>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D494">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80BF">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C0AD5">
    <w:pPr>
      <w:pStyle w:val="12"/>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DE09">
    <w:pPr>
      <w:pStyle w:val="12"/>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845B63"/>
    <w:multiLevelType w:val="singleLevel"/>
    <w:tmpl w:val="09845B6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5ZThkYzQxODVjOWQ4MWE5ODBkZGUxMmVkZmFhYWQifQ=="/>
  </w:docVars>
  <w:rsids>
    <w:rsidRoot w:val="00172A27"/>
    <w:rsid w:val="000022B4"/>
    <w:rsid w:val="00002346"/>
    <w:rsid w:val="00002DE0"/>
    <w:rsid w:val="00005191"/>
    <w:rsid w:val="0000571A"/>
    <w:rsid w:val="000060B3"/>
    <w:rsid w:val="00007A89"/>
    <w:rsid w:val="0001050C"/>
    <w:rsid w:val="00010ABB"/>
    <w:rsid w:val="00013D48"/>
    <w:rsid w:val="00015957"/>
    <w:rsid w:val="00015AF2"/>
    <w:rsid w:val="00015FCB"/>
    <w:rsid w:val="000215CA"/>
    <w:rsid w:val="000218BA"/>
    <w:rsid w:val="000221EC"/>
    <w:rsid w:val="00022D5B"/>
    <w:rsid w:val="000243ED"/>
    <w:rsid w:val="00030538"/>
    <w:rsid w:val="00032B98"/>
    <w:rsid w:val="00033289"/>
    <w:rsid w:val="00033558"/>
    <w:rsid w:val="00033A40"/>
    <w:rsid w:val="0003460E"/>
    <w:rsid w:val="00034A9C"/>
    <w:rsid w:val="00034E4A"/>
    <w:rsid w:val="00035A02"/>
    <w:rsid w:val="00037FB6"/>
    <w:rsid w:val="00040023"/>
    <w:rsid w:val="000402FB"/>
    <w:rsid w:val="00040AD4"/>
    <w:rsid w:val="0004311E"/>
    <w:rsid w:val="0004364B"/>
    <w:rsid w:val="000439DD"/>
    <w:rsid w:val="00043E2B"/>
    <w:rsid w:val="00043E90"/>
    <w:rsid w:val="000445A3"/>
    <w:rsid w:val="00050946"/>
    <w:rsid w:val="000531DA"/>
    <w:rsid w:val="00054EC8"/>
    <w:rsid w:val="00056F56"/>
    <w:rsid w:val="000608BB"/>
    <w:rsid w:val="00061B1F"/>
    <w:rsid w:val="00062A0B"/>
    <w:rsid w:val="00065714"/>
    <w:rsid w:val="00065BB9"/>
    <w:rsid w:val="0006672A"/>
    <w:rsid w:val="000668AC"/>
    <w:rsid w:val="00067087"/>
    <w:rsid w:val="000675D9"/>
    <w:rsid w:val="00070954"/>
    <w:rsid w:val="00072947"/>
    <w:rsid w:val="00073202"/>
    <w:rsid w:val="000733C4"/>
    <w:rsid w:val="00074783"/>
    <w:rsid w:val="000749E1"/>
    <w:rsid w:val="00076487"/>
    <w:rsid w:val="00076541"/>
    <w:rsid w:val="00077747"/>
    <w:rsid w:val="000778DA"/>
    <w:rsid w:val="00077D49"/>
    <w:rsid w:val="0008070B"/>
    <w:rsid w:val="00080D1D"/>
    <w:rsid w:val="00080F82"/>
    <w:rsid w:val="000810AC"/>
    <w:rsid w:val="00081A02"/>
    <w:rsid w:val="00082231"/>
    <w:rsid w:val="00082EC7"/>
    <w:rsid w:val="00083018"/>
    <w:rsid w:val="000834DD"/>
    <w:rsid w:val="000840D6"/>
    <w:rsid w:val="00085C6D"/>
    <w:rsid w:val="00090AC5"/>
    <w:rsid w:val="00090E15"/>
    <w:rsid w:val="00092936"/>
    <w:rsid w:val="00092D38"/>
    <w:rsid w:val="0009377B"/>
    <w:rsid w:val="000950B4"/>
    <w:rsid w:val="00095CB9"/>
    <w:rsid w:val="000A0E91"/>
    <w:rsid w:val="000A20C9"/>
    <w:rsid w:val="000A2500"/>
    <w:rsid w:val="000A4B8F"/>
    <w:rsid w:val="000A5CF9"/>
    <w:rsid w:val="000B058F"/>
    <w:rsid w:val="000B0D40"/>
    <w:rsid w:val="000B0DC5"/>
    <w:rsid w:val="000B1D72"/>
    <w:rsid w:val="000B2513"/>
    <w:rsid w:val="000B4467"/>
    <w:rsid w:val="000B4801"/>
    <w:rsid w:val="000B4DB9"/>
    <w:rsid w:val="000B507F"/>
    <w:rsid w:val="000B67E7"/>
    <w:rsid w:val="000C071A"/>
    <w:rsid w:val="000C0781"/>
    <w:rsid w:val="000C09AC"/>
    <w:rsid w:val="000C14E1"/>
    <w:rsid w:val="000C161C"/>
    <w:rsid w:val="000C2494"/>
    <w:rsid w:val="000C4A3C"/>
    <w:rsid w:val="000C5346"/>
    <w:rsid w:val="000C74E0"/>
    <w:rsid w:val="000C767F"/>
    <w:rsid w:val="000D0043"/>
    <w:rsid w:val="000D138B"/>
    <w:rsid w:val="000D3E7E"/>
    <w:rsid w:val="000D42D8"/>
    <w:rsid w:val="000D4CD6"/>
    <w:rsid w:val="000D52B0"/>
    <w:rsid w:val="000D5A44"/>
    <w:rsid w:val="000D695D"/>
    <w:rsid w:val="000D6FF0"/>
    <w:rsid w:val="000D7B79"/>
    <w:rsid w:val="000E1575"/>
    <w:rsid w:val="000E18F9"/>
    <w:rsid w:val="000E302D"/>
    <w:rsid w:val="000E345D"/>
    <w:rsid w:val="000E3ED2"/>
    <w:rsid w:val="000E62A8"/>
    <w:rsid w:val="000E7097"/>
    <w:rsid w:val="000F0189"/>
    <w:rsid w:val="000F4F0B"/>
    <w:rsid w:val="000F64FD"/>
    <w:rsid w:val="00101433"/>
    <w:rsid w:val="00105C94"/>
    <w:rsid w:val="00107FC4"/>
    <w:rsid w:val="00112BD9"/>
    <w:rsid w:val="00117D0D"/>
    <w:rsid w:val="00120D6A"/>
    <w:rsid w:val="00121DE3"/>
    <w:rsid w:val="00122419"/>
    <w:rsid w:val="00122EBB"/>
    <w:rsid w:val="00123612"/>
    <w:rsid w:val="00123EE0"/>
    <w:rsid w:val="00126393"/>
    <w:rsid w:val="0012741C"/>
    <w:rsid w:val="001300A8"/>
    <w:rsid w:val="0013098C"/>
    <w:rsid w:val="0013125E"/>
    <w:rsid w:val="00131F42"/>
    <w:rsid w:val="00132814"/>
    <w:rsid w:val="00134376"/>
    <w:rsid w:val="001357F1"/>
    <w:rsid w:val="001401D8"/>
    <w:rsid w:val="0014068D"/>
    <w:rsid w:val="00140FA8"/>
    <w:rsid w:val="001420A4"/>
    <w:rsid w:val="00142B77"/>
    <w:rsid w:val="00142FEB"/>
    <w:rsid w:val="00143388"/>
    <w:rsid w:val="00143A2D"/>
    <w:rsid w:val="00145A41"/>
    <w:rsid w:val="001469EF"/>
    <w:rsid w:val="00146AEF"/>
    <w:rsid w:val="001508BA"/>
    <w:rsid w:val="0015141E"/>
    <w:rsid w:val="00151675"/>
    <w:rsid w:val="00151DAD"/>
    <w:rsid w:val="0015261C"/>
    <w:rsid w:val="00152735"/>
    <w:rsid w:val="00153A8E"/>
    <w:rsid w:val="00157435"/>
    <w:rsid w:val="001575F9"/>
    <w:rsid w:val="00157685"/>
    <w:rsid w:val="00157F4C"/>
    <w:rsid w:val="0016131E"/>
    <w:rsid w:val="00161483"/>
    <w:rsid w:val="00161968"/>
    <w:rsid w:val="00161AF3"/>
    <w:rsid w:val="001652AF"/>
    <w:rsid w:val="0016554C"/>
    <w:rsid w:val="00166632"/>
    <w:rsid w:val="0016686C"/>
    <w:rsid w:val="00166BFE"/>
    <w:rsid w:val="00170F13"/>
    <w:rsid w:val="00173EB7"/>
    <w:rsid w:val="00173FD3"/>
    <w:rsid w:val="0017504D"/>
    <w:rsid w:val="00175E3F"/>
    <w:rsid w:val="001762BD"/>
    <w:rsid w:val="001763AC"/>
    <w:rsid w:val="0017671A"/>
    <w:rsid w:val="00176F45"/>
    <w:rsid w:val="00177422"/>
    <w:rsid w:val="001803A3"/>
    <w:rsid w:val="00181718"/>
    <w:rsid w:val="001817B3"/>
    <w:rsid w:val="00184274"/>
    <w:rsid w:val="00184590"/>
    <w:rsid w:val="001845BF"/>
    <w:rsid w:val="0018479F"/>
    <w:rsid w:val="00185EBD"/>
    <w:rsid w:val="001870D1"/>
    <w:rsid w:val="0018781E"/>
    <w:rsid w:val="00190BE3"/>
    <w:rsid w:val="001925B8"/>
    <w:rsid w:val="0019262D"/>
    <w:rsid w:val="00193766"/>
    <w:rsid w:val="00196E33"/>
    <w:rsid w:val="001A05C7"/>
    <w:rsid w:val="001A1A8F"/>
    <w:rsid w:val="001A1B35"/>
    <w:rsid w:val="001A30F4"/>
    <w:rsid w:val="001A48A2"/>
    <w:rsid w:val="001A6F22"/>
    <w:rsid w:val="001A6F61"/>
    <w:rsid w:val="001B30A7"/>
    <w:rsid w:val="001B699E"/>
    <w:rsid w:val="001B6E33"/>
    <w:rsid w:val="001B72B8"/>
    <w:rsid w:val="001C075E"/>
    <w:rsid w:val="001C0AB1"/>
    <w:rsid w:val="001C3B97"/>
    <w:rsid w:val="001C69B3"/>
    <w:rsid w:val="001D4B81"/>
    <w:rsid w:val="001D542C"/>
    <w:rsid w:val="001D5595"/>
    <w:rsid w:val="001D5AF0"/>
    <w:rsid w:val="001D7874"/>
    <w:rsid w:val="001D7F22"/>
    <w:rsid w:val="001E0BD4"/>
    <w:rsid w:val="001E3195"/>
    <w:rsid w:val="001E33DB"/>
    <w:rsid w:val="001E5477"/>
    <w:rsid w:val="001E586B"/>
    <w:rsid w:val="001E5A19"/>
    <w:rsid w:val="001F0340"/>
    <w:rsid w:val="001F0F17"/>
    <w:rsid w:val="001F1BA4"/>
    <w:rsid w:val="001F1BE0"/>
    <w:rsid w:val="001F21C8"/>
    <w:rsid w:val="001F235E"/>
    <w:rsid w:val="001F2970"/>
    <w:rsid w:val="001F3347"/>
    <w:rsid w:val="001F4FFB"/>
    <w:rsid w:val="001F613E"/>
    <w:rsid w:val="001F69E4"/>
    <w:rsid w:val="00203A48"/>
    <w:rsid w:val="00203ACA"/>
    <w:rsid w:val="00205BEF"/>
    <w:rsid w:val="00206274"/>
    <w:rsid w:val="00210A31"/>
    <w:rsid w:val="00210EA7"/>
    <w:rsid w:val="002125B4"/>
    <w:rsid w:val="0021442D"/>
    <w:rsid w:val="002155B8"/>
    <w:rsid w:val="002166C6"/>
    <w:rsid w:val="00224839"/>
    <w:rsid w:val="002249B2"/>
    <w:rsid w:val="0022593C"/>
    <w:rsid w:val="00225CE6"/>
    <w:rsid w:val="00225E4C"/>
    <w:rsid w:val="002263CB"/>
    <w:rsid w:val="00226574"/>
    <w:rsid w:val="00226D48"/>
    <w:rsid w:val="002278EC"/>
    <w:rsid w:val="0023280E"/>
    <w:rsid w:val="00237336"/>
    <w:rsid w:val="002377D1"/>
    <w:rsid w:val="00240753"/>
    <w:rsid w:val="00240C39"/>
    <w:rsid w:val="00242C5D"/>
    <w:rsid w:val="00243F9E"/>
    <w:rsid w:val="00247032"/>
    <w:rsid w:val="002473D7"/>
    <w:rsid w:val="00247717"/>
    <w:rsid w:val="00247AB3"/>
    <w:rsid w:val="002506BC"/>
    <w:rsid w:val="00252280"/>
    <w:rsid w:val="002527A0"/>
    <w:rsid w:val="002540A5"/>
    <w:rsid w:val="0025414F"/>
    <w:rsid w:val="00254345"/>
    <w:rsid w:val="00254A90"/>
    <w:rsid w:val="00255CB1"/>
    <w:rsid w:val="002616E6"/>
    <w:rsid w:val="0026280D"/>
    <w:rsid w:val="00264557"/>
    <w:rsid w:val="002646F2"/>
    <w:rsid w:val="00270D2B"/>
    <w:rsid w:val="00277C50"/>
    <w:rsid w:val="002805AB"/>
    <w:rsid w:val="00280D1E"/>
    <w:rsid w:val="0028109D"/>
    <w:rsid w:val="00282359"/>
    <w:rsid w:val="0028247A"/>
    <w:rsid w:val="00282A92"/>
    <w:rsid w:val="00284204"/>
    <w:rsid w:val="002870F4"/>
    <w:rsid w:val="00291773"/>
    <w:rsid w:val="002931CD"/>
    <w:rsid w:val="0029478D"/>
    <w:rsid w:val="002948AB"/>
    <w:rsid w:val="00295DBA"/>
    <w:rsid w:val="00296AE3"/>
    <w:rsid w:val="00297F6A"/>
    <w:rsid w:val="002A10D5"/>
    <w:rsid w:val="002A1342"/>
    <w:rsid w:val="002A138E"/>
    <w:rsid w:val="002A15D0"/>
    <w:rsid w:val="002A168C"/>
    <w:rsid w:val="002A3BC4"/>
    <w:rsid w:val="002A3DC7"/>
    <w:rsid w:val="002A5684"/>
    <w:rsid w:val="002A6848"/>
    <w:rsid w:val="002A7AC3"/>
    <w:rsid w:val="002B0119"/>
    <w:rsid w:val="002B0611"/>
    <w:rsid w:val="002B2330"/>
    <w:rsid w:val="002B29F0"/>
    <w:rsid w:val="002B3B99"/>
    <w:rsid w:val="002B4591"/>
    <w:rsid w:val="002B47F1"/>
    <w:rsid w:val="002B49E2"/>
    <w:rsid w:val="002B4EFF"/>
    <w:rsid w:val="002B6A44"/>
    <w:rsid w:val="002B7B00"/>
    <w:rsid w:val="002B7C44"/>
    <w:rsid w:val="002C1DF0"/>
    <w:rsid w:val="002C2229"/>
    <w:rsid w:val="002C2906"/>
    <w:rsid w:val="002C2B17"/>
    <w:rsid w:val="002C369D"/>
    <w:rsid w:val="002C3754"/>
    <w:rsid w:val="002C3A69"/>
    <w:rsid w:val="002C3DC8"/>
    <w:rsid w:val="002D18DF"/>
    <w:rsid w:val="002D3DD0"/>
    <w:rsid w:val="002D4127"/>
    <w:rsid w:val="002D4198"/>
    <w:rsid w:val="002D74BF"/>
    <w:rsid w:val="002E0718"/>
    <w:rsid w:val="002E1F3A"/>
    <w:rsid w:val="002E277E"/>
    <w:rsid w:val="002E298A"/>
    <w:rsid w:val="002E4A5B"/>
    <w:rsid w:val="002E57AB"/>
    <w:rsid w:val="002E6F8F"/>
    <w:rsid w:val="002E7C05"/>
    <w:rsid w:val="002E7F64"/>
    <w:rsid w:val="002F0CE5"/>
    <w:rsid w:val="002F1B28"/>
    <w:rsid w:val="002F1D1D"/>
    <w:rsid w:val="002F4B96"/>
    <w:rsid w:val="002F62D3"/>
    <w:rsid w:val="003009F0"/>
    <w:rsid w:val="00301978"/>
    <w:rsid w:val="00303030"/>
    <w:rsid w:val="003031A4"/>
    <w:rsid w:val="0030332C"/>
    <w:rsid w:val="003051C2"/>
    <w:rsid w:val="0031133D"/>
    <w:rsid w:val="00311CC0"/>
    <w:rsid w:val="00312296"/>
    <w:rsid w:val="0031378F"/>
    <w:rsid w:val="00314F0E"/>
    <w:rsid w:val="00315FED"/>
    <w:rsid w:val="003178CE"/>
    <w:rsid w:val="003201C5"/>
    <w:rsid w:val="00321D8E"/>
    <w:rsid w:val="00321E3B"/>
    <w:rsid w:val="00322140"/>
    <w:rsid w:val="00324D23"/>
    <w:rsid w:val="00325928"/>
    <w:rsid w:val="00326B77"/>
    <w:rsid w:val="00326E57"/>
    <w:rsid w:val="00330896"/>
    <w:rsid w:val="00331221"/>
    <w:rsid w:val="00332863"/>
    <w:rsid w:val="00335B83"/>
    <w:rsid w:val="0033684D"/>
    <w:rsid w:val="00336BDD"/>
    <w:rsid w:val="00336E26"/>
    <w:rsid w:val="003371AF"/>
    <w:rsid w:val="00337AE0"/>
    <w:rsid w:val="00337B42"/>
    <w:rsid w:val="003406D2"/>
    <w:rsid w:val="00341B42"/>
    <w:rsid w:val="0034348F"/>
    <w:rsid w:val="0034449C"/>
    <w:rsid w:val="00344CE6"/>
    <w:rsid w:val="00344FD1"/>
    <w:rsid w:val="00345051"/>
    <w:rsid w:val="00346D59"/>
    <w:rsid w:val="00350208"/>
    <w:rsid w:val="00353E18"/>
    <w:rsid w:val="00354C80"/>
    <w:rsid w:val="0035595A"/>
    <w:rsid w:val="00356201"/>
    <w:rsid w:val="00356653"/>
    <w:rsid w:val="00356C2B"/>
    <w:rsid w:val="0035743F"/>
    <w:rsid w:val="003576D0"/>
    <w:rsid w:val="00357BE2"/>
    <w:rsid w:val="0036170C"/>
    <w:rsid w:val="00362864"/>
    <w:rsid w:val="00362CF8"/>
    <w:rsid w:val="00362E2B"/>
    <w:rsid w:val="00366E0F"/>
    <w:rsid w:val="0036726F"/>
    <w:rsid w:val="00367F72"/>
    <w:rsid w:val="003708CD"/>
    <w:rsid w:val="00371028"/>
    <w:rsid w:val="00371E9D"/>
    <w:rsid w:val="00372800"/>
    <w:rsid w:val="0037359B"/>
    <w:rsid w:val="003739D4"/>
    <w:rsid w:val="00375CDF"/>
    <w:rsid w:val="0037626A"/>
    <w:rsid w:val="00377400"/>
    <w:rsid w:val="00377AA0"/>
    <w:rsid w:val="00377FB7"/>
    <w:rsid w:val="003804EA"/>
    <w:rsid w:val="003806C4"/>
    <w:rsid w:val="00380DCD"/>
    <w:rsid w:val="00381A72"/>
    <w:rsid w:val="003842D4"/>
    <w:rsid w:val="00384676"/>
    <w:rsid w:val="00385A7B"/>
    <w:rsid w:val="003869AE"/>
    <w:rsid w:val="00386F81"/>
    <w:rsid w:val="00387198"/>
    <w:rsid w:val="00390857"/>
    <w:rsid w:val="00392527"/>
    <w:rsid w:val="003972C7"/>
    <w:rsid w:val="00397CAC"/>
    <w:rsid w:val="003A0A5E"/>
    <w:rsid w:val="003A20E2"/>
    <w:rsid w:val="003A245D"/>
    <w:rsid w:val="003A2AD7"/>
    <w:rsid w:val="003A2C57"/>
    <w:rsid w:val="003A2D7A"/>
    <w:rsid w:val="003A2D82"/>
    <w:rsid w:val="003A4213"/>
    <w:rsid w:val="003A4BF3"/>
    <w:rsid w:val="003A713A"/>
    <w:rsid w:val="003B1203"/>
    <w:rsid w:val="003B1B0B"/>
    <w:rsid w:val="003B25F2"/>
    <w:rsid w:val="003B420D"/>
    <w:rsid w:val="003B4572"/>
    <w:rsid w:val="003C3169"/>
    <w:rsid w:val="003C47A7"/>
    <w:rsid w:val="003C6700"/>
    <w:rsid w:val="003C6C16"/>
    <w:rsid w:val="003C7EA2"/>
    <w:rsid w:val="003D22C2"/>
    <w:rsid w:val="003D4C69"/>
    <w:rsid w:val="003D5049"/>
    <w:rsid w:val="003D57E0"/>
    <w:rsid w:val="003D5EC0"/>
    <w:rsid w:val="003D61C5"/>
    <w:rsid w:val="003D794D"/>
    <w:rsid w:val="003E227B"/>
    <w:rsid w:val="003E250F"/>
    <w:rsid w:val="003E2980"/>
    <w:rsid w:val="003E3058"/>
    <w:rsid w:val="003E4F92"/>
    <w:rsid w:val="003E563F"/>
    <w:rsid w:val="003E76A9"/>
    <w:rsid w:val="003F0809"/>
    <w:rsid w:val="003F320D"/>
    <w:rsid w:val="003F3D36"/>
    <w:rsid w:val="003F593C"/>
    <w:rsid w:val="003F5E30"/>
    <w:rsid w:val="003F6A8C"/>
    <w:rsid w:val="003F6E96"/>
    <w:rsid w:val="003F72E5"/>
    <w:rsid w:val="003F755C"/>
    <w:rsid w:val="00400F9D"/>
    <w:rsid w:val="00401112"/>
    <w:rsid w:val="00401C8A"/>
    <w:rsid w:val="00401EA9"/>
    <w:rsid w:val="00402DE2"/>
    <w:rsid w:val="00402F79"/>
    <w:rsid w:val="00403800"/>
    <w:rsid w:val="00404754"/>
    <w:rsid w:val="004047FC"/>
    <w:rsid w:val="00404C4B"/>
    <w:rsid w:val="00405F09"/>
    <w:rsid w:val="00406F01"/>
    <w:rsid w:val="004072D2"/>
    <w:rsid w:val="00407B9A"/>
    <w:rsid w:val="00410D67"/>
    <w:rsid w:val="00410F42"/>
    <w:rsid w:val="00413CB7"/>
    <w:rsid w:val="004146A6"/>
    <w:rsid w:val="0041569A"/>
    <w:rsid w:val="00415F28"/>
    <w:rsid w:val="00416D50"/>
    <w:rsid w:val="00416FD5"/>
    <w:rsid w:val="00417772"/>
    <w:rsid w:val="00420CB3"/>
    <w:rsid w:val="00420E6A"/>
    <w:rsid w:val="0042106B"/>
    <w:rsid w:val="00424053"/>
    <w:rsid w:val="00424DB2"/>
    <w:rsid w:val="00425A9E"/>
    <w:rsid w:val="004263BB"/>
    <w:rsid w:val="00426D6B"/>
    <w:rsid w:val="00430AB6"/>
    <w:rsid w:val="0043141D"/>
    <w:rsid w:val="00431E6C"/>
    <w:rsid w:val="00433CE7"/>
    <w:rsid w:val="004351EF"/>
    <w:rsid w:val="00436D13"/>
    <w:rsid w:val="00437DCF"/>
    <w:rsid w:val="004427A0"/>
    <w:rsid w:val="00444550"/>
    <w:rsid w:val="004455E2"/>
    <w:rsid w:val="00445691"/>
    <w:rsid w:val="00445A90"/>
    <w:rsid w:val="0044663D"/>
    <w:rsid w:val="004505E9"/>
    <w:rsid w:val="004517AF"/>
    <w:rsid w:val="00451B87"/>
    <w:rsid w:val="00452532"/>
    <w:rsid w:val="00452738"/>
    <w:rsid w:val="00456091"/>
    <w:rsid w:val="00456505"/>
    <w:rsid w:val="0045772E"/>
    <w:rsid w:val="00460263"/>
    <w:rsid w:val="004611E6"/>
    <w:rsid w:val="0046403D"/>
    <w:rsid w:val="00465025"/>
    <w:rsid w:val="0046557E"/>
    <w:rsid w:val="00465D08"/>
    <w:rsid w:val="00466321"/>
    <w:rsid w:val="004705EA"/>
    <w:rsid w:val="00470950"/>
    <w:rsid w:val="00472D57"/>
    <w:rsid w:val="00474D40"/>
    <w:rsid w:val="00480D4C"/>
    <w:rsid w:val="00482076"/>
    <w:rsid w:val="00484A8B"/>
    <w:rsid w:val="00484B9B"/>
    <w:rsid w:val="00484E0C"/>
    <w:rsid w:val="004855F6"/>
    <w:rsid w:val="0048661E"/>
    <w:rsid w:val="00486BC1"/>
    <w:rsid w:val="00490930"/>
    <w:rsid w:val="00490E6B"/>
    <w:rsid w:val="0049142F"/>
    <w:rsid w:val="004923C7"/>
    <w:rsid w:val="0049265D"/>
    <w:rsid w:val="00494670"/>
    <w:rsid w:val="004957E9"/>
    <w:rsid w:val="004968BA"/>
    <w:rsid w:val="004A07F4"/>
    <w:rsid w:val="004A09F0"/>
    <w:rsid w:val="004A0F72"/>
    <w:rsid w:val="004A1EF2"/>
    <w:rsid w:val="004A3371"/>
    <w:rsid w:val="004A3823"/>
    <w:rsid w:val="004A502F"/>
    <w:rsid w:val="004B0C06"/>
    <w:rsid w:val="004B2E9D"/>
    <w:rsid w:val="004B3F72"/>
    <w:rsid w:val="004B45F4"/>
    <w:rsid w:val="004B4600"/>
    <w:rsid w:val="004B467A"/>
    <w:rsid w:val="004B56A0"/>
    <w:rsid w:val="004B5CB6"/>
    <w:rsid w:val="004B5F64"/>
    <w:rsid w:val="004B6198"/>
    <w:rsid w:val="004B69AC"/>
    <w:rsid w:val="004C1C13"/>
    <w:rsid w:val="004C5745"/>
    <w:rsid w:val="004D066D"/>
    <w:rsid w:val="004D3F26"/>
    <w:rsid w:val="004D4012"/>
    <w:rsid w:val="004D7ACE"/>
    <w:rsid w:val="004E08C9"/>
    <w:rsid w:val="004E4462"/>
    <w:rsid w:val="004E6946"/>
    <w:rsid w:val="004F1AD8"/>
    <w:rsid w:val="004F5266"/>
    <w:rsid w:val="004F598E"/>
    <w:rsid w:val="004F5E2E"/>
    <w:rsid w:val="004F621C"/>
    <w:rsid w:val="004F6843"/>
    <w:rsid w:val="00502E25"/>
    <w:rsid w:val="0050387E"/>
    <w:rsid w:val="005039CB"/>
    <w:rsid w:val="00504BFC"/>
    <w:rsid w:val="00505463"/>
    <w:rsid w:val="0050558F"/>
    <w:rsid w:val="00506286"/>
    <w:rsid w:val="00510813"/>
    <w:rsid w:val="00511990"/>
    <w:rsid w:val="00511DE0"/>
    <w:rsid w:val="00512AEA"/>
    <w:rsid w:val="00514870"/>
    <w:rsid w:val="00514B9B"/>
    <w:rsid w:val="005151B7"/>
    <w:rsid w:val="00516032"/>
    <w:rsid w:val="005163D0"/>
    <w:rsid w:val="0051677B"/>
    <w:rsid w:val="00517846"/>
    <w:rsid w:val="00517F02"/>
    <w:rsid w:val="005224B6"/>
    <w:rsid w:val="00522C18"/>
    <w:rsid w:val="00524303"/>
    <w:rsid w:val="00524622"/>
    <w:rsid w:val="00525508"/>
    <w:rsid w:val="005258A2"/>
    <w:rsid w:val="00533B4F"/>
    <w:rsid w:val="00534993"/>
    <w:rsid w:val="005360CE"/>
    <w:rsid w:val="00536582"/>
    <w:rsid w:val="00537094"/>
    <w:rsid w:val="0053736B"/>
    <w:rsid w:val="00537D57"/>
    <w:rsid w:val="005401AE"/>
    <w:rsid w:val="00540B71"/>
    <w:rsid w:val="00541981"/>
    <w:rsid w:val="00542E07"/>
    <w:rsid w:val="00545424"/>
    <w:rsid w:val="005465F3"/>
    <w:rsid w:val="005467A7"/>
    <w:rsid w:val="005508F7"/>
    <w:rsid w:val="005514F3"/>
    <w:rsid w:val="00551A72"/>
    <w:rsid w:val="005530CA"/>
    <w:rsid w:val="0055348C"/>
    <w:rsid w:val="00554A7B"/>
    <w:rsid w:val="0055572C"/>
    <w:rsid w:val="00556D34"/>
    <w:rsid w:val="00557AB9"/>
    <w:rsid w:val="00557CD0"/>
    <w:rsid w:val="00560797"/>
    <w:rsid w:val="0056106A"/>
    <w:rsid w:val="005720AE"/>
    <w:rsid w:val="00573759"/>
    <w:rsid w:val="005768D3"/>
    <w:rsid w:val="0058033F"/>
    <w:rsid w:val="00580955"/>
    <w:rsid w:val="0058133B"/>
    <w:rsid w:val="00582178"/>
    <w:rsid w:val="005839A2"/>
    <w:rsid w:val="00583D9A"/>
    <w:rsid w:val="005841C6"/>
    <w:rsid w:val="005863BE"/>
    <w:rsid w:val="0059025D"/>
    <w:rsid w:val="00591CE0"/>
    <w:rsid w:val="00592CA7"/>
    <w:rsid w:val="0059383E"/>
    <w:rsid w:val="00593B47"/>
    <w:rsid w:val="00594D77"/>
    <w:rsid w:val="00595883"/>
    <w:rsid w:val="005966E4"/>
    <w:rsid w:val="005969E4"/>
    <w:rsid w:val="00597FBE"/>
    <w:rsid w:val="005A06B7"/>
    <w:rsid w:val="005A07AB"/>
    <w:rsid w:val="005A07F9"/>
    <w:rsid w:val="005A0A50"/>
    <w:rsid w:val="005A0D00"/>
    <w:rsid w:val="005A1759"/>
    <w:rsid w:val="005A4988"/>
    <w:rsid w:val="005A5B55"/>
    <w:rsid w:val="005A5D37"/>
    <w:rsid w:val="005A68A7"/>
    <w:rsid w:val="005A6C5B"/>
    <w:rsid w:val="005B0840"/>
    <w:rsid w:val="005B1B64"/>
    <w:rsid w:val="005B32DC"/>
    <w:rsid w:val="005B4200"/>
    <w:rsid w:val="005B4385"/>
    <w:rsid w:val="005B6670"/>
    <w:rsid w:val="005B6E23"/>
    <w:rsid w:val="005C3384"/>
    <w:rsid w:val="005C4A25"/>
    <w:rsid w:val="005C4B10"/>
    <w:rsid w:val="005D0614"/>
    <w:rsid w:val="005D3548"/>
    <w:rsid w:val="005D36AB"/>
    <w:rsid w:val="005D5DED"/>
    <w:rsid w:val="005D74BC"/>
    <w:rsid w:val="005E299E"/>
    <w:rsid w:val="005E2EEC"/>
    <w:rsid w:val="005E382D"/>
    <w:rsid w:val="005E471D"/>
    <w:rsid w:val="005F024B"/>
    <w:rsid w:val="005F0BC9"/>
    <w:rsid w:val="005F1F44"/>
    <w:rsid w:val="005F438C"/>
    <w:rsid w:val="005F4A63"/>
    <w:rsid w:val="005F4C03"/>
    <w:rsid w:val="005F4FD8"/>
    <w:rsid w:val="005F58D0"/>
    <w:rsid w:val="005F5E85"/>
    <w:rsid w:val="005F7A16"/>
    <w:rsid w:val="006001B9"/>
    <w:rsid w:val="00601245"/>
    <w:rsid w:val="00606108"/>
    <w:rsid w:val="006074DB"/>
    <w:rsid w:val="006077F1"/>
    <w:rsid w:val="00610473"/>
    <w:rsid w:val="006114CA"/>
    <w:rsid w:val="0061612F"/>
    <w:rsid w:val="00617CC3"/>
    <w:rsid w:val="00620690"/>
    <w:rsid w:val="00620703"/>
    <w:rsid w:val="00622D42"/>
    <w:rsid w:val="00622DB7"/>
    <w:rsid w:val="00623132"/>
    <w:rsid w:val="0062324E"/>
    <w:rsid w:val="00624E64"/>
    <w:rsid w:val="006258ED"/>
    <w:rsid w:val="00627397"/>
    <w:rsid w:val="006324D9"/>
    <w:rsid w:val="006335A7"/>
    <w:rsid w:val="0063393E"/>
    <w:rsid w:val="006350D6"/>
    <w:rsid w:val="006377A6"/>
    <w:rsid w:val="006379A5"/>
    <w:rsid w:val="00637A3D"/>
    <w:rsid w:val="0064015A"/>
    <w:rsid w:val="006411EF"/>
    <w:rsid w:val="006438CD"/>
    <w:rsid w:val="00644741"/>
    <w:rsid w:val="00646DA4"/>
    <w:rsid w:val="00647F3C"/>
    <w:rsid w:val="00650912"/>
    <w:rsid w:val="00651AD0"/>
    <w:rsid w:val="0065396B"/>
    <w:rsid w:val="00653EB5"/>
    <w:rsid w:val="0065435B"/>
    <w:rsid w:val="006549BB"/>
    <w:rsid w:val="0065514D"/>
    <w:rsid w:val="00655957"/>
    <w:rsid w:val="00656A88"/>
    <w:rsid w:val="006600B0"/>
    <w:rsid w:val="0066192C"/>
    <w:rsid w:val="0066255D"/>
    <w:rsid w:val="006626E5"/>
    <w:rsid w:val="0066386A"/>
    <w:rsid w:val="00667075"/>
    <w:rsid w:val="00667C60"/>
    <w:rsid w:val="00667D4B"/>
    <w:rsid w:val="00672F77"/>
    <w:rsid w:val="006748B8"/>
    <w:rsid w:val="006751FF"/>
    <w:rsid w:val="006756DF"/>
    <w:rsid w:val="00675D37"/>
    <w:rsid w:val="006775C3"/>
    <w:rsid w:val="0067761C"/>
    <w:rsid w:val="00677FD4"/>
    <w:rsid w:val="00686FC3"/>
    <w:rsid w:val="00687C48"/>
    <w:rsid w:val="0069290A"/>
    <w:rsid w:val="00692EC6"/>
    <w:rsid w:val="00692FB6"/>
    <w:rsid w:val="006937E5"/>
    <w:rsid w:val="0069712D"/>
    <w:rsid w:val="006975A3"/>
    <w:rsid w:val="0069775A"/>
    <w:rsid w:val="00697813"/>
    <w:rsid w:val="006A0DA1"/>
    <w:rsid w:val="006A2163"/>
    <w:rsid w:val="006A246B"/>
    <w:rsid w:val="006A2D65"/>
    <w:rsid w:val="006A3520"/>
    <w:rsid w:val="006A3A15"/>
    <w:rsid w:val="006A3EE8"/>
    <w:rsid w:val="006A4026"/>
    <w:rsid w:val="006A544A"/>
    <w:rsid w:val="006A5EA3"/>
    <w:rsid w:val="006A64EB"/>
    <w:rsid w:val="006A680F"/>
    <w:rsid w:val="006A691A"/>
    <w:rsid w:val="006A72BF"/>
    <w:rsid w:val="006A7883"/>
    <w:rsid w:val="006B03F2"/>
    <w:rsid w:val="006B07F4"/>
    <w:rsid w:val="006B1906"/>
    <w:rsid w:val="006B37DC"/>
    <w:rsid w:val="006B4F68"/>
    <w:rsid w:val="006B71C3"/>
    <w:rsid w:val="006B7BEA"/>
    <w:rsid w:val="006C0592"/>
    <w:rsid w:val="006C1424"/>
    <w:rsid w:val="006C272E"/>
    <w:rsid w:val="006C277A"/>
    <w:rsid w:val="006C29E8"/>
    <w:rsid w:val="006C3EEF"/>
    <w:rsid w:val="006C3FC6"/>
    <w:rsid w:val="006C4F7C"/>
    <w:rsid w:val="006C5479"/>
    <w:rsid w:val="006C5CBC"/>
    <w:rsid w:val="006D1200"/>
    <w:rsid w:val="006D133F"/>
    <w:rsid w:val="006D13B5"/>
    <w:rsid w:val="006D2B05"/>
    <w:rsid w:val="006D2C6A"/>
    <w:rsid w:val="006D4674"/>
    <w:rsid w:val="006D5640"/>
    <w:rsid w:val="006D6B6F"/>
    <w:rsid w:val="006E12A0"/>
    <w:rsid w:val="006E12FF"/>
    <w:rsid w:val="006E1F3E"/>
    <w:rsid w:val="006E21AF"/>
    <w:rsid w:val="006E2EC2"/>
    <w:rsid w:val="006E607E"/>
    <w:rsid w:val="006F574E"/>
    <w:rsid w:val="00700CB4"/>
    <w:rsid w:val="00703609"/>
    <w:rsid w:val="00704688"/>
    <w:rsid w:val="00704CB1"/>
    <w:rsid w:val="007052F9"/>
    <w:rsid w:val="00706012"/>
    <w:rsid w:val="00706917"/>
    <w:rsid w:val="00706C5D"/>
    <w:rsid w:val="0070767F"/>
    <w:rsid w:val="00712AB4"/>
    <w:rsid w:val="0071533E"/>
    <w:rsid w:val="00715B2C"/>
    <w:rsid w:val="007211ED"/>
    <w:rsid w:val="00721C9E"/>
    <w:rsid w:val="00723171"/>
    <w:rsid w:val="00723AD2"/>
    <w:rsid w:val="00723DC8"/>
    <w:rsid w:val="00726C1A"/>
    <w:rsid w:val="0072752E"/>
    <w:rsid w:val="00732922"/>
    <w:rsid w:val="00732C27"/>
    <w:rsid w:val="007338CA"/>
    <w:rsid w:val="00733B07"/>
    <w:rsid w:val="0073414D"/>
    <w:rsid w:val="00736431"/>
    <w:rsid w:val="007364FF"/>
    <w:rsid w:val="00737089"/>
    <w:rsid w:val="00737C49"/>
    <w:rsid w:val="0074238B"/>
    <w:rsid w:val="00743C5B"/>
    <w:rsid w:val="00744396"/>
    <w:rsid w:val="007443D2"/>
    <w:rsid w:val="00747976"/>
    <w:rsid w:val="00750D2E"/>
    <w:rsid w:val="0075162E"/>
    <w:rsid w:val="00751C24"/>
    <w:rsid w:val="007527A3"/>
    <w:rsid w:val="00754034"/>
    <w:rsid w:val="00756556"/>
    <w:rsid w:val="00760275"/>
    <w:rsid w:val="007618C4"/>
    <w:rsid w:val="00763048"/>
    <w:rsid w:val="0076308C"/>
    <w:rsid w:val="00763F25"/>
    <w:rsid w:val="007673A6"/>
    <w:rsid w:val="00767980"/>
    <w:rsid w:val="00770B19"/>
    <w:rsid w:val="00771A8F"/>
    <w:rsid w:val="00771AED"/>
    <w:rsid w:val="00773D15"/>
    <w:rsid w:val="007740AA"/>
    <w:rsid w:val="0077463F"/>
    <w:rsid w:val="00780EF8"/>
    <w:rsid w:val="007819A5"/>
    <w:rsid w:val="007836EA"/>
    <w:rsid w:val="007839D2"/>
    <w:rsid w:val="00784394"/>
    <w:rsid w:val="00784CDA"/>
    <w:rsid w:val="0078649E"/>
    <w:rsid w:val="007871F9"/>
    <w:rsid w:val="007903B8"/>
    <w:rsid w:val="007906C4"/>
    <w:rsid w:val="00792255"/>
    <w:rsid w:val="00793A2E"/>
    <w:rsid w:val="00793ECC"/>
    <w:rsid w:val="007940EA"/>
    <w:rsid w:val="007955DA"/>
    <w:rsid w:val="007967E8"/>
    <w:rsid w:val="0079697F"/>
    <w:rsid w:val="007A2170"/>
    <w:rsid w:val="007A22BF"/>
    <w:rsid w:val="007A31F5"/>
    <w:rsid w:val="007A3323"/>
    <w:rsid w:val="007A414C"/>
    <w:rsid w:val="007A4768"/>
    <w:rsid w:val="007A5AE2"/>
    <w:rsid w:val="007A5FA2"/>
    <w:rsid w:val="007A6784"/>
    <w:rsid w:val="007B15A1"/>
    <w:rsid w:val="007B50D8"/>
    <w:rsid w:val="007B72B8"/>
    <w:rsid w:val="007B7A58"/>
    <w:rsid w:val="007C0037"/>
    <w:rsid w:val="007C21B5"/>
    <w:rsid w:val="007C3D58"/>
    <w:rsid w:val="007C5ED1"/>
    <w:rsid w:val="007C6C63"/>
    <w:rsid w:val="007D1E65"/>
    <w:rsid w:val="007D2641"/>
    <w:rsid w:val="007D2EA1"/>
    <w:rsid w:val="007D3A47"/>
    <w:rsid w:val="007D3F14"/>
    <w:rsid w:val="007D67DC"/>
    <w:rsid w:val="007D68E0"/>
    <w:rsid w:val="007E1105"/>
    <w:rsid w:val="007E34F6"/>
    <w:rsid w:val="007E4BD2"/>
    <w:rsid w:val="007E7E15"/>
    <w:rsid w:val="007F0D1F"/>
    <w:rsid w:val="007F329E"/>
    <w:rsid w:val="007F4A9F"/>
    <w:rsid w:val="007F4D2A"/>
    <w:rsid w:val="008004AA"/>
    <w:rsid w:val="00801393"/>
    <w:rsid w:val="0080253A"/>
    <w:rsid w:val="00802D21"/>
    <w:rsid w:val="00802F88"/>
    <w:rsid w:val="008062BB"/>
    <w:rsid w:val="0080673F"/>
    <w:rsid w:val="00807315"/>
    <w:rsid w:val="008079B4"/>
    <w:rsid w:val="00811E00"/>
    <w:rsid w:val="00811FC8"/>
    <w:rsid w:val="0081293E"/>
    <w:rsid w:val="00813679"/>
    <w:rsid w:val="0081454F"/>
    <w:rsid w:val="00814912"/>
    <w:rsid w:val="00815465"/>
    <w:rsid w:val="00815562"/>
    <w:rsid w:val="00817343"/>
    <w:rsid w:val="00817A3A"/>
    <w:rsid w:val="00817E9A"/>
    <w:rsid w:val="00821F52"/>
    <w:rsid w:val="00821FEA"/>
    <w:rsid w:val="00822F71"/>
    <w:rsid w:val="008258E7"/>
    <w:rsid w:val="0082640B"/>
    <w:rsid w:val="008306BD"/>
    <w:rsid w:val="00831432"/>
    <w:rsid w:val="00831A80"/>
    <w:rsid w:val="008332F3"/>
    <w:rsid w:val="00833743"/>
    <w:rsid w:val="008340A4"/>
    <w:rsid w:val="00834B86"/>
    <w:rsid w:val="00837AD3"/>
    <w:rsid w:val="00837C7F"/>
    <w:rsid w:val="0084220E"/>
    <w:rsid w:val="008435EA"/>
    <w:rsid w:val="00843DDD"/>
    <w:rsid w:val="00844ABD"/>
    <w:rsid w:val="00846B9C"/>
    <w:rsid w:val="0084775C"/>
    <w:rsid w:val="00847CDE"/>
    <w:rsid w:val="00847EB8"/>
    <w:rsid w:val="008527F1"/>
    <w:rsid w:val="00852C88"/>
    <w:rsid w:val="00853FF3"/>
    <w:rsid w:val="00856097"/>
    <w:rsid w:val="00856A03"/>
    <w:rsid w:val="00856DF6"/>
    <w:rsid w:val="00860FDB"/>
    <w:rsid w:val="008611BA"/>
    <w:rsid w:val="00861D7D"/>
    <w:rsid w:val="00863A8D"/>
    <w:rsid w:val="00864B7C"/>
    <w:rsid w:val="00866FA4"/>
    <w:rsid w:val="008670EF"/>
    <w:rsid w:val="00870820"/>
    <w:rsid w:val="008711CD"/>
    <w:rsid w:val="0087135F"/>
    <w:rsid w:val="0087188F"/>
    <w:rsid w:val="00871AD4"/>
    <w:rsid w:val="00871D32"/>
    <w:rsid w:val="00872D94"/>
    <w:rsid w:val="00873239"/>
    <w:rsid w:val="008737FF"/>
    <w:rsid w:val="00874043"/>
    <w:rsid w:val="00874A10"/>
    <w:rsid w:val="00875080"/>
    <w:rsid w:val="008761B9"/>
    <w:rsid w:val="008779A3"/>
    <w:rsid w:val="00880364"/>
    <w:rsid w:val="008808D8"/>
    <w:rsid w:val="00881672"/>
    <w:rsid w:val="0088491F"/>
    <w:rsid w:val="00884ECB"/>
    <w:rsid w:val="008869CA"/>
    <w:rsid w:val="0089136D"/>
    <w:rsid w:val="00891592"/>
    <w:rsid w:val="00891E9E"/>
    <w:rsid w:val="0089206B"/>
    <w:rsid w:val="00892811"/>
    <w:rsid w:val="00894AF0"/>
    <w:rsid w:val="00895D72"/>
    <w:rsid w:val="0089615B"/>
    <w:rsid w:val="008A1677"/>
    <w:rsid w:val="008A235B"/>
    <w:rsid w:val="008A2F68"/>
    <w:rsid w:val="008A4D88"/>
    <w:rsid w:val="008A505B"/>
    <w:rsid w:val="008A65CD"/>
    <w:rsid w:val="008B0197"/>
    <w:rsid w:val="008B04AD"/>
    <w:rsid w:val="008B19A3"/>
    <w:rsid w:val="008B1A32"/>
    <w:rsid w:val="008B1C0B"/>
    <w:rsid w:val="008B29E7"/>
    <w:rsid w:val="008B2A65"/>
    <w:rsid w:val="008B310E"/>
    <w:rsid w:val="008B3836"/>
    <w:rsid w:val="008B3A22"/>
    <w:rsid w:val="008B4FA6"/>
    <w:rsid w:val="008B5190"/>
    <w:rsid w:val="008B5282"/>
    <w:rsid w:val="008B6A49"/>
    <w:rsid w:val="008B7C17"/>
    <w:rsid w:val="008C00B0"/>
    <w:rsid w:val="008C2D01"/>
    <w:rsid w:val="008C40E6"/>
    <w:rsid w:val="008C7EE2"/>
    <w:rsid w:val="008D0451"/>
    <w:rsid w:val="008D052D"/>
    <w:rsid w:val="008D0969"/>
    <w:rsid w:val="008D0F7A"/>
    <w:rsid w:val="008D2992"/>
    <w:rsid w:val="008D3F1C"/>
    <w:rsid w:val="008D68E4"/>
    <w:rsid w:val="008D74DA"/>
    <w:rsid w:val="008E0035"/>
    <w:rsid w:val="008E0506"/>
    <w:rsid w:val="008E0CFF"/>
    <w:rsid w:val="008E161A"/>
    <w:rsid w:val="008E1D1C"/>
    <w:rsid w:val="008E2D56"/>
    <w:rsid w:val="008E33B6"/>
    <w:rsid w:val="008E3C6C"/>
    <w:rsid w:val="008E533F"/>
    <w:rsid w:val="008E5D6B"/>
    <w:rsid w:val="008E5E22"/>
    <w:rsid w:val="008E76F0"/>
    <w:rsid w:val="008F0DC5"/>
    <w:rsid w:val="008F15FE"/>
    <w:rsid w:val="008F1EBE"/>
    <w:rsid w:val="008F2D29"/>
    <w:rsid w:val="008F4753"/>
    <w:rsid w:val="008F4772"/>
    <w:rsid w:val="008F5187"/>
    <w:rsid w:val="008F563E"/>
    <w:rsid w:val="008F60D8"/>
    <w:rsid w:val="008F61D0"/>
    <w:rsid w:val="008F7E2D"/>
    <w:rsid w:val="00900E0C"/>
    <w:rsid w:val="00902727"/>
    <w:rsid w:val="0090312B"/>
    <w:rsid w:val="0090450C"/>
    <w:rsid w:val="00905796"/>
    <w:rsid w:val="00906403"/>
    <w:rsid w:val="00906DAD"/>
    <w:rsid w:val="009103F1"/>
    <w:rsid w:val="00911C7A"/>
    <w:rsid w:val="0091721C"/>
    <w:rsid w:val="0091736D"/>
    <w:rsid w:val="00924CB1"/>
    <w:rsid w:val="00925869"/>
    <w:rsid w:val="00925CE6"/>
    <w:rsid w:val="00927D5B"/>
    <w:rsid w:val="00927E0C"/>
    <w:rsid w:val="0093037A"/>
    <w:rsid w:val="00931513"/>
    <w:rsid w:val="009321F9"/>
    <w:rsid w:val="00936E11"/>
    <w:rsid w:val="0094154D"/>
    <w:rsid w:val="00941B26"/>
    <w:rsid w:val="00942DE5"/>
    <w:rsid w:val="0094418D"/>
    <w:rsid w:val="0094424A"/>
    <w:rsid w:val="009443B9"/>
    <w:rsid w:val="009447FF"/>
    <w:rsid w:val="009449F8"/>
    <w:rsid w:val="00944B03"/>
    <w:rsid w:val="00945126"/>
    <w:rsid w:val="0095035B"/>
    <w:rsid w:val="00950362"/>
    <w:rsid w:val="00950548"/>
    <w:rsid w:val="0095155F"/>
    <w:rsid w:val="009516FA"/>
    <w:rsid w:val="00951F62"/>
    <w:rsid w:val="00954429"/>
    <w:rsid w:val="00954BD3"/>
    <w:rsid w:val="00954EBB"/>
    <w:rsid w:val="00956067"/>
    <w:rsid w:val="009563CE"/>
    <w:rsid w:val="009626D4"/>
    <w:rsid w:val="009656EA"/>
    <w:rsid w:val="009657C1"/>
    <w:rsid w:val="0097096A"/>
    <w:rsid w:val="00970A45"/>
    <w:rsid w:val="009752C8"/>
    <w:rsid w:val="00976328"/>
    <w:rsid w:val="009766C0"/>
    <w:rsid w:val="0097680D"/>
    <w:rsid w:val="009777A0"/>
    <w:rsid w:val="00977A14"/>
    <w:rsid w:val="00982438"/>
    <w:rsid w:val="00982977"/>
    <w:rsid w:val="0098404C"/>
    <w:rsid w:val="00985251"/>
    <w:rsid w:val="00985283"/>
    <w:rsid w:val="00985DA6"/>
    <w:rsid w:val="00985F43"/>
    <w:rsid w:val="0098617F"/>
    <w:rsid w:val="00991BF7"/>
    <w:rsid w:val="009920F9"/>
    <w:rsid w:val="00992940"/>
    <w:rsid w:val="0099386F"/>
    <w:rsid w:val="00994B1F"/>
    <w:rsid w:val="0099562A"/>
    <w:rsid w:val="0099573E"/>
    <w:rsid w:val="00995992"/>
    <w:rsid w:val="00995EBA"/>
    <w:rsid w:val="0099673C"/>
    <w:rsid w:val="00997805"/>
    <w:rsid w:val="009A03E5"/>
    <w:rsid w:val="009A0F3B"/>
    <w:rsid w:val="009A18FF"/>
    <w:rsid w:val="009A1BB4"/>
    <w:rsid w:val="009A20C8"/>
    <w:rsid w:val="009A2628"/>
    <w:rsid w:val="009A3200"/>
    <w:rsid w:val="009A53EA"/>
    <w:rsid w:val="009A7D94"/>
    <w:rsid w:val="009B0897"/>
    <w:rsid w:val="009B539F"/>
    <w:rsid w:val="009B546D"/>
    <w:rsid w:val="009B7BAF"/>
    <w:rsid w:val="009B7BD9"/>
    <w:rsid w:val="009C0AA7"/>
    <w:rsid w:val="009C164B"/>
    <w:rsid w:val="009C198C"/>
    <w:rsid w:val="009C211C"/>
    <w:rsid w:val="009C316D"/>
    <w:rsid w:val="009C5CB4"/>
    <w:rsid w:val="009C7DD5"/>
    <w:rsid w:val="009D2653"/>
    <w:rsid w:val="009D6163"/>
    <w:rsid w:val="009D77C6"/>
    <w:rsid w:val="009E0618"/>
    <w:rsid w:val="009E124B"/>
    <w:rsid w:val="009E227D"/>
    <w:rsid w:val="009E22EC"/>
    <w:rsid w:val="009E4766"/>
    <w:rsid w:val="009E5019"/>
    <w:rsid w:val="009F4F77"/>
    <w:rsid w:val="009F5843"/>
    <w:rsid w:val="009F5847"/>
    <w:rsid w:val="009F7393"/>
    <w:rsid w:val="00A015F9"/>
    <w:rsid w:val="00A04F1B"/>
    <w:rsid w:val="00A0501B"/>
    <w:rsid w:val="00A05EF6"/>
    <w:rsid w:val="00A062B3"/>
    <w:rsid w:val="00A06391"/>
    <w:rsid w:val="00A06B4C"/>
    <w:rsid w:val="00A108AD"/>
    <w:rsid w:val="00A11162"/>
    <w:rsid w:val="00A12071"/>
    <w:rsid w:val="00A12334"/>
    <w:rsid w:val="00A141C7"/>
    <w:rsid w:val="00A14947"/>
    <w:rsid w:val="00A165B6"/>
    <w:rsid w:val="00A16699"/>
    <w:rsid w:val="00A17884"/>
    <w:rsid w:val="00A17CCF"/>
    <w:rsid w:val="00A207B4"/>
    <w:rsid w:val="00A22620"/>
    <w:rsid w:val="00A23D57"/>
    <w:rsid w:val="00A23DB9"/>
    <w:rsid w:val="00A24383"/>
    <w:rsid w:val="00A249F8"/>
    <w:rsid w:val="00A24D4F"/>
    <w:rsid w:val="00A24E97"/>
    <w:rsid w:val="00A3180C"/>
    <w:rsid w:val="00A3256F"/>
    <w:rsid w:val="00A32A83"/>
    <w:rsid w:val="00A3389E"/>
    <w:rsid w:val="00A33C47"/>
    <w:rsid w:val="00A368DB"/>
    <w:rsid w:val="00A3699E"/>
    <w:rsid w:val="00A36D53"/>
    <w:rsid w:val="00A37351"/>
    <w:rsid w:val="00A403E7"/>
    <w:rsid w:val="00A404F4"/>
    <w:rsid w:val="00A40D55"/>
    <w:rsid w:val="00A423AA"/>
    <w:rsid w:val="00A428D7"/>
    <w:rsid w:val="00A443AD"/>
    <w:rsid w:val="00A45992"/>
    <w:rsid w:val="00A507F2"/>
    <w:rsid w:val="00A50905"/>
    <w:rsid w:val="00A5286D"/>
    <w:rsid w:val="00A537FA"/>
    <w:rsid w:val="00A53EC6"/>
    <w:rsid w:val="00A547BE"/>
    <w:rsid w:val="00A55115"/>
    <w:rsid w:val="00A55C0F"/>
    <w:rsid w:val="00A56705"/>
    <w:rsid w:val="00A568C1"/>
    <w:rsid w:val="00A56BD0"/>
    <w:rsid w:val="00A575FA"/>
    <w:rsid w:val="00A6172E"/>
    <w:rsid w:val="00A61DF0"/>
    <w:rsid w:val="00A6250E"/>
    <w:rsid w:val="00A63671"/>
    <w:rsid w:val="00A63A41"/>
    <w:rsid w:val="00A6713E"/>
    <w:rsid w:val="00A725D1"/>
    <w:rsid w:val="00A736F6"/>
    <w:rsid w:val="00A7507B"/>
    <w:rsid w:val="00A773BF"/>
    <w:rsid w:val="00A81C80"/>
    <w:rsid w:val="00A82706"/>
    <w:rsid w:val="00A85A3A"/>
    <w:rsid w:val="00A86C5A"/>
    <w:rsid w:val="00A8713F"/>
    <w:rsid w:val="00A906F2"/>
    <w:rsid w:val="00A90A7C"/>
    <w:rsid w:val="00A90AD7"/>
    <w:rsid w:val="00A90BA1"/>
    <w:rsid w:val="00A91535"/>
    <w:rsid w:val="00A91727"/>
    <w:rsid w:val="00A91A4C"/>
    <w:rsid w:val="00A92F9B"/>
    <w:rsid w:val="00A932B3"/>
    <w:rsid w:val="00A93429"/>
    <w:rsid w:val="00A96F87"/>
    <w:rsid w:val="00A97580"/>
    <w:rsid w:val="00A97A9A"/>
    <w:rsid w:val="00AA0671"/>
    <w:rsid w:val="00AA0E6F"/>
    <w:rsid w:val="00AA1CDD"/>
    <w:rsid w:val="00AA2531"/>
    <w:rsid w:val="00AA2731"/>
    <w:rsid w:val="00AA3397"/>
    <w:rsid w:val="00AA380D"/>
    <w:rsid w:val="00AB1E09"/>
    <w:rsid w:val="00AB202C"/>
    <w:rsid w:val="00AB22DE"/>
    <w:rsid w:val="00AB3FA3"/>
    <w:rsid w:val="00AB5330"/>
    <w:rsid w:val="00AB60A3"/>
    <w:rsid w:val="00AB6A6D"/>
    <w:rsid w:val="00AB7747"/>
    <w:rsid w:val="00AC14CE"/>
    <w:rsid w:val="00AC17C7"/>
    <w:rsid w:val="00AC2A56"/>
    <w:rsid w:val="00AC30AD"/>
    <w:rsid w:val="00AC3882"/>
    <w:rsid w:val="00AC652F"/>
    <w:rsid w:val="00AD02DF"/>
    <w:rsid w:val="00AD055E"/>
    <w:rsid w:val="00AD2C6F"/>
    <w:rsid w:val="00AD47A7"/>
    <w:rsid w:val="00AD4A1B"/>
    <w:rsid w:val="00AD4AD1"/>
    <w:rsid w:val="00AD513D"/>
    <w:rsid w:val="00AD5EAE"/>
    <w:rsid w:val="00AD66D4"/>
    <w:rsid w:val="00AE1678"/>
    <w:rsid w:val="00AE19C6"/>
    <w:rsid w:val="00AE2958"/>
    <w:rsid w:val="00AE3E5F"/>
    <w:rsid w:val="00AE3E8D"/>
    <w:rsid w:val="00AE41AE"/>
    <w:rsid w:val="00AE4875"/>
    <w:rsid w:val="00AE595C"/>
    <w:rsid w:val="00AE5DCA"/>
    <w:rsid w:val="00AE6E63"/>
    <w:rsid w:val="00AE6E96"/>
    <w:rsid w:val="00AE7475"/>
    <w:rsid w:val="00AF0CBF"/>
    <w:rsid w:val="00AF257F"/>
    <w:rsid w:val="00AF33CF"/>
    <w:rsid w:val="00AF401B"/>
    <w:rsid w:val="00AF4475"/>
    <w:rsid w:val="00AF4D50"/>
    <w:rsid w:val="00AF58B1"/>
    <w:rsid w:val="00AF6179"/>
    <w:rsid w:val="00B0028F"/>
    <w:rsid w:val="00B00DAA"/>
    <w:rsid w:val="00B01885"/>
    <w:rsid w:val="00B03D07"/>
    <w:rsid w:val="00B041C4"/>
    <w:rsid w:val="00B041E4"/>
    <w:rsid w:val="00B04631"/>
    <w:rsid w:val="00B06659"/>
    <w:rsid w:val="00B0677E"/>
    <w:rsid w:val="00B114A3"/>
    <w:rsid w:val="00B1295A"/>
    <w:rsid w:val="00B129C0"/>
    <w:rsid w:val="00B12B60"/>
    <w:rsid w:val="00B1301B"/>
    <w:rsid w:val="00B1347D"/>
    <w:rsid w:val="00B13CDD"/>
    <w:rsid w:val="00B20A45"/>
    <w:rsid w:val="00B21A7E"/>
    <w:rsid w:val="00B22C5C"/>
    <w:rsid w:val="00B2337D"/>
    <w:rsid w:val="00B245D8"/>
    <w:rsid w:val="00B24F30"/>
    <w:rsid w:val="00B25CD2"/>
    <w:rsid w:val="00B31ABF"/>
    <w:rsid w:val="00B33BE3"/>
    <w:rsid w:val="00B35F25"/>
    <w:rsid w:val="00B367DE"/>
    <w:rsid w:val="00B37074"/>
    <w:rsid w:val="00B4003F"/>
    <w:rsid w:val="00B409BF"/>
    <w:rsid w:val="00B40A14"/>
    <w:rsid w:val="00B4238E"/>
    <w:rsid w:val="00B45889"/>
    <w:rsid w:val="00B50685"/>
    <w:rsid w:val="00B515A4"/>
    <w:rsid w:val="00B53815"/>
    <w:rsid w:val="00B53B5D"/>
    <w:rsid w:val="00B5475E"/>
    <w:rsid w:val="00B54C0A"/>
    <w:rsid w:val="00B54D95"/>
    <w:rsid w:val="00B561E9"/>
    <w:rsid w:val="00B566A2"/>
    <w:rsid w:val="00B56D05"/>
    <w:rsid w:val="00B56F0C"/>
    <w:rsid w:val="00B6055E"/>
    <w:rsid w:val="00B6158A"/>
    <w:rsid w:val="00B63011"/>
    <w:rsid w:val="00B6317D"/>
    <w:rsid w:val="00B638F1"/>
    <w:rsid w:val="00B63B6A"/>
    <w:rsid w:val="00B64CE1"/>
    <w:rsid w:val="00B7042C"/>
    <w:rsid w:val="00B71206"/>
    <w:rsid w:val="00B71DDE"/>
    <w:rsid w:val="00B7723F"/>
    <w:rsid w:val="00B80534"/>
    <w:rsid w:val="00B80C76"/>
    <w:rsid w:val="00B81312"/>
    <w:rsid w:val="00B81E57"/>
    <w:rsid w:val="00B830CD"/>
    <w:rsid w:val="00B8433C"/>
    <w:rsid w:val="00B847F3"/>
    <w:rsid w:val="00B86266"/>
    <w:rsid w:val="00B8668E"/>
    <w:rsid w:val="00B87491"/>
    <w:rsid w:val="00B909D2"/>
    <w:rsid w:val="00B930C8"/>
    <w:rsid w:val="00B933D3"/>
    <w:rsid w:val="00B940AB"/>
    <w:rsid w:val="00B94724"/>
    <w:rsid w:val="00B9578D"/>
    <w:rsid w:val="00B97DCB"/>
    <w:rsid w:val="00BA0910"/>
    <w:rsid w:val="00BA0C86"/>
    <w:rsid w:val="00BA29E9"/>
    <w:rsid w:val="00BA53A7"/>
    <w:rsid w:val="00BA65BD"/>
    <w:rsid w:val="00BA7069"/>
    <w:rsid w:val="00BA7142"/>
    <w:rsid w:val="00BA723A"/>
    <w:rsid w:val="00BA778E"/>
    <w:rsid w:val="00BB237C"/>
    <w:rsid w:val="00BB41A3"/>
    <w:rsid w:val="00BB45EE"/>
    <w:rsid w:val="00BB6141"/>
    <w:rsid w:val="00BB7DB2"/>
    <w:rsid w:val="00BC0F3D"/>
    <w:rsid w:val="00BC1B91"/>
    <w:rsid w:val="00BC20BF"/>
    <w:rsid w:val="00BC273C"/>
    <w:rsid w:val="00BC32DC"/>
    <w:rsid w:val="00BC33EE"/>
    <w:rsid w:val="00BC35B6"/>
    <w:rsid w:val="00BC5AF0"/>
    <w:rsid w:val="00BD02EE"/>
    <w:rsid w:val="00BD1B51"/>
    <w:rsid w:val="00BD1BBB"/>
    <w:rsid w:val="00BD23FA"/>
    <w:rsid w:val="00BD2A74"/>
    <w:rsid w:val="00BD34C2"/>
    <w:rsid w:val="00BD4596"/>
    <w:rsid w:val="00BD531D"/>
    <w:rsid w:val="00BD562D"/>
    <w:rsid w:val="00BD61B5"/>
    <w:rsid w:val="00BD7CAE"/>
    <w:rsid w:val="00BE1405"/>
    <w:rsid w:val="00BE22D6"/>
    <w:rsid w:val="00BE312D"/>
    <w:rsid w:val="00BE3338"/>
    <w:rsid w:val="00BE3403"/>
    <w:rsid w:val="00BE44B1"/>
    <w:rsid w:val="00BE714C"/>
    <w:rsid w:val="00BE7AC8"/>
    <w:rsid w:val="00BF0A87"/>
    <w:rsid w:val="00BF1466"/>
    <w:rsid w:val="00BF1A05"/>
    <w:rsid w:val="00BF1C20"/>
    <w:rsid w:val="00BF226D"/>
    <w:rsid w:val="00BF2401"/>
    <w:rsid w:val="00BF240B"/>
    <w:rsid w:val="00BF466D"/>
    <w:rsid w:val="00BF74F1"/>
    <w:rsid w:val="00C007BC"/>
    <w:rsid w:val="00C03A5D"/>
    <w:rsid w:val="00C04481"/>
    <w:rsid w:val="00C05A00"/>
    <w:rsid w:val="00C10578"/>
    <w:rsid w:val="00C135BC"/>
    <w:rsid w:val="00C15C95"/>
    <w:rsid w:val="00C20480"/>
    <w:rsid w:val="00C2267A"/>
    <w:rsid w:val="00C23AF1"/>
    <w:rsid w:val="00C2474F"/>
    <w:rsid w:val="00C2596A"/>
    <w:rsid w:val="00C2657C"/>
    <w:rsid w:val="00C26626"/>
    <w:rsid w:val="00C27537"/>
    <w:rsid w:val="00C278D7"/>
    <w:rsid w:val="00C27BF6"/>
    <w:rsid w:val="00C309EA"/>
    <w:rsid w:val="00C3213A"/>
    <w:rsid w:val="00C328FE"/>
    <w:rsid w:val="00C33507"/>
    <w:rsid w:val="00C33B4C"/>
    <w:rsid w:val="00C36650"/>
    <w:rsid w:val="00C370B7"/>
    <w:rsid w:val="00C37313"/>
    <w:rsid w:val="00C411D7"/>
    <w:rsid w:val="00C4122B"/>
    <w:rsid w:val="00C4146F"/>
    <w:rsid w:val="00C41B46"/>
    <w:rsid w:val="00C42853"/>
    <w:rsid w:val="00C42AAC"/>
    <w:rsid w:val="00C42BF2"/>
    <w:rsid w:val="00C4409D"/>
    <w:rsid w:val="00C44E72"/>
    <w:rsid w:val="00C45A06"/>
    <w:rsid w:val="00C45BC7"/>
    <w:rsid w:val="00C47E5B"/>
    <w:rsid w:val="00C511C2"/>
    <w:rsid w:val="00C53C42"/>
    <w:rsid w:val="00C543A2"/>
    <w:rsid w:val="00C56152"/>
    <w:rsid w:val="00C56EE6"/>
    <w:rsid w:val="00C61E4B"/>
    <w:rsid w:val="00C64BFF"/>
    <w:rsid w:val="00C65A4B"/>
    <w:rsid w:val="00C65ED5"/>
    <w:rsid w:val="00C65F8F"/>
    <w:rsid w:val="00C704E9"/>
    <w:rsid w:val="00C71E9A"/>
    <w:rsid w:val="00C729BC"/>
    <w:rsid w:val="00C73957"/>
    <w:rsid w:val="00C73A6C"/>
    <w:rsid w:val="00C7430B"/>
    <w:rsid w:val="00C763C9"/>
    <w:rsid w:val="00C770A2"/>
    <w:rsid w:val="00C77ACD"/>
    <w:rsid w:val="00C80057"/>
    <w:rsid w:val="00C80C08"/>
    <w:rsid w:val="00C80C78"/>
    <w:rsid w:val="00C82232"/>
    <w:rsid w:val="00C8280E"/>
    <w:rsid w:val="00C82913"/>
    <w:rsid w:val="00C835CD"/>
    <w:rsid w:val="00C868A1"/>
    <w:rsid w:val="00C87B67"/>
    <w:rsid w:val="00C92271"/>
    <w:rsid w:val="00C922BB"/>
    <w:rsid w:val="00C92700"/>
    <w:rsid w:val="00C93A56"/>
    <w:rsid w:val="00C940A3"/>
    <w:rsid w:val="00C94AA7"/>
    <w:rsid w:val="00C94C1C"/>
    <w:rsid w:val="00C95308"/>
    <w:rsid w:val="00C957CD"/>
    <w:rsid w:val="00C96FEA"/>
    <w:rsid w:val="00C972B1"/>
    <w:rsid w:val="00CA2372"/>
    <w:rsid w:val="00CA2CCE"/>
    <w:rsid w:val="00CA43FD"/>
    <w:rsid w:val="00CA7BA6"/>
    <w:rsid w:val="00CA7EF8"/>
    <w:rsid w:val="00CB13DA"/>
    <w:rsid w:val="00CB31C2"/>
    <w:rsid w:val="00CB72D8"/>
    <w:rsid w:val="00CC181D"/>
    <w:rsid w:val="00CC1ABD"/>
    <w:rsid w:val="00CC3018"/>
    <w:rsid w:val="00CC313D"/>
    <w:rsid w:val="00CC3FA2"/>
    <w:rsid w:val="00CC489B"/>
    <w:rsid w:val="00CC5E70"/>
    <w:rsid w:val="00CC7336"/>
    <w:rsid w:val="00CC7C89"/>
    <w:rsid w:val="00CD0DF5"/>
    <w:rsid w:val="00CD2668"/>
    <w:rsid w:val="00CD2BCD"/>
    <w:rsid w:val="00CD3A4C"/>
    <w:rsid w:val="00CD3BCE"/>
    <w:rsid w:val="00CD4112"/>
    <w:rsid w:val="00CD4D3A"/>
    <w:rsid w:val="00CD6752"/>
    <w:rsid w:val="00CD6BE0"/>
    <w:rsid w:val="00CD77EC"/>
    <w:rsid w:val="00CE0699"/>
    <w:rsid w:val="00CE10E9"/>
    <w:rsid w:val="00CE2910"/>
    <w:rsid w:val="00CE47AF"/>
    <w:rsid w:val="00CE4EF3"/>
    <w:rsid w:val="00CE5393"/>
    <w:rsid w:val="00CE6306"/>
    <w:rsid w:val="00CE7DB8"/>
    <w:rsid w:val="00CF066E"/>
    <w:rsid w:val="00CF1E44"/>
    <w:rsid w:val="00CF2263"/>
    <w:rsid w:val="00CF23CF"/>
    <w:rsid w:val="00CF36BE"/>
    <w:rsid w:val="00CF6000"/>
    <w:rsid w:val="00CF7EA9"/>
    <w:rsid w:val="00D003F3"/>
    <w:rsid w:val="00D01000"/>
    <w:rsid w:val="00D0177A"/>
    <w:rsid w:val="00D01D89"/>
    <w:rsid w:val="00D0364F"/>
    <w:rsid w:val="00D03B0E"/>
    <w:rsid w:val="00D03C6E"/>
    <w:rsid w:val="00D03C80"/>
    <w:rsid w:val="00D04308"/>
    <w:rsid w:val="00D044AF"/>
    <w:rsid w:val="00D04F3D"/>
    <w:rsid w:val="00D06834"/>
    <w:rsid w:val="00D06C82"/>
    <w:rsid w:val="00D07954"/>
    <w:rsid w:val="00D10263"/>
    <w:rsid w:val="00D11042"/>
    <w:rsid w:val="00D11F44"/>
    <w:rsid w:val="00D156A6"/>
    <w:rsid w:val="00D15A51"/>
    <w:rsid w:val="00D1678B"/>
    <w:rsid w:val="00D20E16"/>
    <w:rsid w:val="00D24A71"/>
    <w:rsid w:val="00D26709"/>
    <w:rsid w:val="00D26AA8"/>
    <w:rsid w:val="00D304BF"/>
    <w:rsid w:val="00D30559"/>
    <w:rsid w:val="00D308ED"/>
    <w:rsid w:val="00D314FD"/>
    <w:rsid w:val="00D332FC"/>
    <w:rsid w:val="00D35E63"/>
    <w:rsid w:val="00D36D86"/>
    <w:rsid w:val="00D36E1B"/>
    <w:rsid w:val="00D37660"/>
    <w:rsid w:val="00D428AA"/>
    <w:rsid w:val="00D42F13"/>
    <w:rsid w:val="00D43124"/>
    <w:rsid w:val="00D45FB8"/>
    <w:rsid w:val="00D47B15"/>
    <w:rsid w:val="00D47F09"/>
    <w:rsid w:val="00D504C5"/>
    <w:rsid w:val="00D50624"/>
    <w:rsid w:val="00D50A34"/>
    <w:rsid w:val="00D51898"/>
    <w:rsid w:val="00D51FF5"/>
    <w:rsid w:val="00D53023"/>
    <w:rsid w:val="00D53EF8"/>
    <w:rsid w:val="00D53EFA"/>
    <w:rsid w:val="00D5762F"/>
    <w:rsid w:val="00D57DC1"/>
    <w:rsid w:val="00D57E76"/>
    <w:rsid w:val="00D57FB7"/>
    <w:rsid w:val="00D60D96"/>
    <w:rsid w:val="00D61665"/>
    <w:rsid w:val="00D663BF"/>
    <w:rsid w:val="00D677AB"/>
    <w:rsid w:val="00D70EE7"/>
    <w:rsid w:val="00D70FEE"/>
    <w:rsid w:val="00D7623D"/>
    <w:rsid w:val="00D80B16"/>
    <w:rsid w:val="00D811A5"/>
    <w:rsid w:val="00D81D2A"/>
    <w:rsid w:val="00D84840"/>
    <w:rsid w:val="00D84AB2"/>
    <w:rsid w:val="00D8597E"/>
    <w:rsid w:val="00D86CB4"/>
    <w:rsid w:val="00D87DBF"/>
    <w:rsid w:val="00D902E7"/>
    <w:rsid w:val="00D903B2"/>
    <w:rsid w:val="00D914A7"/>
    <w:rsid w:val="00D91FAD"/>
    <w:rsid w:val="00D945B0"/>
    <w:rsid w:val="00D94A7C"/>
    <w:rsid w:val="00D95896"/>
    <w:rsid w:val="00D9751F"/>
    <w:rsid w:val="00DA00D4"/>
    <w:rsid w:val="00DA5F94"/>
    <w:rsid w:val="00DA6EE0"/>
    <w:rsid w:val="00DA75B5"/>
    <w:rsid w:val="00DA79C2"/>
    <w:rsid w:val="00DA7DF3"/>
    <w:rsid w:val="00DB2983"/>
    <w:rsid w:val="00DB2FC9"/>
    <w:rsid w:val="00DB4FA0"/>
    <w:rsid w:val="00DB5A69"/>
    <w:rsid w:val="00DB6ECF"/>
    <w:rsid w:val="00DB7FEF"/>
    <w:rsid w:val="00DC02B2"/>
    <w:rsid w:val="00DC1257"/>
    <w:rsid w:val="00DC127C"/>
    <w:rsid w:val="00DC1860"/>
    <w:rsid w:val="00DC204D"/>
    <w:rsid w:val="00DC3DC0"/>
    <w:rsid w:val="00DC4F09"/>
    <w:rsid w:val="00DC5B2B"/>
    <w:rsid w:val="00DC719B"/>
    <w:rsid w:val="00DC7BAE"/>
    <w:rsid w:val="00DD064A"/>
    <w:rsid w:val="00DD0F2F"/>
    <w:rsid w:val="00DD128A"/>
    <w:rsid w:val="00DD318D"/>
    <w:rsid w:val="00DD5338"/>
    <w:rsid w:val="00DD5FAE"/>
    <w:rsid w:val="00DE1057"/>
    <w:rsid w:val="00DE13A0"/>
    <w:rsid w:val="00DE1A5D"/>
    <w:rsid w:val="00DE621F"/>
    <w:rsid w:val="00DF02C9"/>
    <w:rsid w:val="00DF0A3D"/>
    <w:rsid w:val="00DF0D4B"/>
    <w:rsid w:val="00DF0D51"/>
    <w:rsid w:val="00DF1D7D"/>
    <w:rsid w:val="00DF2E12"/>
    <w:rsid w:val="00DF301D"/>
    <w:rsid w:val="00DF4A3E"/>
    <w:rsid w:val="00DF514A"/>
    <w:rsid w:val="00DF5373"/>
    <w:rsid w:val="00DF54C0"/>
    <w:rsid w:val="00DF5B53"/>
    <w:rsid w:val="00DF6690"/>
    <w:rsid w:val="00DF6804"/>
    <w:rsid w:val="00E01415"/>
    <w:rsid w:val="00E01842"/>
    <w:rsid w:val="00E01FE8"/>
    <w:rsid w:val="00E02E9B"/>
    <w:rsid w:val="00E03331"/>
    <w:rsid w:val="00E03340"/>
    <w:rsid w:val="00E0358D"/>
    <w:rsid w:val="00E04323"/>
    <w:rsid w:val="00E052FE"/>
    <w:rsid w:val="00E05F49"/>
    <w:rsid w:val="00E070A2"/>
    <w:rsid w:val="00E122B1"/>
    <w:rsid w:val="00E12739"/>
    <w:rsid w:val="00E12E7D"/>
    <w:rsid w:val="00E1575D"/>
    <w:rsid w:val="00E16C50"/>
    <w:rsid w:val="00E216FE"/>
    <w:rsid w:val="00E21CA7"/>
    <w:rsid w:val="00E22EAC"/>
    <w:rsid w:val="00E235C0"/>
    <w:rsid w:val="00E249CC"/>
    <w:rsid w:val="00E2656A"/>
    <w:rsid w:val="00E31163"/>
    <w:rsid w:val="00E319EC"/>
    <w:rsid w:val="00E32213"/>
    <w:rsid w:val="00E35C2C"/>
    <w:rsid w:val="00E37EA3"/>
    <w:rsid w:val="00E40587"/>
    <w:rsid w:val="00E40E23"/>
    <w:rsid w:val="00E412D0"/>
    <w:rsid w:val="00E4302D"/>
    <w:rsid w:val="00E43EB3"/>
    <w:rsid w:val="00E4781D"/>
    <w:rsid w:val="00E5085F"/>
    <w:rsid w:val="00E51106"/>
    <w:rsid w:val="00E51F32"/>
    <w:rsid w:val="00E525E2"/>
    <w:rsid w:val="00E5344A"/>
    <w:rsid w:val="00E55BDA"/>
    <w:rsid w:val="00E56322"/>
    <w:rsid w:val="00E56EE5"/>
    <w:rsid w:val="00E606C8"/>
    <w:rsid w:val="00E60982"/>
    <w:rsid w:val="00E617E8"/>
    <w:rsid w:val="00E62AA8"/>
    <w:rsid w:val="00E62C5E"/>
    <w:rsid w:val="00E62C62"/>
    <w:rsid w:val="00E634F5"/>
    <w:rsid w:val="00E63911"/>
    <w:rsid w:val="00E63E5F"/>
    <w:rsid w:val="00E654C1"/>
    <w:rsid w:val="00E65D97"/>
    <w:rsid w:val="00E72A5A"/>
    <w:rsid w:val="00E73354"/>
    <w:rsid w:val="00E74E4D"/>
    <w:rsid w:val="00E75B3B"/>
    <w:rsid w:val="00E76378"/>
    <w:rsid w:val="00E76E9F"/>
    <w:rsid w:val="00E77D8E"/>
    <w:rsid w:val="00E823B7"/>
    <w:rsid w:val="00E830AD"/>
    <w:rsid w:val="00E90997"/>
    <w:rsid w:val="00E9242D"/>
    <w:rsid w:val="00E9419D"/>
    <w:rsid w:val="00E94BE5"/>
    <w:rsid w:val="00E95189"/>
    <w:rsid w:val="00E96039"/>
    <w:rsid w:val="00E9632B"/>
    <w:rsid w:val="00EA0503"/>
    <w:rsid w:val="00EA0CB8"/>
    <w:rsid w:val="00EA1D39"/>
    <w:rsid w:val="00EA22EA"/>
    <w:rsid w:val="00EA2481"/>
    <w:rsid w:val="00EA3B44"/>
    <w:rsid w:val="00EA4130"/>
    <w:rsid w:val="00EA6B6C"/>
    <w:rsid w:val="00EB0089"/>
    <w:rsid w:val="00EB1EC1"/>
    <w:rsid w:val="00EB5255"/>
    <w:rsid w:val="00EB5979"/>
    <w:rsid w:val="00EB5C47"/>
    <w:rsid w:val="00EB64BF"/>
    <w:rsid w:val="00EB7472"/>
    <w:rsid w:val="00EC1BC4"/>
    <w:rsid w:val="00EC2720"/>
    <w:rsid w:val="00EC2DD9"/>
    <w:rsid w:val="00EC3FEC"/>
    <w:rsid w:val="00EC51B8"/>
    <w:rsid w:val="00EC5967"/>
    <w:rsid w:val="00EC62EB"/>
    <w:rsid w:val="00ED0639"/>
    <w:rsid w:val="00ED3B3D"/>
    <w:rsid w:val="00ED4A46"/>
    <w:rsid w:val="00ED5542"/>
    <w:rsid w:val="00ED57C9"/>
    <w:rsid w:val="00ED5C05"/>
    <w:rsid w:val="00ED75E2"/>
    <w:rsid w:val="00EE1E1C"/>
    <w:rsid w:val="00EE25B6"/>
    <w:rsid w:val="00EE5063"/>
    <w:rsid w:val="00EE6C9C"/>
    <w:rsid w:val="00EF38A3"/>
    <w:rsid w:val="00EF3A58"/>
    <w:rsid w:val="00EF4755"/>
    <w:rsid w:val="00EF4FE6"/>
    <w:rsid w:val="00EF68DE"/>
    <w:rsid w:val="00EF6D58"/>
    <w:rsid w:val="00EF7135"/>
    <w:rsid w:val="00F027DB"/>
    <w:rsid w:val="00F02A27"/>
    <w:rsid w:val="00F06CF5"/>
    <w:rsid w:val="00F10828"/>
    <w:rsid w:val="00F11235"/>
    <w:rsid w:val="00F12519"/>
    <w:rsid w:val="00F12EAA"/>
    <w:rsid w:val="00F13050"/>
    <w:rsid w:val="00F14567"/>
    <w:rsid w:val="00F14A7A"/>
    <w:rsid w:val="00F15CDF"/>
    <w:rsid w:val="00F20732"/>
    <w:rsid w:val="00F21269"/>
    <w:rsid w:val="00F212AF"/>
    <w:rsid w:val="00F21F5B"/>
    <w:rsid w:val="00F22985"/>
    <w:rsid w:val="00F23EFE"/>
    <w:rsid w:val="00F25B58"/>
    <w:rsid w:val="00F265F8"/>
    <w:rsid w:val="00F30DAA"/>
    <w:rsid w:val="00F31B68"/>
    <w:rsid w:val="00F32690"/>
    <w:rsid w:val="00F328FA"/>
    <w:rsid w:val="00F32C1F"/>
    <w:rsid w:val="00F33371"/>
    <w:rsid w:val="00F33679"/>
    <w:rsid w:val="00F3383E"/>
    <w:rsid w:val="00F340BD"/>
    <w:rsid w:val="00F34CF6"/>
    <w:rsid w:val="00F3643E"/>
    <w:rsid w:val="00F36B6E"/>
    <w:rsid w:val="00F465A7"/>
    <w:rsid w:val="00F46925"/>
    <w:rsid w:val="00F46CBF"/>
    <w:rsid w:val="00F506AF"/>
    <w:rsid w:val="00F50B7C"/>
    <w:rsid w:val="00F512B2"/>
    <w:rsid w:val="00F530EE"/>
    <w:rsid w:val="00F550E6"/>
    <w:rsid w:val="00F560F7"/>
    <w:rsid w:val="00F61F76"/>
    <w:rsid w:val="00F6617E"/>
    <w:rsid w:val="00F66237"/>
    <w:rsid w:val="00F66A03"/>
    <w:rsid w:val="00F67D81"/>
    <w:rsid w:val="00F67DCD"/>
    <w:rsid w:val="00F70580"/>
    <w:rsid w:val="00F70CBE"/>
    <w:rsid w:val="00F7121D"/>
    <w:rsid w:val="00F71913"/>
    <w:rsid w:val="00F71D59"/>
    <w:rsid w:val="00F74345"/>
    <w:rsid w:val="00F76B63"/>
    <w:rsid w:val="00F80A0A"/>
    <w:rsid w:val="00F82B19"/>
    <w:rsid w:val="00F8481D"/>
    <w:rsid w:val="00F858ED"/>
    <w:rsid w:val="00F87CEF"/>
    <w:rsid w:val="00F91D6A"/>
    <w:rsid w:val="00F9212D"/>
    <w:rsid w:val="00F92921"/>
    <w:rsid w:val="00F946F9"/>
    <w:rsid w:val="00F965DA"/>
    <w:rsid w:val="00F9775E"/>
    <w:rsid w:val="00FA081C"/>
    <w:rsid w:val="00FA28AB"/>
    <w:rsid w:val="00FA406A"/>
    <w:rsid w:val="00FA6CB0"/>
    <w:rsid w:val="00FB09C4"/>
    <w:rsid w:val="00FB0C90"/>
    <w:rsid w:val="00FB0DEE"/>
    <w:rsid w:val="00FB1A22"/>
    <w:rsid w:val="00FB1B35"/>
    <w:rsid w:val="00FB503A"/>
    <w:rsid w:val="00FB516C"/>
    <w:rsid w:val="00FB51E5"/>
    <w:rsid w:val="00FB56D9"/>
    <w:rsid w:val="00FB6518"/>
    <w:rsid w:val="00FB6B42"/>
    <w:rsid w:val="00FB72DA"/>
    <w:rsid w:val="00FC0188"/>
    <w:rsid w:val="00FC2364"/>
    <w:rsid w:val="00FC35F7"/>
    <w:rsid w:val="00FC38C3"/>
    <w:rsid w:val="00FC551B"/>
    <w:rsid w:val="00FC58E0"/>
    <w:rsid w:val="00FC796A"/>
    <w:rsid w:val="00FD0236"/>
    <w:rsid w:val="00FD0745"/>
    <w:rsid w:val="00FD18F4"/>
    <w:rsid w:val="00FD506B"/>
    <w:rsid w:val="00FD54DB"/>
    <w:rsid w:val="00FD54FC"/>
    <w:rsid w:val="00FD619F"/>
    <w:rsid w:val="00FD69E4"/>
    <w:rsid w:val="00FD7CC4"/>
    <w:rsid w:val="00FE0A18"/>
    <w:rsid w:val="00FE0FC4"/>
    <w:rsid w:val="00FE2809"/>
    <w:rsid w:val="00FE3B85"/>
    <w:rsid w:val="00FE6961"/>
    <w:rsid w:val="00FE6CFC"/>
    <w:rsid w:val="00FE7832"/>
    <w:rsid w:val="00FE79A0"/>
    <w:rsid w:val="00FF04D5"/>
    <w:rsid w:val="00FF24FE"/>
    <w:rsid w:val="00FF25E4"/>
    <w:rsid w:val="00FF4697"/>
    <w:rsid w:val="00FF4984"/>
    <w:rsid w:val="00FF4DAE"/>
    <w:rsid w:val="00FF5651"/>
    <w:rsid w:val="00FF5DD6"/>
    <w:rsid w:val="00FF758F"/>
    <w:rsid w:val="01290F7E"/>
    <w:rsid w:val="01431A4A"/>
    <w:rsid w:val="015D1E09"/>
    <w:rsid w:val="01963FC1"/>
    <w:rsid w:val="02697903"/>
    <w:rsid w:val="02B20A25"/>
    <w:rsid w:val="02C02004"/>
    <w:rsid w:val="02F96569"/>
    <w:rsid w:val="03EA7B21"/>
    <w:rsid w:val="04DF5717"/>
    <w:rsid w:val="05943895"/>
    <w:rsid w:val="05F83EAE"/>
    <w:rsid w:val="063E7D85"/>
    <w:rsid w:val="07293586"/>
    <w:rsid w:val="07295285"/>
    <w:rsid w:val="07636392"/>
    <w:rsid w:val="07770C56"/>
    <w:rsid w:val="08723BC6"/>
    <w:rsid w:val="092217DD"/>
    <w:rsid w:val="093A7294"/>
    <w:rsid w:val="0A263993"/>
    <w:rsid w:val="0A2D3AC2"/>
    <w:rsid w:val="0AA755DF"/>
    <w:rsid w:val="0B120D44"/>
    <w:rsid w:val="0B573A9C"/>
    <w:rsid w:val="0BD27BF6"/>
    <w:rsid w:val="0C3B3C7D"/>
    <w:rsid w:val="0C711B61"/>
    <w:rsid w:val="0CAB2EAE"/>
    <w:rsid w:val="0D0429D6"/>
    <w:rsid w:val="0D621C7D"/>
    <w:rsid w:val="0E73034D"/>
    <w:rsid w:val="0E750E79"/>
    <w:rsid w:val="0F13775A"/>
    <w:rsid w:val="0F271FF8"/>
    <w:rsid w:val="0F5F45FE"/>
    <w:rsid w:val="0F9A112B"/>
    <w:rsid w:val="0FBF68DB"/>
    <w:rsid w:val="106D2F64"/>
    <w:rsid w:val="10B63710"/>
    <w:rsid w:val="10F00858"/>
    <w:rsid w:val="10F10820"/>
    <w:rsid w:val="111C2F7A"/>
    <w:rsid w:val="11665CA1"/>
    <w:rsid w:val="11C444E1"/>
    <w:rsid w:val="11E24C7F"/>
    <w:rsid w:val="124D2729"/>
    <w:rsid w:val="12751C80"/>
    <w:rsid w:val="12FD0412"/>
    <w:rsid w:val="1324792E"/>
    <w:rsid w:val="13323591"/>
    <w:rsid w:val="13951726"/>
    <w:rsid w:val="14396509"/>
    <w:rsid w:val="14BE790E"/>
    <w:rsid w:val="14DD2C3C"/>
    <w:rsid w:val="15220F67"/>
    <w:rsid w:val="1597317B"/>
    <w:rsid w:val="15FFAEBD"/>
    <w:rsid w:val="16087E1D"/>
    <w:rsid w:val="16260C11"/>
    <w:rsid w:val="17701D14"/>
    <w:rsid w:val="17735226"/>
    <w:rsid w:val="17D2237B"/>
    <w:rsid w:val="17E277EC"/>
    <w:rsid w:val="189F624C"/>
    <w:rsid w:val="18A51836"/>
    <w:rsid w:val="19BB39A8"/>
    <w:rsid w:val="19E81AB5"/>
    <w:rsid w:val="1A1C66C0"/>
    <w:rsid w:val="1A42393B"/>
    <w:rsid w:val="1A5121BF"/>
    <w:rsid w:val="1AAD45DE"/>
    <w:rsid w:val="1AEB3B7F"/>
    <w:rsid w:val="1B046F80"/>
    <w:rsid w:val="1B3267B5"/>
    <w:rsid w:val="1B3827C9"/>
    <w:rsid w:val="1B40161D"/>
    <w:rsid w:val="1B441859"/>
    <w:rsid w:val="1B6606B1"/>
    <w:rsid w:val="1B9C0AA4"/>
    <w:rsid w:val="1C5E7925"/>
    <w:rsid w:val="1CC44A70"/>
    <w:rsid w:val="1CF063DF"/>
    <w:rsid w:val="1CFD070F"/>
    <w:rsid w:val="1D5F6196"/>
    <w:rsid w:val="1D6132A5"/>
    <w:rsid w:val="1D7C69FE"/>
    <w:rsid w:val="1D8006BF"/>
    <w:rsid w:val="1D8E56D5"/>
    <w:rsid w:val="1DA43980"/>
    <w:rsid w:val="1DB16262"/>
    <w:rsid w:val="1DB57FE0"/>
    <w:rsid w:val="1DEBDE99"/>
    <w:rsid w:val="1E470C9C"/>
    <w:rsid w:val="1E6770F7"/>
    <w:rsid w:val="1E7A43DA"/>
    <w:rsid w:val="1F3C1F78"/>
    <w:rsid w:val="1F3F55F8"/>
    <w:rsid w:val="1FE7539E"/>
    <w:rsid w:val="1FF7E352"/>
    <w:rsid w:val="204A02A8"/>
    <w:rsid w:val="20671BE0"/>
    <w:rsid w:val="2081555A"/>
    <w:rsid w:val="208A2D9A"/>
    <w:rsid w:val="20963CB8"/>
    <w:rsid w:val="20992FDD"/>
    <w:rsid w:val="20A81A1B"/>
    <w:rsid w:val="20B07FB6"/>
    <w:rsid w:val="20B646FB"/>
    <w:rsid w:val="213B74B1"/>
    <w:rsid w:val="215A2310"/>
    <w:rsid w:val="21DE318A"/>
    <w:rsid w:val="21EF5B80"/>
    <w:rsid w:val="22232AD2"/>
    <w:rsid w:val="22576990"/>
    <w:rsid w:val="229E5830"/>
    <w:rsid w:val="22F47480"/>
    <w:rsid w:val="23402E58"/>
    <w:rsid w:val="23DE1C48"/>
    <w:rsid w:val="240210CD"/>
    <w:rsid w:val="24BF09F7"/>
    <w:rsid w:val="252D53FE"/>
    <w:rsid w:val="255211AD"/>
    <w:rsid w:val="259F842B"/>
    <w:rsid w:val="25EC2D81"/>
    <w:rsid w:val="277057A2"/>
    <w:rsid w:val="27F3D04F"/>
    <w:rsid w:val="280039BC"/>
    <w:rsid w:val="28FA71AB"/>
    <w:rsid w:val="2916341D"/>
    <w:rsid w:val="29206EB8"/>
    <w:rsid w:val="294D488F"/>
    <w:rsid w:val="29595666"/>
    <w:rsid w:val="29874881"/>
    <w:rsid w:val="29E325E0"/>
    <w:rsid w:val="2A452503"/>
    <w:rsid w:val="2B5923D3"/>
    <w:rsid w:val="2BA936A8"/>
    <w:rsid w:val="2BD355F5"/>
    <w:rsid w:val="2C315A5A"/>
    <w:rsid w:val="2C4B1C25"/>
    <w:rsid w:val="2C655F40"/>
    <w:rsid w:val="2D9E56F5"/>
    <w:rsid w:val="2DAA867B"/>
    <w:rsid w:val="2DD81577"/>
    <w:rsid w:val="2E667F96"/>
    <w:rsid w:val="2E8226AB"/>
    <w:rsid w:val="2EFBAA43"/>
    <w:rsid w:val="2F3E0870"/>
    <w:rsid w:val="2F6539F4"/>
    <w:rsid w:val="2FD065E6"/>
    <w:rsid w:val="2FD96870"/>
    <w:rsid w:val="2FDA210D"/>
    <w:rsid w:val="300C4EC2"/>
    <w:rsid w:val="30192FED"/>
    <w:rsid w:val="30580BC9"/>
    <w:rsid w:val="309337F7"/>
    <w:rsid w:val="30A77050"/>
    <w:rsid w:val="30E65DCB"/>
    <w:rsid w:val="30F8729D"/>
    <w:rsid w:val="30FF0C3A"/>
    <w:rsid w:val="311517F8"/>
    <w:rsid w:val="311E2ED7"/>
    <w:rsid w:val="315619EE"/>
    <w:rsid w:val="315C449C"/>
    <w:rsid w:val="31B82709"/>
    <w:rsid w:val="31D05482"/>
    <w:rsid w:val="31E47299"/>
    <w:rsid w:val="322C1F03"/>
    <w:rsid w:val="32400B34"/>
    <w:rsid w:val="3290683C"/>
    <w:rsid w:val="329E6876"/>
    <w:rsid w:val="32DC2D77"/>
    <w:rsid w:val="32FFC86B"/>
    <w:rsid w:val="333015F2"/>
    <w:rsid w:val="334B6320"/>
    <w:rsid w:val="33AFFD56"/>
    <w:rsid w:val="33D934D4"/>
    <w:rsid w:val="33E70980"/>
    <w:rsid w:val="33EB7E23"/>
    <w:rsid w:val="33FE2F6A"/>
    <w:rsid w:val="340E07E5"/>
    <w:rsid w:val="34235BF7"/>
    <w:rsid w:val="346A02A0"/>
    <w:rsid w:val="358C5FA8"/>
    <w:rsid w:val="35C15DF1"/>
    <w:rsid w:val="35C81B00"/>
    <w:rsid w:val="36074A7F"/>
    <w:rsid w:val="36923549"/>
    <w:rsid w:val="36B75FBF"/>
    <w:rsid w:val="36BD0C45"/>
    <w:rsid w:val="370E491E"/>
    <w:rsid w:val="375E5434"/>
    <w:rsid w:val="377D13E9"/>
    <w:rsid w:val="377E0212"/>
    <w:rsid w:val="37CB9F91"/>
    <w:rsid w:val="37E00298"/>
    <w:rsid w:val="37FDD804"/>
    <w:rsid w:val="383513E6"/>
    <w:rsid w:val="38B302F9"/>
    <w:rsid w:val="38F12CD3"/>
    <w:rsid w:val="38F94775"/>
    <w:rsid w:val="392971ED"/>
    <w:rsid w:val="39325651"/>
    <w:rsid w:val="39947430"/>
    <w:rsid w:val="3A5169AB"/>
    <w:rsid w:val="3A777A93"/>
    <w:rsid w:val="3A872856"/>
    <w:rsid w:val="3AAC1DDF"/>
    <w:rsid w:val="3B3763D1"/>
    <w:rsid w:val="3B7A3CDF"/>
    <w:rsid w:val="3C2F6E1E"/>
    <w:rsid w:val="3C4F64BA"/>
    <w:rsid w:val="3CDA245A"/>
    <w:rsid w:val="3D1E06B7"/>
    <w:rsid w:val="3DA27428"/>
    <w:rsid w:val="3DCEE04A"/>
    <w:rsid w:val="3E2F8169"/>
    <w:rsid w:val="3E5C856A"/>
    <w:rsid w:val="3E6FCEFC"/>
    <w:rsid w:val="3E723A22"/>
    <w:rsid w:val="3EBD6B62"/>
    <w:rsid w:val="3EDA0523"/>
    <w:rsid w:val="3EF9BBD7"/>
    <w:rsid w:val="3EFFBB14"/>
    <w:rsid w:val="3EFFBDDD"/>
    <w:rsid w:val="3F222977"/>
    <w:rsid w:val="3F3BA850"/>
    <w:rsid w:val="3F7DE56C"/>
    <w:rsid w:val="3FD25EA7"/>
    <w:rsid w:val="3FEF79C4"/>
    <w:rsid w:val="3FFF5822"/>
    <w:rsid w:val="3FFF6C16"/>
    <w:rsid w:val="3FFF6C8B"/>
    <w:rsid w:val="3FFF99D7"/>
    <w:rsid w:val="3FFFE270"/>
    <w:rsid w:val="407A6407"/>
    <w:rsid w:val="40C65821"/>
    <w:rsid w:val="4200449D"/>
    <w:rsid w:val="423A3BCC"/>
    <w:rsid w:val="424E57D2"/>
    <w:rsid w:val="42B26C49"/>
    <w:rsid w:val="433A6FE6"/>
    <w:rsid w:val="43480868"/>
    <w:rsid w:val="4350713C"/>
    <w:rsid w:val="436653E0"/>
    <w:rsid w:val="43C4431A"/>
    <w:rsid w:val="44B951CC"/>
    <w:rsid w:val="44CD14E0"/>
    <w:rsid w:val="44F20B0B"/>
    <w:rsid w:val="450F0E67"/>
    <w:rsid w:val="452E5F4C"/>
    <w:rsid w:val="45612018"/>
    <w:rsid w:val="458946E9"/>
    <w:rsid w:val="45A47C0E"/>
    <w:rsid w:val="45E12380"/>
    <w:rsid w:val="45F8417E"/>
    <w:rsid w:val="46577FD6"/>
    <w:rsid w:val="46A0052A"/>
    <w:rsid w:val="46D955A7"/>
    <w:rsid w:val="47133957"/>
    <w:rsid w:val="47A07E0C"/>
    <w:rsid w:val="48396CD0"/>
    <w:rsid w:val="4870272E"/>
    <w:rsid w:val="49856B23"/>
    <w:rsid w:val="49B0499E"/>
    <w:rsid w:val="49DC7715"/>
    <w:rsid w:val="49E14F29"/>
    <w:rsid w:val="4A023139"/>
    <w:rsid w:val="4A7B576F"/>
    <w:rsid w:val="4ABF06FE"/>
    <w:rsid w:val="4AF561A9"/>
    <w:rsid w:val="4C443EC1"/>
    <w:rsid w:val="4C4A0649"/>
    <w:rsid w:val="4C6C3115"/>
    <w:rsid w:val="4C7E5ECA"/>
    <w:rsid w:val="4C876AA5"/>
    <w:rsid w:val="4D0E00FB"/>
    <w:rsid w:val="4D144D0B"/>
    <w:rsid w:val="4D176606"/>
    <w:rsid w:val="4D4E77C4"/>
    <w:rsid w:val="4DB62929"/>
    <w:rsid w:val="4DEC4FB0"/>
    <w:rsid w:val="4E03015D"/>
    <w:rsid w:val="4E075D8A"/>
    <w:rsid w:val="4E2B0E69"/>
    <w:rsid w:val="4E9109B8"/>
    <w:rsid w:val="4E927079"/>
    <w:rsid w:val="4EC00FAD"/>
    <w:rsid w:val="4EFF08B3"/>
    <w:rsid w:val="4F1A0CE0"/>
    <w:rsid w:val="4F1C1344"/>
    <w:rsid w:val="4F579268"/>
    <w:rsid w:val="4F9843DC"/>
    <w:rsid w:val="4F9B66DF"/>
    <w:rsid w:val="4FC62A8C"/>
    <w:rsid w:val="4FDF3DF3"/>
    <w:rsid w:val="4FE20F0D"/>
    <w:rsid w:val="4FE51552"/>
    <w:rsid w:val="4FFE6291"/>
    <w:rsid w:val="50504C4B"/>
    <w:rsid w:val="509C6E7C"/>
    <w:rsid w:val="5162104E"/>
    <w:rsid w:val="522E2CD6"/>
    <w:rsid w:val="53A039CC"/>
    <w:rsid w:val="53A1505A"/>
    <w:rsid w:val="54063E08"/>
    <w:rsid w:val="543437E8"/>
    <w:rsid w:val="544374C2"/>
    <w:rsid w:val="548E6F7F"/>
    <w:rsid w:val="54D10E25"/>
    <w:rsid w:val="54F73313"/>
    <w:rsid w:val="54F80955"/>
    <w:rsid w:val="54FF48BF"/>
    <w:rsid w:val="555170A7"/>
    <w:rsid w:val="5587536D"/>
    <w:rsid w:val="559B174B"/>
    <w:rsid w:val="55CE0CF4"/>
    <w:rsid w:val="55FC45E5"/>
    <w:rsid w:val="56B22A9C"/>
    <w:rsid w:val="56F50927"/>
    <w:rsid w:val="576F295C"/>
    <w:rsid w:val="57750AC5"/>
    <w:rsid w:val="57B72A76"/>
    <w:rsid w:val="57C3426C"/>
    <w:rsid w:val="57CE1F93"/>
    <w:rsid w:val="57DAF93E"/>
    <w:rsid w:val="57F49598"/>
    <w:rsid w:val="588743D1"/>
    <w:rsid w:val="5887701A"/>
    <w:rsid w:val="598B6C60"/>
    <w:rsid w:val="59BE3D0C"/>
    <w:rsid w:val="59C0439F"/>
    <w:rsid w:val="5ABE2233"/>
    <w:rsid w:val="5AFF72AB"/>
    <w:rsid w:val="5B242EC8"/>
    <w:rsid w:val="5B377EB4"/>
    <w:rsid w:val="5B6F68AF"/>
    <w:rsid w:val="5BD04513"/>
    <w:rsid w:val="5BDF5D95"/>
    <w:rsid w:val="5BFE7528"/>
    <w:rsid w:val="5BFFC337"/>
    <w:rsid w:val="5C67A371"/>
    <w:rsid w:val="5DFF38BE"/>
    <w:rsid w:val="5E2467F1"/>
    <w:rsid w:val="5E541D16"/>
    <w:rsid w:val="5EAE4A2B"/>
    <w:rsid w:val="5EC44D45"/>
    <w:rsid w:val="5F0634E2"/>
    <w:rsid w:val="5F1A2B43"/>
    <w:rsid w:val="5F27BB5B"/>
    <w:rsid w:val="5FB837BB"/>
    <w:rsid w:val="5FCF7F47"/>
    <w:rsid w:val="5FD702DA"/>
    <w:rsid w:val="5FEF9E20"/>
    <w:rsid w:val="5FF138CA"/>
    <w:rsid w:val="60CC405A"/>
    <w:rsid w:val="617D4359"/>
    <w:rsid w:val="61E215D8"/>
    <w:rsid w:val="621B3775"/>
    <w:rsid w:val="62364782"/>
    <w:rsid w:val="623B6A33"/>
    <w:rsid w:val="62A371BE"/>
    <w:rsid w:val="62AC3D8B"/>
    <w:rsid w:val="62EA49F7"/>
    <w:rsid w:val="631877B6"/>
    <w:rsid w:val="63225AEA"/>
    <w:rsid w:val="6394356A"/>
    <w:rsid w:val="63C61B2C"/>
    <w:rsid w:val="63D40BE9"/>
    <w:rsid w:val="64102431"/>
    <w:rsid w:val="64462101"/>
    <w:rsid w:val="64A5243A"/>
    <w:rsid w:val="64ED715D"/>
    <w:rsid w:val="64F531DE"/>
    <w:rsid w:val="65373578"/>
    <w:rsid w:val="659A77B4"/>
    <w:rsid w:val="659B37B9"/>
    <w:rsid w:val="65E56C4A"/>
    <w:rsid w:val="666D4F4F"/>
    <w:rsid w:val="671F124A"/>
    <w:rsid w:val="67377D3B"/>
    <w:rsid w:val="6741644F"/>
    <w:rsid w:val="677A33C6"/>
    <w:rsid w:val="679A05F8"/>
    <w:rsid w:val="67EA1A46"/>
    <w:rsid w:val="681F6961"/>
    <w:rsid w:val="68610A2F"/>
    <w:rsid w:val="68805514"/>
    <w:rsid w:val="68882CE8"/>
    <w:rsid w:val="69316E2F"/>
    <w:rsid w:val="694E2071"/>
    <w:rsid w:val="69766163"/>
    <w:rsid w:val="697A3B33"/>
    <w:rsid w:val="69D44760"/>
    <w:rsid w:val="69DC79B5"/>
    <w:rsid w:val="6A520EC7"/>
    <w:rsid w:val="6AF87E20"/>
    <w:rsid w:val="6B20156C"/>
    <w:rsid w:val="6B322639"/>
    <w:rsid w:val="6B7F076C"/>
    <w:rsid w:val="6B7F6EC4"/>
    <w:rsid w:val="6BEB0777"/>
    <w:rsid w:val="6BF9A7C8"/>
    <w:rsid w:val="6BFB9B6A"/>
    <w:rsid w:val="6C1B3769"/>
    <w:rsid w:val="6C636C38"/>
    <w:rsid w:val="6D7B1EC5"/>
    <w:rsid w:val="6D92101A"/>
    <w:rsid w:val="6DAD01A5"/>
    <w:rsid w:val="6DB34098"/>
    <w:rsid w:val="6DB545B6"/>
    <w:rsid w:val="6DE02FB4"/>
    <w:rsid w:val="6E11552E"/>
    <w:rsid w:val="6E514CED"/>
    <w:rsid w:val="6EB563D5"/>
    <w:rsid w:val="6ED92677"/>
    <w:rsid w:val="6F225983"/>
    <w:rsid w:val="6F7F4CC2"/>
    <w:rsid w:val="6FBC733D"/>
    <w:rsid w:val="6FDC3CB4"/>
    <w:rsid w:val="6FDE39C3"/>
    <w:rsid w:val="6FF79880"/>
    <w:rsid w:val="6FFC5590"/>
    <w:rsid w:val="706D1DD0"/>
    <w:rsid w:val="70856B87"/>
    <w:rsid w:val="70D527EE"/>
    <w:rsid w:val="715B5300"/>
    <w:rsid w:val="717C6B54"/>
    <w:rsid w:val="71922D52"/>
    <w:rsid w:val="71D27F8A"/>
    <w:rsid w:val="72553024"/>
    <w:rsid w:val="72600832"/>
    <w:rsid w:val="73122968"/>
    <w:rsid w:val="731F5D5E"/>
    <w:rsid w:val="73AF7F7F"/>
    <w:rsid w:val="73BDAEA9"/>
    <w:rsid w:val="73C51AD5"/>
    <w:rsid w:val="73F7F60E"/>
    <w:rsid w:val="741E793C"/>
    <w:rsid w:val="74416441"/>
    <w:rsid w:val="745E125D"/>
    <w:rsid w:val="745E3944"/>
    <w:rsid w:val="749018A2"/>
    <w:rsid w:val="7635099D"/>
    <w:rsid w:val="76552A4E"/>
    <w:rsid w:val="76FC1FC5"/>
    <w:rsid w:val="77762421"/>
    <w:rsid w:val="777772AF"/>
    <w:rsid w:val="77B56B1F"/>
    <w:rsid w:val="77BB133C"/>
    <w:rsid w:val="77C3334E"/>
    <w:rsid w:val="77DB3424"/>
    <w:rsid w:val="77DF3687"/>
    <w:rsid w:val="77E89FB9"/>
    <w:rsid w:val="77EF0DE5"/>
    <w:rsid w:val="780F09F4"/>
    <w:rsid w:val="784FD36C"/>
    <w:rsid w:val="78A90480"/>
    <w:rsid w:val="78F32C54"/>
    <w:rsid w:val="799837C6"/>
    <w:rsid w:val="79CF3C51"/>
    <w:rsid w:val="79E45E91"/>
    <w:rsid w:val="79FA069E"/>
    <w:rsid w:val="79FB4A06"/>
    <w:rsid w:val="7A364017"/>
    <w:rsid w:val="7A3C54C9"/>
    <w:rsid w:val="7A8265E1"/>
    <w:rsid w:val="7A8376E5"/>
    <w:rsid w:val="7A8B8AA4"/>
    <w:rsid w:val="7ACFE013"/>
    <w:rsid w:val="7AD87AFF"/>
    <w:rsid w:val="7AE1560B"/>
    <w:rsid w:val="7AF3BACB"/>
    <w:rsid w:val="7B686D42"/>
    <w:rsid w:val="7B841746"/>
    <w:rsid w:val="7B9E7676"/>
    <w:rsid w:val="7BC925C9"/>
    <w:rsid w:val="7C66113B"/>
    <w:rsid w:val="7C6C5AC7"/>
    <w:rsid w:val="7C7B63BD"/>
    <w:rsid w:val="7C7F55A7"/>
    <w:rsid w:val="7CC6544B"/>
    <w:rsid w:val="7CC83BA3"/>
    <w:rsid w:val="7D0239FF"/>
    <w:rsid w:val="7D4D688E"/>
    <w:rsid w:val="7D5E40CD"/>
    <w:rsid w:val="7DCD56F2"/>
    <w:rsid w:val="7DD24CD9"/>
    <w:rsid w:val="7DD87E16"/>
    <w:rsid w:val="7DDF4190"/>
    <w:rsid w:val="7DEE81AB"/>
    <w:rsid w:val="7DFD8931"/>
    <w:rsid w:val="7E7EAECE"/>
    <w:rsid w:val="7EB7706D"/>
    <w:rsid w:val="7EBFF279"/>
    <w:rsid w:val="7EDEA7A4"/>
    <w:rsid w:val="7EF12FAC"/>
    <w:rsid w:val="7EF630D1"/>
    <w:rsid w:val="7EFB7405"/>
    <w:rsid w:val="7F001CE7"/>
    <w:rsid w:val="7F3DACF6"/>
    <w:rsid w:val="7F3FA0AE"/>
    <w:rsid w:val="7F3FBCED"/>
    <w:rsid w:val="7F54171E"/>
    <w:rsid w:val="7F65CC34"/>
    <w:rsid w:val="7F6F77B6"/>
    <w:rsid w:val="7F7E08E7"/>
    <w:rsid w:val="7F7F141F"/>
    <w:rsid w:val="7F9B3662"/>
    <w:rsid w:val="7FBBEE13"/>
    <w:rsid w:val="7FBFC12F"/>
    <w:rsid w:val="7FC70142"/>
    <w:rsid w:val="7FCA5C97"/>
    <w:rsid w:val="7FCB90B0"/>
    <w:rsid w:val="7FE47E50"/>
    <w:rsid w:val="7FEF2CD5"/>
    <w:rsid w:val="7FF71345"/>
    <w:rsid w:val="7FF92732"/>
    <w:rsid w:val="7FFF4108"/>
    <w:rsid w:val="7FFF48E7"/>
    <w:rsid w:val="7FFFCB4A"/>
    <w:rsid w:val="859F0295"/>
    <w:rsid w:val="867F8419"/>
    <w:rsid w:val="87FF5921"/>
    <w:rsid w:val="991E3BF6"/>
    <w:rsid w:val="9A7FE325"/>
    <w:rsid w:val="9EAB147B"/>
    <w:rsid w:val="9FEE7790"/>
    <w:rsid w:val="A6F5FDFF"/>
    <w:rsid w:val="A7E40B92"/>
    <w:rsid w:val="A9DF7922"/>
    <w:rsid w:val="AB7FBA01"/>
    <w:rsid w:val="ADB75595"/>
    <w:rsid w:val="ADFDA473"/>
    <w:rsid w:val="B2FB7AC7"/>
    <w:rsid w:val="B36E440D"/>
    <w:rsid w:val="B4DF2806"/>
    <w:rsid w:val="B77B1C63"/>
    <w:rsid w:val="B795F82A"/>
    <w:rsid w:val="B7A53B79"/>
    <w:rsid w:val="B9BBCB37"/>
    <w:rsid w:val="B9DA2234"/>
    <w:rsid w:val="BA7E8071"/>
    <w:rsid w:val="BAF5AD97"/>
    <w:rsid w:val="BBFF2887"/>
    <w:rsid w:val="BD79FA77"/>
    <w:rsid w:val="BDD5EE66"/>
    <w:rsid w:val="BDF78B08"/>
    <w:rsid w:val="BDFB5BB4"/>
    <w:rsid w:val="BE7FD8C2"/>
    <w:rsid w:val="BF8E1D9F"/>
    <w:rsid w:val="BF9D260B"/>
    <w:rsid w:val="CDFC07AB"/>
    <w:rsid w:val="CFEF2A95"/>
    <w:rsid w:val="D7AFB637"/>
    <w:rsid w:val="D7DF4317"/>
    <w:rsid w:val="DB5F1E65"/>
    <w:rsid w:val="DDE3D32B"/>
    <w:rsid w:val="DFABA38D"/>
    <w:rsid w:val="DFE255EB"/>
    <w:rsid w:val="DFEB7322"/>
    <w:rsid w:val="DFEDC6C5"/>
    <w:rsid w:val="DFEFDF69"/>
    <w:rsid w:val="DFFF1FD8"/>
    <w:rsid w:val="DFFF46A3"/>
    <w:rsid w:val="E2AEA8C8"/>
    <w:rsid w:val="E53D315B"/>
    <w:rsid w:val="E96EF69C"/>
    <w:rsid w:val="EBB794E9"/>
    <w:rsid w:val="ECEB2A3E"/>
    <w:rsid w:val="ED7F2F14"/>
    <w:rsid w:val="EDF34D57"/>
    <w:rsid w:val="EEFF6D86"/>
    <w:rsid w:val="EF6C02FB"/>
    <w:rsid w:val="EFBF6559"/>
    <w:rsid w:val="EFFD20B2"/>
    <w:rsid w:val="F2DF0515"/>
    <w:rsid w:val="F3BF3455"/>
    <w:rsid w:val="F3FD45BA"/>
    <w:rsid w:val="F5E95E95"/>
    <w:rsid w:val="F5EE279D"/>
    <w:rsid w:val="F66D62E1"/>
    <w:rsid w:val="F6DE4249"/>
    <w:rsid w:val="F75FE518"/>
    <w:rsid w:val="F7DD3CFB"/>
    <w:rsid w:val="F7F64C9C"/>
    <w:rsid w:val="F7FD3D00"/>
    <w:rsid w:val="F7FD6274"/>
    <w:rsid w:val="F7FF06C3"/>
    <w:rsid w:val="FABEEC97"/>
    <w:rsid w:val="FBBFF726"/>
    <w:rsid w:val="FBE783BB"/>
    <w:rsid w:val="FBF584BC"/>
    <w:rsid w:val="FBF65FD6"/>
    <w:rsid w:val="FBF720ED"/>
    <w:rsid w:val="FDBE8793"/>
    <w:rsid w:val="FDEBB115"/>
    <w:rsid w:val="FDEBD07D"/>
    <w:rsid w:val="FDEF7537"/>
    <w:rsid w:val="FDFEEF93"/>
    <w:rsid w:val="FDFFFD42"/>
    <w:rsid w:val="FE5DCED3"/>
    <w:rsid w:val="FE7F25FF"/>
    <w:rsid w:val="FEBD284D"/>
    <w:rsid w:val="FEBFCABB"/>
    <w:rsid w:val="FF3719E6"/>
    <w:rsid w:val="FF7CC91A"/>
    <w:rsid w:val="FFA33F2A"/>
    <w:rsid w:val="FFADA2AF"/>
    <w:rsid w:val="FFAF5F84"/>
    <w:rsid w:val="FFB70F49"/>
    <w:rsid w:val="FFBD4CD6"/>
    <w:rsid w:val="FFDF33B5"/>
    <w:rsid w:val="FFFBD2B6"/>
    <w:rsid w:val="FFFBF93A"/>
    <w:rsid w:val="FFFEC475"/>
    <w:rsid w:val="FFFF9CA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locked/>
    <w:uiPriority w:val="0"/>
    <w:pPr>
      <w:keepNext/>
      <w:keepLines/>
      <w:spacing w:before="260" w:after="260" w:line="416" w:lineRule="auto"/>
      <w:outlineLvl w:val="2"/>
    </w:pPr>
    <w:rPr>
      <w:b/>
      <w:bCs/>
      <w:sz w:val="32"/>
      <w:szCs w:val="32"/>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首行缩进2"/>
    <w:basedOn w:val="3"/>
    <w:next w:val="1"/>
    <w:qFormat/>
    <w:uiPriority w:val="0"/>
    <w:pPr>
      <w:widowControl/>
      <w:spacing w:after="0" w:line="360" w:lineRule="auto"/>
      <w:ind w:left="0" w:leftChars="0"/>
      <w:jc w:val="center"/>
    </w:pPr>
    <w:rPr>
      <w:rFonts w:ascii="宋体" w:hAnsi="宋体"/>
      <w:color w:val="000000"/>
      <w:kern w:val="0"/>
      <w:sz w:val="24"/>
      <w:lang w:bidi="en-US"/>
    </w:rPr>
  </w:style>
  <w:style w:type="paragraph" w:styleId="3">
    <w:name w:val="Body Text Indent 2"/>
    <w:basedOn w:val="1"/>
    <w:qFormat/>
    <w:locked/>
    <w:uiPriority w:val="0"/>
    <w:pPr>
      <w:spacing w:after="120" w:afterLines="0" w:line="480" w:lineRule="auto"/>
      <w:ind w:left="420" w:leftChars="200"/>
    </w:pPr>
  </w:style>
  <w:style w:type="paragraph" w:styleId="8">
    <w:name w:val="Normal Indent"/>
    <w:basedOn w:val="1"/>
    <w:qFormat/>
    <w:locked/>
    <w:uiPriority w:val="99"/>
  </w:style>
  <w:style w:type="paragraph" w:styleId="9">
    <w:name w:val="annotation text"/>
    <w:basedOn w:val="1"/>
    <w:link w:val="30"/>
    <w:semiHidden/>
    <w:qFormat/>
    <w:uiPriority w:val="0"/>
    <w:pPr>
      <w:jc w:val="left"/>
    </w:pPr>
    <w:rPr>
      <w:kern w:val="0"/>
      <w:sz w:val="24"/>
      <w:szCs w:val="20"/>
    </w:rPr>
  </w:style>
  <w:style w:type="paragraph" w:styleId="10">
    <w:name w:val="Body Text"/>
    <w:basedOn w:val="1"/>
    <w:next w:val="1"/>
    <w:link w:val="3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2"/>
    <w:qFormat/>
    <w:uiPriority w:val="0"/>
    <w:pPr>
      <w:spacing w:after="120"/>
      <w:ind w:left="420" w:leftChars="200"/>
    </w:pPr>
    <w:rPr>
      <w:kern w:val="0"/>
      <w:sz w:val="24"/>
      <w:szCs w:val="20"/>
    </w:rPr>
  </w:style>
  <w:style w:type="paragraph" w:styleId="12">
    <w:name w:val="header"/>
    <w:basedOn w:val="1"/>
    <w:next w:val="13"/>
    <w:link w:val="33"/>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qFormat/>
    <w:uiPriority w:val="0"/>
    <w:rPr>
      <w:rFonts w:ascii="黑体" w:hAnsi="Times New Roman" w:eastAsia="宋体" w:cs="Times New Roman"/>
      <w:lang w:val="en-US" w:eastAsia="zh-CN" w:bidi="ar-SA"/>
    </w:rPr>
  </w:style>
  <w:style w:type="paragraph" w:styleId="14">
    <w:name w:val="Plain Text"/>
    <w:basedOn w:val="1"/>
    <w:link w:val="34"/>
    <w:qFormat/>
    <w:locked/>
    <w:uiPriority w:val="0"/>
    <w:rPr>
      <w:rFonts w:ascii="宋体" w:hAnsi="Courier New" w:cs="Courier New"/>
      <w:szCs w:val="21"/>
    </w:rPr>
  </w:style>
  <w:style w:type="paragraph" w:styleId="15">
    <w:name w:val="Date"/>
    <w:basedOn w:val="1"/>
    <w:next w:val="1"/>
    <w:link w:val="35"/>
    <w:qFormat/>
    <w:uiPriority w:val="0"/>
    <w:pPr>
      <w:ind w:left="100" w:leftChars="2500"/>
    </w:pPr>
    <w:rPr>
      <w:kern w:val="0"/>
      <w:sz w:val="24"/>
      <w:szCs w:val="20"/>
    </w:rPr>
  </w:style>
  <w:style w:type="paragraph" w:styleId="16">
    <w:name w:val="Balloon Text"/>
    <w:basedOn w:val="1"/>
    <w:link w:val="36"/>
    <w:semiHidden/>
    <w:qFormat/>
    <w:uiPriority w:val="0"/>
    <w:rPr>
      <w:kern w:val="0"/>
      <w:sz w:val="18"/>
      <w:szCs w:val="20"/>
    </w:rPr>
  </w:style>
  <w:style w:type="paragraph" w:styleId="17">
    <w:name w:val="footer"/>
    <w:basedOn w:val="1"/>
    <w:link w:val="37"/>
    <w:qFormat/>
    <w:uiPriority w:val="99"/>
    <w:pPr>
      <w:tabs>
        <w:tab w:val="center" w:pos="4153"/>
        <w:tab w:val="right" w:pos="8306"/>
      </w:tabs>
      <w:snapToGrid w:val="0"/>
      <w:jc w:val="left"/>
    </w:pPr>
    <w:rPr>
      <w:kern w:val="0"/>
      <w:sz w:val="18"/>
      <w:szCs w:val="20"/>
    </w:rPr>
  </w:style>
  <w:style w:type="paragraph" w:styleId="18">
    <w:name w:val="toc 1"/>
    <w:basedOn w:val="1"/>
    <w:next w:val="1"/>
    <w:qFormat/>
    <w:locked/>
    <w:uiPriority w:val="0"/>
    <w:pPr>
      <w:tabs>
        <w:tab w:val="right" w:leader="dot" w:pos="8834"/>
      </w:tabs>
      <w:adjustRightInd w:val="0"/>
      <w:snapToGrid w:val="0"/>
      <w:spacing w:line="480" w:lineRule="auto"/>
    </w:pPr>
  </w:style>
  <w:style w:type="paragraph" w:styleId="19">
    <w:name w:val="table of figures"/>
    <w:basedOn w:val="1"/>
    <w:next w:val="1"/>
    <w:unhideWhenUsed/>
    <w:qFormat/>
    <w:locked/>
    <w:uiPriority w:val="0"/>
    <w:pPr>
      <w:widowControl/>
      <w:spacing w:before="100" w:beforeAutospacing="1" w:after="100" w:afterAutospacing="1" w:line="360" w:lineRule="auto"/>
      <w:ind w:leftChars="200" w:hanging="200" w:hangingChars="200"/>
      <w:jc w:val="left"/>
    </w:pPr>
    <w:rPr>
      <w:color w:val="000000"/>
      <w:sz w:val="24"/>
    </w:rPr>
  </w:style>
  <w:style w:type="paragraph" w:styleId="20">
    <w:name w:val="Normal (Web)"/>
    <w:basedOn w:val="1"/>
    <w:next w:val="1"/>
    <w:link w:val="38"/>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39"/>
    <w:semiHidden/>
    <w:qFormat/>
    <w:uiPriority w:val="0"/>
    <w:rPr>
      <w:b/>
      <w:kern w:val="2"/>
    </w:rPr>
  </w:style>
  <w:style w:type="paragraph" w:styleId="22">
    <w:name w:val="Body Text First Indent 2"/>
    <w:basedOn w:val="11"/>
    <w:next w:val="1"/>
    <w:link w:val="40"/>
    <w:qFormat/>
    <w:locked/>
    <w:uiPriority w:val="0"/>
    <w:pPr>
      <w:ind w:firstLine="420" w:firstLineChars="200"/>
    </w:pPr>
    <w:rPr>
      <w:kern w:val="2"/>
      <w:sz w:val="21"/>
      <w:szCs w:val="24"/>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locked/>
    <w:uiPriority w:val="0"/>
  </w:style>
  <w:style w:type="character" w:styleId="27">
    <w:name w:val="Emphasis"/>
    <w:basedOn w:val="25"/>
    <w:qFormat/>
    <w:locked/>
    <w:uiPriority w:val="0"/>
    <w:rPr>
      <w:i/>
    </w:rPr>
  </w:style>
  <w:style w:type="character" w:styleId="28">
    <w:name w:val="Hyperlink"/>
    <w:basedOn w:val="25"/>
    <w:qFormat/>
    <w:locked/>
    <w:uiPriority w:val="0"/>
    <w:rPr>
      <w:color w:val="0000FF"/>
      <w:u w:val="single"/>
    </w:rPr>
  </w:style>
  <w:style w:type="character" w:styleId="29">
    <w:name w:val="annotation reference"/>
    <w:semiHidden/>
    <w:qFormat/>
    <w:uiPriority w:val="0"/>
    <w:rPr>
      <w:sz w:val="21"/>
    </w:rPr>
  </w:style>
  <w:style w:type="character" w:customStyle="1" w:styleId="30">
    <w:name w:val=" Char Char11"/>
    <w:link w:val="9"/>
    <w:qFormat/>
    <w:locked/>
    <w:uiPriority w:val="0"/>
    <w:rPr>
      <w:rFonts w:ascii="Times New Roman" w:hAnsi="Times New Roman" w:eastAsia="宋体"/>
      <w:sz w:val="24"/>
    </w:rPr>
  </w:style>
  <w:style w:type="character" w:customStyle="1" w:styleId="31">
    <w:name w:val=" Char Char10"/>
    <w:link w:val="10"/>
    <w:qFormat/>
    <w:locked/>
    <w:uiPriority w:val="0"/>
    <w:rPr>
      <w:sz w:val="18"/>
    </w:rPr>
  </w:style>
  <w:style w:type="character" w:customStyle="1" w:styleId="32">
    <w:name w:val=" Char Char9"/>
    <w:link w:val="11"/>
    <w:semiHidden/>
    <w:qFormat/>
    <w:locked/>
    <w:uiPriority w:val="0"/>
    <w:rPr>
      <w:rFonts w:ascii="Times New Roman" w:hAnsi="Times New Roman" w:eastAsia="宋体"/>
      <w:sz w:val="24"/>
    </w:rPr>
  </w:style>
  <w:style w:type="character" w:customStyle="1" w:styleId="33">
    <w:name w:val=" Char Char4"/>
    <w:link w:val="12"/>
    <w:qFormat/>
    <w:locked/>
    <w:uiPriority w:val="0"/>
    <w:rPr>
      <w:sz w:val="18"/>
    </w:rPr>
  </w:style>
  <w:style w:type="character" w:customStyle="1" w:styleId="34">
    <w:name w:val=" Char Char8"/>
    <w:link w:val="14"/>
    <w:qFormat/>
    <w:uiPriority w:val="0"/>
    <w:rPr>
      <w:rFonts w:ascii="宋体" w:hAnsi="Courier New" w:eastAsia="宋体" w:cs="Courier New"/>
      <w:kern w:val="2"/>
      <w:sz w:val="21"/>
      <w:szCs w:val="21"/>
      <w:lang w:val="en-US" w:eastAsia="zh-CN" w:bidi="ar-SA"/>
    </w:rPr>
  </w:style>
  <w:style w:type="character" w:customStyle="1" w:styleId="35">
    <w:name w:val=" Char Char7"/>
    <w:link w:val="15"/>
    <w:qFormat/>
    <w:locked/>
    <w:uiPriority w:val="0"/>
    <w:rPr>
      <w:rFonts w:ascii="Times New Roman" w:hAnsi="Times New Roman" w:eastAsia="宋体"/>
      <w:sz w:val="24"/>
    </w:rPr>
  </w:style>
  <w:style w:type="character" w:customStyle="1" w:styleId="36">
    <w:name w:val=" Char Char6"/>
    <w:link w:val="16"/>
    <w:semiHidden/>
    <w:qFormat/>
    <w:locked/>
    <w:uiPriority w:val="0"/>
    <w:rPr>
      <w:rFonts w:ascii="Times New Roman" w:hAnsi="Times New Roman" w:eastAsia="宋体"/>
      <w:sz w:val="18"/>
    </w:rPr>
  </w:style>
  <w:style w:type="character" w:customStyle="1" w:styleId="37">
    <w:name w:val=" Char Char5"/>
    <w:link w:val="17"/>
    <w:qFormat/>
    <w:locked/>
    <w:uiPriority w:val="99"/>
    <w:rPr>
      <w:sz w:val="18"/>
    </w:rPr>
  </w:style>
  <w:style w:type="character" w:customStyle="1" w:styleId="38">
    <w:name w:val=" Char Char3"/>
    <w:link w:val="20"/>
    <w:qFormat/>
    <w:locked/>
    <w:uiPriority w:val="0"/>
    <w:rPr>
      <w:rFonts w:ascii="宋体" w:hAnsi="宋体" w:eastAsia="宋体"/>
      <w:sz w:val="24"/>
    </w:rPr>
  </w:style>
  <w:style w:type="character" w:customStyle="1" w:styleId="39">
    <w:name w:val=" Char Char2"/>
    <w:link w:val="21"/>
    <w:semiHidden/>
    <w:qFormat/>
    <w:locked/>
    <w:uiPriority w:val="0"/>
    <w:rPr>
      <w:rFonts w:ascii="Times New Roman" w:hAnsi="Times New Roman" w:eastAsia="宋体"/>
      <w:b/>
      <w:kern w:val="2"/>
      <w:sz w:val="24"/>
    </w:rPr>
  </w:style>
  <w:style w:type="character" w:customStyle="1" w:styleId="40">
    <w:name w:val=" Char Char1"/>
    <w:link w:val="22"/>
    <w:qFormat/>
    <w:uiPriority w:val="0"/>
    <w:rPr>
      <w:rFonts w:eastAsia="宋体"/>
      <w:kern w:val="2"/>
      <w:sz w:val="21"/>
      <w:szCs w:val="24"/>
      <w:lang w:bidi="ar-SA"/>
    </w:rPr>
  </w:style>
  <w:style w:type="paragraph" w:customStyle="1" w:styleId="41">
    <w:name w:val="表格内容"/>
    <w:basedOn w:val="1"/>
    <w:unhideWhenUsed/>
    <w:qFormat/>
    <w:uiPriority w:val="0"/>
    <w:pPr>
      <w:overflowPunct w:val="0"/>
      <w:adjustRightInd w:val="0"/>
      <w:spacing w:before="40" w:beforeLines="0" w:after="60" w:afterLines="0" w:line="200" w:lineRule="atLeast"/>
      <w:ind w:firstLine="0" w:firstLineChars="0"/>
      <w:textAlignment w:val="baseline"/>
    </w:pPr>
    <w:rPr>
      <w:rFonts w:hint="default" w:ascii="Arial" w:hAnsi="Arial" w:eastAsia="仿宋_GB2312"/>
      <w:kern w:val="0"/>
      <w:sz w:val="24"/>
      <w:szCs w:val="24"/>
    </w:rPr>
  </w:style>
  <w:style w:type="character" w:customStyle="1" w:styleId="42">
    <w:name w:val="页脚 字符"/>
    <w:basedOn w:val="25"/>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我正文"/>
    <w:basedOn w:val="1"/>
    <w:qFormat/>
    <w:uiPriority w:val="0"/>
    <w:pPr>
      <w:spacing w:line="360" w:lineRule="auto"/>
      <w:ind w:firstLine="480" w:firstLineChars="200"/>
    </w:pPr>
    <w:rPr>
      <w:rFonts w:ascii="Calibri" w:hAnsi="Calibri" w:eastAsia="微软雅黑"/>
      <w:sz w:val="24"/>
      <w:szCs w:val="20"/>
    </w:rPr>
  </w:style>
  <w:style w:type="paragraph" w:customStyle="1" w:styleId="51">
    <w:name w:val="Table Paragraph"/>
    <w:basedOn w:val="1"/>
    <w:qFormat/>
    <w:uiPriority w:val="0"/>
    <w:pPr>
      <w:autoSpaceDE w:val="0"/>
      <w:autoSpaceDN w:val="0"/>
      <w:jc w:val="center"/>
    </w:pPr>
    <w:rPr>
      <w:rFonts w:ascii="Calibri" w:hAnsi="Calibri" w:eastAsia="Times New Roman" w:cs="宋体"/>
      <w:kern w:val="0"/>
      <w:sz w:val="22"/>
      <w:lang w:eastAsia="en-US"/>
    </w:rPr>
  </w:style>
  <w:style w:type="paragraph" w:customStyle="1" w:styleId="52">
    <w:name w:val="正文 二院"/>
    <w:basedOn w:val="1"/>
    <w:qFormat/>
    <w:uiPriority w:val="0"/>
    <w:pPr>
      <w:spacing w:line="360" w:lineRule="auto"/>
      <w:ind w:firstLine="200" w:firstLineChars="200"/>
    </w:pPr>
    <w:rPr>
      <w:color w:val="000000"/>
      <w:sz w:val="24"/>
      <w:szCs w:val="22"/>
    </w:rPr>
  </w:style>
  <w:style w:type="character" w:customStyle="1" w:styleId="53">
    <w:name w:val=" Char Char"/>
    <w:qFormat/>
    <w:locked/>
    <w:uiPriority w:val="0"/>
    <w:rPr>
      <w:rFonts w:ascii="宋体" w:hAnsi="宋体" w:eastAsia="宋体"/>
      <w:sz w:val="24"/>
    </w:rPr>
  </w:style>
  <w:style w:type="paragraph" w:customStyle="1" w:styleId="54">
    <w:name w:val="WPSOffice手动目录 1"/>
    <w:basedOn w:val="1"/>
    <w:qFormat/>
    <w:uiPriority w:val="0"/>
    <w:pPr>
      <w:widowControl/>
      <w:jc w:val="left"/>
    </w:pPr>
    <w:rPr>
      <w:kern w:val="0"/>
      <w:sz w:val="20"/>
      <w:szCs w:val="20"/>
    </w:rPr>
  </w:style>
  <w:style w:type="character" w:customStyle="1" w:styleId="55">
    <w:name w:val="【表中文字】 Char"/>
    <w:link w:val="56"/>
    <w:qFormat/>
    <w:uiPriority w:val="0"/>
    <w:rPr>
      <w:kern w:val="2"/>
      <w:sz w:val="21"/>
      <w:lang w:bidi="ar-SA"/>
    </w:rPr>
  </w:style>
  <w:style w:type="paragraph" w:customStyle="1" w:styleId="56">
    <w:name w:val="【表中文字】"/>
    <w:basedOn w:val="1"/>
    <w:next w:val="1"/>
    <w:link w:val="55"/>
    <w:qFormat/>
    <w:uiPriority w:val="0"/>
    <w:pPr>
      <w:jc w:val="center"/>
    </w:pPr>
    <w:rPr>
      <w:szCs w:val="20"/>
    </w:rPr>
  </w:style>
  <w:style w:type="paragraph" w:customStyle="1" w:styleId="57">
    <w:name w:val="0正文"/>
    <w:basedOn w:val="1"/>
    <w:qFormat/>
    <w:uiPriority w:val="0"/>
    <w:pPr>
      <w:spacing w:line="360" w:lineRule="auto"/>
      <w:ind w:firstLine="200" w:firstLineChars="200"/>
    </w:pPr>
    <w:rPr>
      <w:kern w:val="0"/>
      <w:sz w:val="24"/>
    </w:rPr>
  </w:style>
  <w:style w:type="character" w:customStyle="1" w:styleId="58">
    <w:name w:val="font11"/>
    <w:basedOn w:val="25"/>
    <w:qFormat/>
    <w:uiPriority w:val="0"/>
    <w:rPr>
      <w:rFonts w:hint="default" w:ascii="Times New Roman" w:hAnsi="Times New Roman" w:cs="Times New Roman"/>
      <w:color w:val="000000"/>
      <w:sz w:val="18"/>
      <w:szCs w:val="18"/>
      <w:u w:val="none"/>
      <w:vertAlign w:val="subscript"/>
    </w:rPr>
  </w:style>
  <w:style w:type="paragraph" w:customStyle="1" w:styleId="59">
    <w:name w:val="流程图文字"/>
    <w:basedOn w:val="1"/>
    <w:qFormat/>
    <w:uiPriority w:val="0"/>
    <w:pPr>
      <w:spacing w:before="100" w:beforeAutospacing="1" w:after="40"/>
      <w:jc w:val="center"/>
    </w:pPr>
  </w:style>
  <w:style w:type="paragraph" w:customStyle="1" w:styleId="60">
    <w:name w:val="title of table"/>
    <w:basedOn w:val="1"/>
    <w:qFormat/>
    <w:uiPriority w:val="0"/>
    <w:pPr>
      <w:adjustRightInd w:val="0"/>
      <w:snapToGrid w:val="0"/>
      <w:spacing w:line="360" w:lineRule="auto"/>
      <w:jc w:val="center"/>
    </w:pPr>
    <w:rPr>
      <w:rFonts w:ascii="宋体" w:hAnsi="宋体"/>
      <w:b/>
      <w:bCs/>
      <w:color w:val="000000"/>
      <w:sz w:val="24"/>
      <w:szCs w:val="28"/>
    </w:rPr>
  </w:style>
  <w:style w:type="character" w:customStyle="1" w:styleId="61">
    <w:name w:val="正文(首行缩进) Char"/>
    <w:link w:val="62"/>
    <w:qFormat/>
    <w:uiPriority w:val="0"/>
    <w:rPr>
      <w:rFonts w:eastAsia="宋体"/>
      <w:bCs/>
      <w:snapToGrid w:val="0"/>
      <w:sz w:val="24"/>
      <w:szCs w:val="24"/>
      <w:lang w:val="en-US" w:eastAsia="zh-CN" w:bidi="ar-SA"/>
    </w:rPr>
  </w:style>
  <w:style w:type="paragraph" w:customStyle="1" w:styleId="62">
    <w:name w:val="正文(首行缩进)"/>
    <w:basedOn w:val="1"/>
    <w:link w:val="61"/>
    <w:qFormat/>
    <w:uiPriority w:val="0"/>
    <w:pPr>
      <w:tabs>
        <w:tab w:val="left" w:pos="4584"/>
      </w:tabs>
      <w:adjustRightInd w:val="0"/>
      <w:snapToGrid w:val="0"/>
      <w:spacing w:line="360" w:lineRule="auto"/>
      <w:ind w:firstLine="200" w:firstLineChars="200"/>
    </w:pPr>
    <w:rPr>
      <w:bCs/>
      <w:snapToGrid w:val="0"/>
      <w:kern w:val="0"/>
      <w:sz w:val="24"/>
    </w:rPr>
  </w:style>
  <w:style w:type="character" w:customStyle="1" w:styleId="63">
    <w:name w:val="表格标题 Char"/>
    <w:link w:val="64"/>
    <w:qFormat/>
    <w:uiPriority w:val="0"/>
    <w:rPr>
      <w:rFonts w:eastAsia="宋体"/>
      <w:kern w:val="2"/>
      <w:sz w:val="24"/>
      <w:szCs w:val="24"/>
      <w:lang w:val="en-US" w:eastAsia="zh-CN" w:bidi="ar-SA"/>
    </w:rPr>
  </w:style>
  <w:style w:type="paragraph" w:customStyle="1" w:styleId="64">
    <w:name w:val="表格标题"/>
    <w:basedOn w:val="1"/>
    <w:link w:val="63"/>
    <w:qFormat/>
    <w:uiPriority w:val="0"/>
    <w:pPr>
      <w:spacing w:before="60" w:line="460" w:lineRule="exact"/>
      <w:jc w:val="center"/>
    </w:pPr>
    <w:rPr>
      <w:sz w:val="24"/>
    </w:rPr>
  </w:style>
  <w:style w:type="character" w:customStyle="1" w:styleId="65">
    <w:name w:val="font61"/>
    <w:basedOn w:val="25"/>
    <w:qFormat/>
    <w:uiPriority w:val="0"/>
    <w:rPr>
      <w:rFonts w:hint="default" w:ascii="Times New Roman" w:hAnsi="Times New Roman" w:cs="Times New Roman"/>
      <w:color w:val="FF0000"/>
      <w:sz w:val="21"/>
      <w:szCs w:val="21"/>
      <w:u w:val="none"/>
      <w:vertAlign w:val="subscript"/>
    </w:rPr>
  </w:style>
  <w:style w:type="character" w:customStyle="1" w:styleId="66">
    <w:name w:val="font01"/>
    <w:basedOn w:val="25"/>
    <w:qFormat/>
    <w:uiPriority w:val="0"/>
    <w:rPr>
      <w:rFonts w:hint="default" w:ascii="Times New Roman" w:hAnsi="Times New Roman" w:cs="Times New Roman"/>
      <w:color w:val="000000"/>
      <w:sz w:val="21"/>
      <w:szCs w:val="21"/>
      <w:u w:val="none"/>
    </w:rPr>
  </w:style>
  <w:style w:type="character" w:customStyle="1" w:styleId="67">
    <w:name w:val="font31"/>
    <w:basedOn w:val="25"/>
    <w:qFormat/>
    <w:uiPriority w:val="0"/>
    <w:rPr>
      <w:rFonts w:hint="default" w:ascii="Times New Roman" w:hAnsi="Times New Roman" w:cs="Times New Roman"/>
      <w:color w:val="000000"/>
      <w:sz w:val="21"/>
      <w:szCs w:val="21"/>
      <w:u w:val="none"/>
      <w:vertAlign w:val="superscript"/>
    </w:rPr>
  </w:style>
  <w:style w:type="character" w:customStyle="1" w:styleId="68">
    <w:name w:val="font41"/>
    <w:basedOn w:val="25"/>
    <w:qFormat/>
    <w:uiPriority w:val="0"/>
    <w:rPr>
      <w:rFonts w:hint="eastAsia" w:ascii="宋体" w:hAnsi="宋体" w:eastAsia="宋体"/>
      <w:color w:val="000000"/>
      <w:sz w:val="21"/>
      <w:szCs w:val="21"/>
      <w:u w:val="none"/>
    </w:rPr>
  </w:style>
  <w:style w:type="character" w:customStyle="1" w:styleId="69">
    <w:name w:val="font21"/>
    <w:basedOn w:val="25"/>
    <w:qFormat/>
    <w:uiPriority w:val="0"/>
    <w:rPr>
      <w:rFonts w:hint="eastAsia" w:ascii="宋体" w:hAnsi="宋体" w:eastAsia="宋体"/>
      <w:color w:val="000000"/>
      <w:sz w:val="21"/>
      <w:szCs w:val="21"/>
      <w:u w:val="none"/>
    </w:rPr>
  </w:style>
  <w:style w:type="paragraph" w:customStyle="1" w:styleId="70">
    <w:name w:val="WPS Plain"/>
    <w:basedOn w:val="1"/>
    <w:qFormat/>
    <w:uiPriority w:val="0"/>
    <w:pPr>
      <w:widowControl/>
      <w:jc w:val="left"/>
    </w:pPr>
    <w:rPr>
      <w:kern w:val="0"/>
      <w:sz w:val="24"/>
    </w:rPr>
  </w:style>
  <w:style w:type="character" w:customStyle="1" w:styleId="71">
    <w:name w:val="font51"/>
    <w:basedOn w:val="25"/>
    <w:qFormat/>
    <w:uiPriority w:val="0"/>
    <w:rPr>
      <w:rFonts w:hint="default" w:ascii="Times New Roman" w:hAnsi="Times New Roman" w:cs="Times New Roman"/>
      <w:color w:val="000000"/>
      <w:sz w:val="21"/>
      <w:szCs w:val="21"/>
      <w:u w:val="none"/>
      <w:vertAlign w:val="superscript"/>
    </w:rPr>
  </w:style>
  <w:style w:type="paragraph" w:customStyle="1" w:styleId="72">
    <w:name w:val="Normal"/>
    <w:qFormat/>
    <w:uiPriority w:val="0"/>
    <w:pPr>
      <w:jc w:val="both"/>
    </w:pPr>
    <w:rPr>
      <w:rFonts w:ascii="Calibri" w:hAnsi="Calibri" w:eastAsia="宋体" w:cs="Calibri"/>
      <w:kern w:val="2"/>
      <w:sz w:val="21"/>
      <w:szCs w:val="21"/>
      <w:lang w:val="en-US" w:eastAsia="zh-CN" w:bidi="ar-SA"/>
    </w:rPr>
  </w:style>
  <w:style w:type="character" w:customStyle="1" w:styleId="73">
    <w:name w:val="正文文本缩进 Char"/>
    <w:semiHidden/>
    <w:qFormat/>
    <w:locked/>
    <w:uiPriority w:val="0"/>
    <w:rPr>
      <w:rFonts w:ascii="Times New Roman" w:hAnsi="Times New Roman" w:eastAsia="宋体"/>
      <w:sz w:val="24"/>
    </w:rPr>
  </w:style>
  <w:style w:type="character" w:customStyle="1" w:styleId="74">
    <w:name w:val="批注文字 Char"/>
    <w:qFormat/>
    <w:locked/>
    <w:uiPriority w:val="0"/>
    <w:rPr>
      <w:rFonts w:ascii="Times New Roman" w:hAnsi="Times New Roman" w:eastAsia="宋体"/>
      <w:sz w:val="24"/>
    </w:rPr>
  </w:style>
  <w:style w:type="character" w:customStyle="1" w:styleId="75">
    <w:name w:val="批注主题 Char"/>
    <w:semiHidden/>
    <w:qFormat/>
    <w:locked/>
    <w:uiPriority w:val="0"/>
    <w:rPr>
      <w:rFonts w:ascii="Times New Roman" w:hAnsi="Times New Roman" w:eastAsia="宋体"/>
      <w:b/>
      <w:kern w:val="2"/>
      <w:sz w:val="24"/>
    </w:rPr>
  </w:style>
  <w:style w:type="paragraph" w:customStyle="1" w:styleId="76">
    <w:name w:val="正文缩进1"/>
    <w:basedOn w:val="1"/>
    <w:next w:val="1"/>
    <w:qFormat/>
    <w:uiPriority w:val="0"/>
    <w:pPr>
      <w:spacing w:line="240" w:lineRule="auto"/>
      <w:ind w:firstLine="420"/>
    </w:pPr>
    <w:rPr>
      <w:rFonts w:ascii="宋体"/>
      <w:sz w:val="28"/>
    </w:rPr>
  </w:style>
  <w:style w:type="paragraph" w:customStyle="1" w:styleId="77">
    <w:name w:val="Normal (Web)1"/>
    <w:basedOn w:val="1"/>
    <w:next w:val="78"/>
    <w:qFormat/>
    <w:uiPriority w:val="0"/>
    <w:pPr>
      <w:widowControl/>
    </w:pPr>
    <w:rPr>
      <w:rFonts w:ascii="宋体" w:eastAsia="宋体"/>
      <w:sz w:val="24"/>
      <w:szCs w:val="21"/>
    </w:rPr>
  </w:style>
  <w:style w:type="paragraph" w:customStyle="1" w:styleId="78">
    <w:name w:val="Date1"/>
    <w:basedOn w:val="1"/>
    <w:next w:val="1"/>
    <w:qFormat/>
    <w:uiPriority w:val="0"/>
    <w:pPr>
      <w:ind w:left="2500" w:leftChars="2500"/>
    </w:pPr>
  </w:style>
  <w:style w:type="paragraph" w:customStyle="1" w:styleId="7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80">
    <w:name w:val="s1"/>
    <w:basedOn w:val="25"/>
    <w:qFormat/>
    <w:uiPriority w:val="0"/>
    <w:rPr>
      <w:rFonts w:ascii="Helvetica Neue" w:hAnsi="Helvetica Neue" w:eastAsia="Helvetica Neue" w:cs="Helvetica Neue"/>
      <w:sz w:val="28"/>
      <w:szCs w:val="28"/>
    </w:rPr>
  </w:style>
  <w:style w:type="paragraph" w:customStyle="1" w:styleId="81">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 w:type="paragraph" w:customStyle="1" w:styleId="82">
    <w:name w:val="阿威表格1"/>
    <w:qFormat/>
    <w:uiPriority w:val="0"/>
    <w:pPr>
      <w:widowControl w:val="0"/>
      <w:spacing w:line="240" w:lineRule="auto"/>
      <w:ind w:firstLine="0" w:firstLineChars="0"/>
      <w:jc w:val="center"/>
      <w:textAlignment w:val="center"/>
    </w:pPr>
    <w:rPr>
      <w:rFonts w:ascii="Times New Roman" w:hAnsi="Times New Roman" w:eastAsia="宋体" w:cs="Times New Roman"/>
      <w:snapToGrid w:val="0"/>
      <w:color w:val="000000"/>
      <w:kern w:val="0"/>
      <w:sz w:val="21"/>
      <w:szCs w:val="21"/>
      <w:lang w:val="en-US" w:eastAsia="en-US" w:bidi="ar-SA"/>
    </w:rPr>
  </w:style>
  <w:style w:type="table" w:customStyle="1" w:styleId="83">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wmf"/><Relationship Id="rId36" Type="http://schemas.openxmlformats.org/officeDocument/2006/relationships/oleObject" Target="embeddings/oleObject11.bin"/><Relationship Id="rId35" Type="http://schemas.openxmlformats.org/officeDocument/2006/relationships/image" Target="media/image16.wmf"/><Relationship Id="rId34" Type="http://schemas.openxmlformats.org/officeDocument/2006/relationships/oleObject" Target="embeddings/oleObject10.bin"/><Relationship Id="rId33" Type="http://schemas.openxmlformats.org/officeDocument/2006/relationships/image" Target="media/image15.wmf"/><Relationship Id="rId32" Type="http://schemas.openxmlformats.org/officeDocument/2006/relationships/oleObject" Target="embeddings/oleObject9.bin"/><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41</Pages>
  <Words>8537</Words>
  <Characters>9311</Characters>
  <Lines>1</Lines>
  <Paragraphs>1</Paragraphs>
  <TotalTime>1</TotalTime>
  <ScaleCrop>false</ScaleCrop>
  <LinksUpToDate>false</LinksUpToDate>
  <CharactersWithSpaces>9364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2020-12-30T01:29:00Z</dcterms:created>
  <dc:creator>lhj</dc:creator>
  <cp:lastModifiedBy>天真太太</cp:lastModifiedBy>
  <cp:lastPrinted>2022-08-24T10:37:00Z</cp:lastPrinted>
  <dcterms:modified xsi:type="dcterms:W3CDTF">2025-06-24T07:36:49Z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A37F0622AC0343CD91ADAB686C133C4E_13</vt:lpwstr>
  </property>
  <property fmtid="{D5CDD505-2E9C-101B-9397-08002B2CF9AE}" pid="4" name="KSOTemplateDocerSaveRecord">
    <vt:lpwstr>eyJoZGlkIjoiNzYyNWZkYTJhNTE1MzM3MzgyZTFhOGQ5YzZkZDhkYWIiLCJ1c2VySWQiOiIzMTkzNzEwMTYifQ==</vt:lpwstr>
  </property>
</Properties>
</file>