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63ED9A">
      <w:pPr>
        <w:rPr>
          <w:rFonts w:hint="eastAsia" w:ascii="仿宋_GB2312" w:hAnsi="仿宋_GB2312" w:eastAsia="仿宋_GB2312" w:cs="仿宋_GB2312"/>
          <w:color w:val="auto"/>
          <w:sz w:val="36"/>
          <w:szCs w:val="36"/>
        </w:rPr>
      </w:pPr>
    </w:p>
    <w:p w14:paraId="597925B7">
      <w:pPr>
        <w:rPr>
          <w:rFonts w:ascii="仿宋_GB2312" w:hAnsi="仿宋_GB2312" w:eastAsia="仿宋_GB2312" w:cs="仿宋_GB2312"/>
          <w:color w:val="auto"/>
          <w:sz w:val="36"/>
          <w:szCs w:val="36"/>
        </w:rPr>
      </w:pPr>
    </w:p>
    <w:p w14:paraId="1E0AFEDB">
      <w:pPr>
        <w:rPr>
          <w:rFonts w:ascii="仿宋_GB2312" w:hAnsi="仿宋_GB2312" w:eastAsia="仿宋_GB2312" w:cs="仿宋_GB2312"/>
          <w:color w:val="auto"/>
          <w:sz w:val="36"/>
          <w:szCs w:val="36"/>
        </w:rPr>
      </w:pPr>
    </w:p>
    <w:p w14:paraId="2213DA29">
      <w:pPr>
        <w:adjustRightInd w:val="0"/>
        <w:snapToGrid w:val="0"/>
        <w:spacing w:line="360" w:lineRule="auto"/>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19B8FA6D">
      <w:pPr>
        <w:adjustRightInd w:val="0"/>
        <w:snapToGrid w:val="0"/>
        <w:spacing w:before="192" w:beforeLines="80" w:line="360" w:lineRule="auto"/>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6B5B8943">
      <w:pPr>
        <w:adjustRightInd w:val="0"/>
        <w:snapToGrid w:val="0"/>
        <w:spacing w:line="288" w:lineRule="auto"/>
        <w:jc w:val="center"/>
        <w:outlineLvl w:val="0"/>
        <w:rPr>
          <w:rFonts w:ascii="华文仿宋" w:hAnsi="华文仿宋" w:eastAsia="华文仿宋" w:cs="华文仿宋"/>
          <w:color w:val="auto"/>
          <w:kern w:val="44"/>
          <w:sz w:val="44"/>
          <w:szCs w:val="44"/>
        </w:rPr>
      </w:pPr>
    </w:p>
    <w:p w14:paraId="5F90DB78">
      <w:pPr>
        <w:pStyle w:val="46"/>
        <w:rPr>
          <w:rFonts w:eastAsia="仿宋"/>
          <w:color w:val="auto"/>
          <w:sz w:val="52"/>
          <w:szCs w:val="52"/>
        </w:rPr>
      </w:pPr>
    </w:p>
    <w:p w14:paraId="64E0C56A">
      <w:pPr>
        <w:pStyle w:val="57"/>
        <w:rPr>
          <w:color w:val="auto"/>
        </w:rPr>
      </w:pPr>
    </w:p>
    <w:p w14:paraId="76F4B8D5">
      <w:pPr>
        <w:ind w:firstLine="1040"/>
        <w:rPr>
          <w:rFonts w:eastAsia="仿宋"/>
          <w:color w:val="auto"/>
          <w:sz w:val="44"/>
          <w:szCs w:val="44"/>
        </w:rPr>
      </w:pPr>
    </w:p>
    <w:p w14:paraId="7005CA4F">
      <w:pPr>
        <w:ind w:firstLine="1040"/>
        <w:rPr>
          <w:rFonts w:eastAsia="仿宋"/>
          <w:color w:val="auto"/>
          <w:sz w:val="44"/>
          <w:szCs w:val="44"/>
        </w:rPr>
      </w:pPr>
    </w:p>
    <w:p w14:paraId="5CF3E668">
      <w:pPr>
        <w:pStyle w:val="40"/>
        <w:ind w:firstLine="420"/>
        <w:rPr>
          <w:color w:val="auto"/>
        </w:rPr>
      </w:pPr>
    </w:p>
    <w:p w14:paraId="0262DE65">
      <w:pPr>
        <w:ind w:firstLine="1040"/>
        <w:rPr>
          <w:rFonts w:eastAsia="仿宋"/>
          <w:color w:val="auto"/>
          <w:sz w:val="44"/>
          <w:szCs w:val="44"/>
        </w:rPr>
      </w:pPr>
    </w:p>
    <w:p w14:paraId="056A551D">
      <w:pPr>
        <w:ind w:firstLine="1040"/>
        <w:rPr>
          <w:rFonts w:eastAsia="仿宋"/>
          <w:color w:val="auto"/>
          <w:sz w:val="44"/>
          <w:szCs w:val="44"/>
        </w:rPr>
      </w:pPr>
    </w:p>
    <w:p w14:paraId="3614B4D1">
      <w:pPr>
        <w:keepNext w:val="0"/>
        <w:keepLines w:val="0"/>
        <w:pageBreakBefore w:val="0"/>
        <w:widowControl w:val="0"/>
        <w:kinsoku/>
        <w:wordWrap/>
        <w:overflowPunct/>
        <w:topLinePunct w:val="0"/>
        <w:autoSpaceDE/>
        <w:autoSpaceDN/>
        <w:bidi w:val="0"/>
        <w:adjustRightInd w:val="0"/>
        <w:snapToGrid w:val="0"/>
        <w:spacing w:line="360" w:lineRule="auto"/>
        <w:ind w:firstLine="540" w:firstLineChars="150"/>
        <w:textAlignment w:val="auto"/>
        <w:rPr>
          <w:rFonts w:hint="eastAsia" w:eastAsia="仿宋"/>
          <w:color w:val="auto"/>
          <w:sz w:val="36"/>
          <w:szCs w:val="36"/>
          <w:u w:val="single"/>
          <w:lang w:eastAsia="zh-CN"/>
        </w:rPr>
      </w:pPr>
      <w:r>
        <w:rPr>
          <w:rFonts w:eastAsia="仿宋"/>
          <w:color w:val="auto"/>
          <w:sz w:val="36"/>
          <w:szCs w:val="36"/>
        </w:rPr>
        <w:t>项目名称：</w:t>
      </w:r>
      <w:r>
        <w:rPr>
          <w:rFonts w:eastAsia="仿宋"/>
          <w:color w:val="auto"/>
          <w:sz w:val="36"/>
          <w:szCs w:val="36"/>
          <w:u w:val="single"/>
        </w:rPr>
        <w:t>干燥</w:t>
      </w:r>
      <w:r>
        <w:rPr>
          <w:rFonts w:hint="eastAsia" w:eastAsia="仿宋"/>
          <w:color w:val="auto"/>
          <w:sz w:val="36"/>
          <w:szCs w:val="36"/>
          <w:u w:val="single"/>
          <w:lang w:eastAsia="zh-CN"/>
        </w:rPr>
        <w:t>塔节能技改项目</w:t>
      </w:r>
    </w:p>
    <w:p w14:paraId="240C2B7A">
      <w:pPr>
        <w:keepNext w:val="0"/>
        <w:keepLines w:val="0"/>
        <w:pageBreakBefore w:val="0"/>
        <w:widowControl w:val="0"/>
        <w:kinsoku/>
        <w:wordWrap/>
        <w:overflowPunct/>
        <w:topLinePunct w:val="0"/>
        <w:autoSpaceDE/>
        <w:autoSpaceDN/>
        <w:bidi w:val="0"/>
        <w:adjustRightInd w:val="0"/>
        <w:snapToGrid w:val="0"/>
        <w:spacing w:line="360" w:lineRule="auto"/>
        <w:ind w:firstLine="540" w:firstLineChars="150"/>
        <w:textAlignment w:val="auto"/>
        <w:rPr>
          <w:rFonts w:hint="default" w:eastAsia="仿宋"/>
          <w:color w:val="auto"/>
          <w:sz w:val="36"/>
          <w:szCs w:val="36"/>
          <w:u w:val="single"/>
          <w:lang w:val="en-US" w:eastAsia="zh-CN"/>
        </w:rPr>
      </w:pPr>
      <w:r>
        <w:rPr>
          <w:rFonts w:eastAsia="仿宋"/>
          <w:color w:val="auto"/>
          <w:sz w:val="36"/>
          <w:szCs w:val="36"/>
        </w:rPr>
        <w:t>建设单位：</w:t>
      </w:r>
      <w:r>
        <w:rPr>
          <w:rFonts w:eastAsia="仿宋"/>
          <w:color w:val="auto"/>
          <w:sz w:val="36"/>
          <w:szCs w:val="36"/>
          <w:u w:val="single"/>
        </w:rPr>
        <w:t>宝鸡</w:t>
      </w:r>
      <w:r>
        <w:rPr>
          <w:rFonts w:hint="eastAsia" w:eastAsia="仿宋"/>
          <w:color w:val="auto"/>
          <w:sz w:val="36"/>
          <w:szCs w:val="36"/>
          <w:u w:val="single"/>
          <w:lang w:eastAsia="zh-CN"/>
        </w:rPr>
        <w:t>靖源科技发展有限责任公司</w:t>
      </w:r>
    </w:p>
    <w:p w14:paraId="0984AE66">
      <w:pPr>
        <w:keepNext w:val="0"/>
        <w:keepLines w:val="0"/>
        <w:pageBreakBefore w:val="0"/>
        <w:widowControl w:val="0"/>
        <w:kinsoku/>
        <w:wordWrap/>
        <w:overflowPunct/>
        <w:topLinePunct w:val="0"/>
        <w:autoSpaceDE/>
        <w:autoSpaceDN/>
        <w:bidi w:val="0"/>
        <w:adjustRightInd w:val="0"/>
        <w:snapToGrid w:val="0"/>
        <w:spacing w:line="360" w:lineRule="auto"/>
        <w:ind w:firstLine="540" w:firstLineChars="150"/>
        <w:textAlignment w:val="auto"/>
        <w:rPr>
          <w:rFonts w:eastAsia="仿宋"/>
          <w:color w:val="auto"/>
          <w:sz w:val="36"/>
          <w:szCs w:val="36"/>
          <w:u w:val="single"/>
        </w:rPr>
      </w:pPr>
      <w:r>
        <w:rPr>
          <w:rFonts w:eastAsia="仿宋"/>
          <w:color w:val="auto"/>
          <w:sz w:val="36"/>
          <w:szCs w:val="36"/>
        </w:rPr>
        <w:t>编制日期：</w:t>
      </w:r>
      <w:r>
        <w:rPr>
          <w:rFonts w:eastAsia="仿宋"/>
          <w:color w:val="auto"/>
          <w:sz w:val="36"/>
          <w:szCs w:val="36"/>
          <w:u w:val="single"/>
        </w:rPr>
        <w:t>二〇二五年</w:t>
      </w:r>
      <w:r>
        <w:rPr>
          <w:rFonts w:hint="eastAsia" w:eastAsia="仿宋"/>
          <w:color w:val="auto"/>
          <w:sz w:val="36"/>
          <w:szCs w:val="36"/>
          <w:u w:val="single"/>
          <w:lang w:eastAsia="zh-CN"/>
        </w:rPr>
        <w:t>六</w:t>
      </w:r>
      <w:r>
        <w:rPr>
          <w:rFonts w:eastAsia="仿宋"/>
          <w:color w:val="auto"/>
          <w:sz w:val="36"/>
          <w:szCs w:val="36"/>
          <w:u w:val="single"/>
        </w:rPr>
        <w:t>月</w:t>
      </w:r>
    </w:p>
    <w:p w14:paraId="3CC1E60A">
      <w:pPr>
        <w:adjustRightInd w:val="0"/>
        <w:snapToGrid w:val="0"/>
        <w:spacing w:line="288" w:lineRule="auto"/>
        <w:ind w:firstLine="1040"/>
        <w:rPr>
          <w:rFonts w:ascii="仿宋_GB2312" w:eastAsia="仿宋_GB2312"/>
          <w:color w:val="auto"/>
          <w:sz w:val="36"/>
          <w:szCs w:val="36"/>
          <w:u w:val="single"/>
        </w:rPr>
      </w:pPr>
    </w:p>
    <w:p w14:paraId="5149F95D">
      <w:pPr>
        <w:adjustRightInd w:val="0"/>
        <w:snapToGrid w:val="0"/>
        <w:spacing w:line="288" w:lineRule="auto"/>
        <w:ind w:firstLine="1040"/>
        <w:rPr>
          <w:rFonts w:ascii="仿宋_GB2312" w:eastAsia="仿宋_GB2312"/>
          <w:color w:val="auto"/>
          <w:sz w:val="36"/>
          <w:szCs w:val="36"/>
        </w:rPr>
      </w:pPr>
    </w:p>
    <w:p w14:paraId="4E8866C2">
      <w:pPr>
        <w:pStyle w:val="46"/>
        <w:rPr>
          <w:color w:val="auto"/>
        </w:rPr>
      </w:pPr>
    </w:p>
    <w:p w14:paraId="44AE0762">
      <w:pPr>
        <w:adjustRightInd w:val="0"/>
        <w:snapToGrid w:val="0"/>
        <w:spacing w:line="288" w:lineRule="auto"/>
        <w:ind w:firstLine="1040"/>
        <w:rPr>
          <w:rFonts w:ascii="仿宋_GB2312" w:eastAsia="仿宋_GB2312"/>
          <w:color w:val="auto"/>
          <w:sz w:val="36"/>
          <w:szCs w:val="36"/>
        </w:rPr>
      </w:pPr>
    </w:p>
    <w:p w14:paraId="52607EFE">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556909BC">
      <w:pPr>
        <w:rPr>
          <w:rFonts w:ascii="仿宋_GB2312" w:hAnsi="仿宋_GB2312" w:eastAsia="仿宋_GB2312" w:cs="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42428C4D">
      <w:pPr>
        <w:rPr>
          <w:rFonts w:ascii="仿宋_GB2312" w:hAnsi="仿宋_GB2312" w:eastAsia="仿宋_GB2312" w:cs="仿宋_GB2312"/>
          <w:sz w:val="36"/>
          <w:szCs w:val="36"/>
        </w:rPr>
      </w:pPr>
    </w:p>
    <w:p w14:paraId="1EBBB5D2">
      <w:pPr>
        <w:rPr>
          <w:rFonts w:ascii="仿宋_GB2312" w:hAnsi="仿宋_GB2312" w:eastAsia="仿宋_GB2312" w:cs="仿宋_GB2312"/>
          <w:sz w:val="36"/>
          <w:szCs w:val="36"/>
        </w:rPr>
      </w:pPr>
    </w:p>
    <w:p w14:paraId="71B28FD1">
      <w:pPr>
        <w:rPr>
          <w:rFonts w:ascii="仿宋_GB2312" w:hAnsi="仿宋_GB2312" w:eastAsia="仿宋_GB2312" w:cs="仿宋_GB2312"/>
          <w:sz w:val="36"/>
          <w:szCs w:val="36"/>
        </w:rPr>
      </w:pPr>
    </w:p>
    <w:p w14:paraId="1404DA43">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526C097B">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26BFFF04">
      <w:pPr>
        <w:adjustRightInd w:val="0"/>
        <w:snapToGrid w:val="0"/>
        <w:spacing w:line="288" w:lineRule="auto"/>
        <w:jc w:val="center"/>
        <w:outlineLvl w:val="0"/>
        <w:rPr>
          <w:rFonts w:ascii="华文仿宋" w:hAnsi="华文仿宋" w:eastAsia="华文仿宋" w:cs="华文仿宋"/>
          <w:kern w:val="44"/>
          <w:sz w:val="44"/>
          <w:szCs w:val="44"/>
        </w:rPr>
      </w:pPr>
    </w:p>
    <w:p w14:paraId="2CF79A54">
      <w:pPr>
        <w:jc w:val="center"/>
        <w:rPr>
          <w:rFonts w:eastAsia="仿宋"/>
          <w:sz w:val="52"/>
          <w:szCs w:val="52"/>
        </w:rPr>
      </w:pPr>
    </w:p>
    <w:p w14:paraId="05BD1E1D">
      <w:pPr>
        <w:ind w:firstLine="1040"/>
        <w:rPr>
          <w:rFonts w:eastAsia="仿宋"/>
          <w:sz w:val="44"/>
          <w:szCs w:val="44"/>
        </w:rPr>
      </w:pPr>
    </w:p>
    <w:p w14:paraId="5F2E288D">
      <w:pPr>
        <w:ind w:firstLine="1040"/>
        <w:rPr>
          <w:rFonts w:eastAsia="仿宋"/>
          <w:sz w:val="44"/>
          <w:szCs w:val="44"/>
        </w:rPr>
      </w:pPr>
    </w:p>
    <w:p w14:paraId="55893A6C">
      <w:pPr>
        <w:ind w:firstLine="1040"/>
        <w:rPr>
          <w:rFonts w:eastAsia="仿宋"/>
          <w:sz w:val="44"/>
          <w:szCs w:val="44"/>
        </w:rPr>
      </w:pPr>
    </w:p>
    <w:p w14:paraId="10C6EED5">
      <w:pPr>
        <w:ind w:firstLine="1040"/>
        <w:rPr>
          <w:rFonts w:eastAsia="仿宋"/>
          <w:sz w:val="44"/>
          <w:szCs w:val="44"/>
        </w:rPr>
      </w:pPr>
    </w:p>
    <w:p w14:paraId="1D692793">
      <w:pPr>
        <w:ind w:firstLine="1040"/>
        <w:rPr>
          <w:rFonts w:eastAsia="仿宋"/>
          <w:sz w:val="44"/>
          <w:szCs w:val="44"/>
        </w:rPr>
      </w:pPr>
    </w:p>
    <w:p w14:paraId="366593CD">
      <w:pPr>
        <w:ind w:firstLine="1040"/>
        <w:rPr>
          <w:rFonts w:eastAsia="仿宋"/>
          <w:sz w:val="44"/>
          <w:szCs w:val="44"/>
        </w:rPr>
      </w:pPr>
    </w:p>
    <w:p w14:paraId="4AF11A99">
      <w:pPr>
        <w:keepNext w:val="0"/>
        <w:keepLines w:val="0"/>
        <w:pageBreakBefore w:val="0"/>
        <w:widowControl w:val="0"/>
        <w:kinsoku/>
        <w:wordWrap/>
        <w:overflowPunct/>
        <w:topLinePunct w:val="0"/>
        <w:autoSpaceDE/>
        <w:autoSpaceDN/>
        <w:bidi w:val="0"/>
        <w:adjustRightInd w:val="0"/>
        <w:snapToGrid w:val="0"/>
        <w:spacing w:line="360" w:lineRule="auto"/>
        <w:ind w:firstLine="450" w:firstLineChars="125"/>
        <w:textAlignment w:val="auto"/>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rPr>
        <w:t>干燥</w:t>
      </w:r>
      <w:r>
        <w:rPr>
          <w:rFonts w:hint="eastAsia" w:ascii="仿宋_GB2312" w:eastAsia="仿宋_GB2312"/>
          <w:sz w:val="36"/>
          <w:szCs w:val="36"/>
          <w:u w:val="single"/>
          <w:lang w:eastAsia="zh-CN"/>
        </w:rPr>
        <w:t>塔节能技改项目</w:t>
      </w:r>
    </w:p>
    <w:p w14:paraId="6DE59326">
      <w:pPr>
        <w:keepNext w:val="0"/>
        <w:keepLines w:val="0"/>
        <w:pageBreakBefore w:val="0"/>
        <w:widowControl w:val="0"/>
        <w:kinsoku/>
        <w:wordWrap/>
        <w:overflowPunct/>
        <w:topLinePunct w:val="0"/>
        <w:autoSpaceDE/>
        <w:autoSpaceDN/>
        <w:bidi w:val="0"/>
        <w:adjustRightInd w:val="0"/>
        <w:snapToGrid w:val="0"/>
        <w:spacing w:line="360" w:lineRule="auto"/>
        <w:ind w:firstLine="450" w:firstLineChars="125"/>
        <w:textAlignment w:val="auto"/>
        <w:rPr>
          <w:rFonts w:hint="eastAsia" w:ascii="仿宋_GB2312" w:eastAsia="仿宋_GB2312"/>
          <w:sz w:val="36"/>
          <w:szCs w:val="36"/>
          <w:u w:val="single"/>
          <w:lang w:eastAsia="zh-CN"/>
        </w:rPr>
      </w:pPr>
      <w:r>
        <w:rPr>
          <w:rFonts w:hint="eastAsia" w:ascii="仿宋_GB2312" w:eastAsia="仿宋_GB2312"/>
          <w:sz w:val="36"/>
          <w:szCs w:val="36"/>
        </w:rPr>
        <w:t>建设单位（盖章）：</w:t>
      </w:r>
      <w:r>
        <w:rPr>
          <w:rFonts w:hint="eastAsia" w:ascii="仿宋_GB2312" w:eastAsia="仿宋_GB2312"/>
          <w:sz w:val="36"/>
          <w:szCs w:val="36"/>
          <w:u w:val="single"/>
          <w:lang w:eastAsia="zh-CN"/>
        </w:rPr>
        <w:t>宝鸡靖源科技发展有限责任公司</w:t>
      </w:r>
    </w:p>
    <w:p w14:paraId="2F316F38">
      <w:pPr>
        <w:keepNext w:val="0"/>
        <w:keepLines w:val="0"/>
        <w:pageBreakBefore w:val="0"/>
        <w:widowControl w:val="0"/>
        <w:kinsoku/>
        <w:wordWrap/>
        <w:overflowPunct/>
        <w:topLinePunct w:val="0"/>
        <w:autoSpaceDE/>
        <w:autoSpaceDN/>
        <w:bidi w:val="0"/>
        <w:adjustRightInd w:val="0"/>
        <w:snapToGrid w:val="0"/>
        <w:spacing w:line="360" w:lineRule="auto"/>
        <w:ind w:firstLine="450" w:firstLineChars="125"/>
        <w:textAlignment w:val="auto"/>
        <w:rPr>
          <w:rFonts w:ascii="仿宋_GB2312" w:eastAsia="仿宋_GB2312"/>
          <w:sz w:val="36"/>
          <w:szCs w:val="36"/>
          <w:u w:val="single"/>
        </w:rPr>
      </w:pPr>
      <w:r>
        <w:rPr>
          <w:rFonts w:hint="eastAsia" w:ascii="仿宋_GB2312" w:eastAsia="仿宋_GB2312"/>
          <w:sz w:val="36"/>
          <w:szCs w:val="36"/>
        </w:rPr>
        <w:t>编制日期：</w:t>
      </w:r>
      <w:r>
        <w:rPr>
          <w:rFonts w:ascii="仿宋_GB2312" w:eastAsia="仿宋_GB2312"/>
          <w:sz w:val="36"/>
          <w:szCs w:val="36"/>
          <w:u w:val="single"/>
        </w:rPr>
        <w:t>二</w:t>
      </w:r>
      <w:r>
        <w:rPr>
          <w:rFonts w:hint="eastAsia" w:ascii="仿宋_GB2312" w:eastAsia="仿宋_GB2312"/>
          <w:sz w:val="36"/>
          <w:szCs w:val="36"/>
          <w:u w:val="single"/>
          <w:lang w:eastAsia="zh-CN"/>
        </w:rPr>
        <w:t>〇</w:t>
      </w:r>
      <w:r>
        <w:rPr>
          <w:rFonts w:ascii="仿宋_GB2312" w:eastAsia="仿宋_GB2312"/>
          <w:sz w:val="36"/>
          <w:szCs w:val="36"/>
          <w:u w:val="single"/>
        </w:rPr>
        <w:t>二</w:t>
      </w:r>
      <w:r>
        <w:rPr>
          <w:rFonts w:hint="eastAsia" w:ascii="仿宋_GB2312" w:eastAsia="仿宋_GB2312"/>
          <w:sz w:val="36"/>
          <w:szCs w:val="36"/>
          <w:u w:val="single"/>
          <w:lang w:eastAsia="zh-CN"/>
        </w:rPr>
        <w:t>五</w:t>
      </w:r>
      <w:r>
        <w:rPr>
          <w:rFonts w:ascii="仿宋_GB2312" w:eastAsia="仿宋_GB2312"/>
          <w:sz w:val="36"/>
          <w:szCs w:val="36"/>
          <w:u w:val="single"/>
        </w:rPr>
        <w:t>年</w:t>
      </w:r>
      <w:r>
        <w:rPr>
          <w:rFonts w:hint="eastAsia" w:ascii="仿宋_GB2312" w:eastAsia="仿宋_GB2312"/>
          <w:sz w:val="36"/>
          <w:szCs w:val="36"/>
          <w:u w:val="single"/>
          <w:lang w:eastAsia="zh-CN"/>
        </w:rPr>
        <w:t>六</w:t>
      </w:r>
      <w:r>
        <w:rPr>
          <w:rFonts w:ascii="仿宋_GB2312" w:eastAsia="仿宋_GB2312"/>
          <w:sz w:val="36"/>
          <w:szCs w:val="36"/>
          <w:u w:val="single"/>
        </w:rPr>
        <w:t>月</w:t>
      </w:r>
    </w:p>
    <w:p w14:paraId="1105CBF3">
      <w:pPr>
        <w:adjustRightInd w:val="0"/>
        <w:snapToGrid w:val="0"/>
        <w:spacing w:line="288" w:lineRule="auto"/>
        <w:ind w:firstLine="1040"/>
        <w:rPr>
          <w:rFonts w:ascii="仿宋_GB2312" w:eastAsia="仿宋_GB2312"/>
          <w:sz w:val="36"/>
          <w:szCs w:val="36"/>
          <w:u w:val="single"/>
        </w:rPr>
      </w:pPr>
      <w:bookmarkStart w:id="0" w:name="_Hlk57884087"/>
    </w:p>
    <w:p w14:paraId="2DA35A63">
      <w:pPr>
        <w:adjustRightInd w:val="0"/>
        <w:snapToGrid w:val="0"/>
        <w:spacing w:line="288" w:lineRule="auto"/>
        <w:ind w:firstLine="1040"/>
        <w:rPr>
          <w:rFonts w:ascii="仿宋_GB2312" w:eastAsia="仿宋_GB2312"/>
          <w:sz w:val="36"/>
          <w:szCs w:val="36"/>
        </w:rPr>
      </w:pPr>
    </w:p>
    <w:p w14:paraId="7889318E">
      <w:pPr>
        <w:pStyle w:val="33"/>
        <w:ind w:hanging="420"/>
      </w:pPr>
    </w:p>
    <w:p w14:paraId="6A4BF6DB">
      <w:pPr>
        <w:adjustRightInd w:val="0"/>
        <w:snapToGrid w:val="0"/>
        <w:spacing w:line="288" w:lineRule="auto"/>
        <w:ind w:firstLine="1040"/>
        <w:rPr>
          <w:rFonts w:ascii="仿宋_GB2312" w:eastAsia="仿宋_GB2312"/>
          <w:sz w:val="36"/>
          <w:szCs w:val="36"/>
        </w:rPr>
      </w:pPr>
      <w:bookmarkStart w:id="13" w:name="_GoBack"/>
      <w:bookmarkEnd w:id="13"/>
    </w:p>
    <w:bookmarkEnd w:id="0"/>
    <w:p w14:paraId="666FA2C5">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265222D1">
      <w:pPr>
        <w:adjustRightInd w:val="0"/>
        <w:snapToGrid w:val="0"/>
        <w:spacing w:line="288" w:lineRule="auto"/>
        <w:ind w:firstLine="1040"/>
        <w:rPr>
          <w:rFonts w:ascii="仿宋_GB2312" w:eastAsia="仿宋_GB2312"/>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09C2C500">
      <w:pPr>
        <w:pStyle w:val="36"/>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577"/>
        <w:gridCol w:w="1715"/>
        <w:gridCol w:w="2378"/>
        <w:gridCol w:w="3200"/>
      </w:tblGrid>
      <w:tr w14:paraId="5477C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70C9234F">
            <w:pPr>
              <w:adjustRightInd w:val="0"/>
              <w:snapToGrid w:val="0"/>
              <w:jc w:val="center"/>
              <w:rPr>
                <w:rFonts w:hint="eastAsia" w:ascii="宋体" w:hAnsi="宋体" w:cs="宋体"/>
                <w:sz w:val="24"/>
              </w:rPr>
            </w:pPr>
            <w:r>
              <w:rPr>
                <w:rFonts w:hint="eastAsia" w:ascii="宋体" w:hAnsi="宋体" w:cs="宋体"/>
                <w:sz w:val="24"/>
              </w:rPr>
              <w:t>建设项目</w:t>
            </w:r>
          </w:p>
          <w:p w14:paraId="0172B408">
            <w:pPr>
              <w:adjustRightInd w:val="0"/>
              <w:snapToGrid w:val="0"/>
              <w:jc w:val="center"/>
              <w:rPr>
                <w:rFonts w:ascii="宋体" w:hAnsi="宋体" w:cs="宋体"/>
                <w:sz w:val="24"/>
              </w:rPr>
            </w:pPr>
            <w:r>
              <w:rPr>
                <w:rFonts w:hint="eastAsia" w:ascii="宋体" w:hAnsi="宋体" w:cs="宋体"/>
                <w:sz w:val="24"/>
              </w:rPr>
              <w:t>名称</w:t>
            </w:r>
          </w:p>
        </w:tc>
        <w:tc>
          <w:tcPr>
            <w:tcW w:w="7293" w:type="dxa"/>
            <w:gridSpan w:val="3"/>
            <w:shd w:val="clear" w:color="auto" w:fill="auto"/>
            <w:noWrap w:val="0"/>
            <w:vAlign w:val="center"/>
          </w:tcPr>
          <w:p w14:paraId="55C3A1CB">
            <w:pPr>
              <w:adjustRightInd w:val="0"/>
              <w:snapToGrid w:val="0"/>
              <w:jc w:val="center"/>
              <w:rPr>
                <w:rFonts w:hint="eastAsia" w:ascii="宋体" w:hAnsi="宋体" w:eastAsia="宋体" w:cs="宋体"/>
                <w:sz w:val="24"/>
                <w:lang w:eastAsia="zh-CN"/>
              </w:rPr>
            </w:pPr>
            <w:r>
              <w:rPr>
                <w:rFonts w:hint="eastAsia" w:ascii="宋体" w:hAnsi="宋体" w:cs="宋体"/>
                <w:sz w:val="24"/>
                <w:lang w:eastAsia="zh-CN"/>
              </w:rPr>
              <w:t>干燥塔节能技改项目</w:t>
            </w:r>
          </w:p>
        </w:tc>
      </w:tr>
      <w:tr w14:paraId="23B0C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5D532BEF">
            <w:pPr>
              <w:adjustRightInd w:val="0"/>
              <w:snapToGrid w:val="0"/>
              <w:jc w:val="center"/>
              <w:rPr>
                <w:rFonts w:ascii="宋体" w:hAnsi="宋体" w:cs="宋体"/>
                <w:sz w:val="24"/>
              </w:rPr>
            </w:pPr>
            <w:r>
              <w:rPr>
                <w:rFonts w:hint="eastAsia" w:ascii="宋体" w:hAnsi="宋体" w:cs="宋体"/>
                <w:sz w:val="24"/>
              </w:rPr>
              <w:t>项目代码</w:t>
            </w:r>
          </w:p>
        </w:tc>
        <w:tc>
          <w:tcPr>
            <w:tcW w:w="7293" w:type="dxa"/>
            <w:gridSpan w:val="3"/>
            <w:shd w:val="clear" w:color="auto" w:fill="auto"/>
            <w:noWrap w:val="0"/>
            <w:vAlign w:val="center"/>
          </w:tcPr>
          <w:p w14:paraId="24666E83">
            <w:pPr>
              <w:adjustRightInd w:val="0"/>
              <w:snapToGrid w:val="0"/>
              <w:jc w:val="center"/>
              <w:rPr>
                <w:rFonts w:hint="eastAsia" w:eastAsia="宋体"/>
                <w:sz w:val="24"/>
                <w:lang w:eastAsia="zh-CN"/>
              </w:rPr>
            </w:pPr>
            <w:r>
              <w:rPr>
                <w:rFonts w:hint="eastAsia"/>
                <w:sz w:val="24"/>
                <w:lang w:eastAsia="zh-CN"/>
              </w:rPr>
              <w:t>无</w:t>
            </w:r>
          </w:p>
        </w:tc>
      </w:tr>
      <w:tr w14:paraId="0844B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4AD649C1">
            <w:pPr>
              <w:adjustRightInd w:val="0"/>
              <w:snapToGrid w:val="0"/>
              <w:jc w:val="center"/>
              <w:rPr>
                <w:rFonts w:hint="eastAsia" w:ascii="宋体" w:hAnsi="宋体" w:cs="宋体"/>
                <w:sz w:val="24"/>
              </w:rPr>
            </w:pPr>
            <w:r>
              <w:rPr>
                <w:rFonts w:hint="eastAsia" w:ascii="宋体" w:hAnsi="宋体" w:cs="宋体"/>
                <w:sz w:val="24"/>
              </w:rPr>
              <w:t>建设单位</w:t>
            </w:r>
          </w:p>
          <w:p w14:paraId="5062410A">
            <w:pPr>
              <w:adjustRightInd w:val="0"/>
              <w:snapToGrid w:val="0"/>
              <w:jc w:val="center"/>
              <w:rPr>
                <w:rFonts w:ascii="宋体" w:hAnsi="宋体" w:cs="宋体"/>
                <w:sz w:val="24"/>
              </w:rPr>
            </w:pPr>
            <w:r>
              <w:rPr>
                <w:rFonts w:hint="eastAsia" w:ascii="宋体" w:hAnsi="宋体" w:cs="宋体"/>
                <w:sz w:val="24"/>
              </w:rPr>
              <w:t>联系人</w:t>
            </w:r>
          </w:p>
        </w:tc>
        <w:tc>
          <w:tcPr>
            <w:tcW w:w="1715" w:type="dxa"/>
            <w:shd w:val="clear" w:color="auto" w:fill="auto"/>
            <w:noWrap w:val="0"/>
            <w:vAlign w:val="center"/>
          </w:tcPr>
          <w:p w14:paraId="274EC48F">
            <w:pPr>
              <w:jc w:val="center"/>
              <w:rPr>
                <w:rFonts w:hint="eastAsia" w:ascii="宋体" w:hAnsi="宋体" w:eastAsia="宋体" w:cs="宋体"/>
                <w:sz w:val="24"/>
                <w:lang w:eastAsia="zh-CN"/>
              </w:rPr>
            </w:pPr>
          </w:p>
        </w:tc>
        <w:tc>
          <w:tcPr>
            <w:tcW w:w="2378" w:type="dxa"/>
            <w:shd w:val="clear" w:color="auto" w:fill="auto"/>
            <w:noWrap w:val="0"/>
            <w:vAlign w:val="center"/>
          </w:tcPr>
          <w:p w14:paraId="75127C68">
            <w:pPr>
              <w:jc w:val="center"/>
              <w:rPr>
                <w:rFonts w:ascii="宋体" w:hAnsi="宋体" w:cs="宋体"/>
                <w:sz w:val="24"/>
              </w:rPr>
            </w:pPr>
            <w:r>
              <w:rPr>
                <w:rFonts w:ascii="Times New Roman" w:hAnsi="Times New Roman"/>
                <w:color w:val="000000"/>
                <w:sz w:val="24"/>
              </w:rPr>
              <w:t>联系方式</w:t>
            </w:r>
          </w:p>
        </w:tc>
        <w:tc>
          <w:tcPr>
            <w:tcW w:w="3200" w:type="dxa"/>
            <w:shd w:val="clear" w:color="auto" w:fill="auto"/>
            <w:noWrap w:val="0"/>
            <w:vAlign w:val="center"/>
          </w:tcPr>
          <w:p w14:paraId="25A2EDF0">
            <w:pPr>
              <w:jc w:val="center"/>
              <w:rPr>
                <w:sz w:val="24"/>
              </w:rPr>
            </w:pPr>
          </w:p>
        </w:tc>
      </w:tr>
      <w:tr w14:paraId="07C73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52568E46">
            <w:pPr>
              <w:adjustRightInd w:val="0"/>
              <w:snapToGrid w:val="0"/>
              <w:jc w:val="center"/>
              <w:rPr>
                <w:rFonts w:ascii="宋体" w:hAnsi="宋体" w:cs="宋体"/>
                <w:sz w:val="24"/>
              </w:rPr>
            </w:pPr>
            <w:r>
              <w:rPr>
                <w:rFonts w:hint="eastAsia" w:ascii="宋体" w:hAnsi="宋体" w:cs="宋体"/>
                <w:sz w:val="24"/>
              </w:rPr>
              <w:t>建设地点</w:t>
            </w:r>
          </w:p>
        </w:tc>
        <w:tc>
          <w:tcPr>
            <w:tcW w:w="7293" w:type="dxa"/>
            <w:gridSpan w:val="3"/>
            <w:shd w:val="clear" w:color="auto" w:fill="auto"/>
            <w:noWrap w:val="0"/>
            <w:vAlign w:val="center"/>
          </w:tcPr>
          <w:p w14:paraId="57129781">
            <w:pPr>
              <w:jc w:val="center"/>
              <w:rPr>
                <w:rFonts w:ascii="宋体" w:hAnsi="宋体" w:cs="宋体"/>
                <w:sz w:val="24"/>
              </w:rPr>
            </w:pPr>
            <w:r>
              <w:rPr>
                <w:rFonts w:hint="eastAsia" w:ascii="Times New Roman" w:hAnsi="Times New Roman"/>
                <w:color w:val="000000"/>
                <w:sz w:val="24"/>
              </w:rPr>
              <w:t>陕西省宝鸡市凤翔区长青工业园区创业西路3号</w:t>
            </w:r>
          </w:p>
        </w:tc>
      </w:tr>
      <w:tr w14:paraId="3ADA2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41CF141C">
            <w:pPr>
              <w:adjustRightInd w:val="0"/>
              <w:snapToGrid w:val="0"/>
              <w:jc w:val="center"/>
              <w:rPr>
                <w:rFonts w:ascii="宋体" w:hAnsi="宋体" w:cs="宋体"/>
                <w:sz w:val="24"/>
              </w:rPr>
            </w:pPr>
            <w:r>
              <w:rPr>
                <w:rFonts w:hint="eastAsia" w:ascii="宋体" w:hAnsi="宋体" w:cs="宋体"/>
                <w:sz w:val="24"/>
              </w:rPr>
              <w:t>地理坐标</w:t>
            </w:r>
          </w:p>
        </w:tc>
        <w:tc>
          <w:tcPr>
            <w:tcW w:w="7293" w:type="dxa"/>
            <w:gridSpan w:val="3"/>
            <w:shd w:val="clear" w:color="auto" w:fill="auto"/>
            <w:noWrap w:val="0"/>
            <w:vAlign w:val="center"/>
          </w:tcPr>
          <w:p w14:paraId="4AEF7564">
            <w:pPr>
              <w:jc w:val="center"/>
              <w:rPr>
                <w:rFonts w:ascii="宋体" w:hAnsi="宋体" w:cs="宋体"/>
                <w:sz w:val="24"/>
              </w:rPr>
            </w:pPr>
            <w:r>
              <w:rPr>
                <w:rFonts w:ascii="Times New Roman" w:hAnsi="Times New Roman"/>
                <w:color w:val="000000"/>
                <w:sz w:val="24"/>
              </w:rPr>
              <w:t>107度</w:t>
            </w:r>
            <w:r>
              <w:rPr>
                <w:rFonts w:hint="eastAsia" w:ascii="Times New Roman" w:hAnsi="Times New Roman"/>
                <w:color w:val="000000"/>
                <w:sz w:val="24"/>
              </w:rPr>
              <w:t>15</w:t>
            </w:r>
            <w:r>
              <w:rPr>
                <w:rFonts w:ascii="Times New Roman" w:hAnsi="Times New Roman"/>
                <w:color w:val="000000"/>
                <w:sz w:val="24"/>
              </w:rPr>
              <w:t>分</w:t>
            </w:r>
            <w:r>
              <w:rPr>
                <w:rFonts w:hint="eastAsia" w:ascii="Times New Roman" w:hAnsi="Times New Roman"/>
                <w:color w:val="000000"/>
                <w:sz w:val="24"/>
              </w:rPr>
              <w:t>35</w:t>
            </w:r>
            <w:r>
              <w:rPr>
                <w:rFonts w:ascii="Times New Roman" w:hAnsi="Times New Roman"/>
                <w:color w:val="000000"/>
                <w:sz w:val="24"/>
              </w:rPr>
              <w:t>.</w:t>
            </w:r>
            <w:r>
              <w:rPr>
                <w:rFonts w:hint="eastAsia" w:ascii="Times New Roman" w:hAnsi="Times New Roman"/>
                <w:color w:val="000000"/>
                <w:sz w:val="24"/>
              </w:rPr>
              <w:t>513</w:t>
            </w:r>
            <w:r>
              <w:rPr>
                <w:rFonts w:ascii="Times New Roman" w:hAnsi="Times New Roman"/>
                <w:color w:val="000000"/>
                <w:sz w:val="24"/>
              </w:rPr>
              <w:t>秒，34度</w:t>
            </w:r>
            <w:r>
              <w:rPr>
                <w:rFonts w:hint="eastAsia" w:ascii="Times New Roman" w:hAnsi="Times New Roman"/>
                <w:color w:val="000000"/>
                <w:sz w:val="24"/>
              </w:rPr>
              <w:t>28</w:t>
            </w:r>
            <w:r>
              <w:rPr>
                <w:rFonts w:ascii="Times New Roman" w:hAnsi="Times New Roman"/>
                <w:color w:val="000000"/>
                <w:sz w:val="24"/>
              </w:rPr>
              <w:t>分</w:t>
            </w:r>
            <w:r>
              <w:rPr>
                <w:rFonts w:hint="eastAsia" w:ascii="Times New Roman" w:hAnsi="Times New Roman"/>
                <w:color w:val="000000"/>
                <w:sz w:val="24"/>
              </w:rPr>
              <w:t>1</w:t>
            </w:r>
            <w:r>
              <w:rPr>
                <w:rFonts w:ascii="Times New Roman" w:hAnsi="Times New Roman"/>
                <w:color w:val="000000"/>
                <w:sz w:val="24"/>
              </w:rPr>
              <w:t>.</w:t>
            </w:r>
            <w:r>
              <w:rPr>
                <w:rFonts w:hint="eastAsia" w:ascii="Times New Roman" w:hAnsi="Times New Roman"/>
                <w:color w:val="000000"/>
                <w:sz w:val="24"/>
              </w:rPr>
              <w:t>046</w:t>
            </w:r>
            <w:r>
              <w:rPr>
                <w:rFonts w:ascii="Times New Roman" w:hAnsi="Times New Roman"/>
                <w:color w:val="000000"/>
                <w:sz w:val="24"/>
              </w:rPr>
              <w:t>秒</w:t>
            </w:r>
          </w:p>
        </w:tc>
      </w:tr>
      <w:tr w14:paraId="0D921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561" w:hRule="atLeast"/>
          <w:jc w:val="center"/>
        </w:trPr>
        <w:tc>
          <w:tcPr>
            <w:tcW w:w="1577" w:type="dxa"/>
            <w:shd w:val="clear" w:color="auto" w:fill="auto"/>
            <w:noWrap w:val="0"/>
            <w:tcMar>
              <w:top w:w="16" w:type="dxa"/>
              <w:left w:w="16" w:type="dxa"/>
              <w:bottom w:w="0" w:type="dxa"/>
              <w:right w:w="16" w:type="dxa"/>
            </w:tcMar>
            <w:vAlign w:val="center"/>
          </w:tcPr>
          <w:p w14:paraId="4422AA03">
            <w:pPr>
              <w:adjustRightInd w:val="0"/>
              <w:snapToGrid w:val="0"/>
              <w:jc w:val="center"/>
              <w:rPr>
                <w:rFonts w:ascii="宋体" w:hAnsi="宋体" w:cs="宋体"/>
                <w:sz w:val="24"/>
              </w:rPr>
            </w:pPr>
            <w:r>
              <w:rPr>
                <w:rFonts w:hint="eastAsia" w:ascii="宋体" w:hAnsi="宋体" w:cs="宋体"/>
                <w:sz w:val="24"/>
              </w:rPr>
              <w:t>国民经济</w:t>
            </w:r>
          </w:p>
          <w:p w14:paraId="0A3F919F">
            <w:pPr>
              <w:adjustRightInd w:val="0"/>
              <w:snapToGrid w:val="0"/>
              <w:jc w:val="center"/>
              <w:rPr>
                <w:rFonts w:ascii="宋体" w:hAnsi="宋体" w:cs="宋体"/>
                <w:sz w:val="24"/>
              </w:rPr>
            </w:pPr>
            <w:r>
              <w:rPr>
                <w:rFonts w:hint="eastAsia" w:ascii="宋体" w:hAnsi="宋体" w:cs="宋体"/>
                <w:sz w:val="24"/>
              </w:rPr>
              <w:t>行业类别</w:t>
            </w:r>
          </w:p>
        </w:tc>
        <w:tc>
          <w:tcPr>
            <w:tcW w:w="1715" w:type="dxa"/>
            <w:shd w:val="clear" w:color="auto" w:fill="auto"/>
            <w:noWrap w:val="0"/>
            <w:vAlign w:val="center"/>
          </w:tcPr>
          <w:p w14:paraId="2B9CF211">
            <w:pPr>
              <w:adjustRightInd w:val="0"/>
              <w:snapToGrid w:val="0"/>
              <w:jc w:val="center"/>
              <w:rPr>
                <w:sz w:val="24"/>
              </w:rPr>
            </w:pPr>
            <w:r>
              <w:rPr>
                <w:sz w:val="24"/>
              </w:rPr>
              <w:t>D4430</w:t>
            </w:r>
            <w:r>
              <w:rPr>
                <w:rFonts w:hAnsi="宋体"/>
                <w:sz w:val="24"/>
              </w:rPr>
              <w:t>热力生产和供应</w:t>
            </w:r>
          </w:p>
        </w:tc>
        <w:tc>
          <w:tcPr>
            <w:tcW w:w="2378" w:type="dxa"/>
            <w:shd w:val="clear" w:color="auto" w:fill="auto"/>
            <w:noWrap w:val="0"/>
            <w:vAlign w:val="center"/>
          </w:tcPr>
          <w:p w14:paraId="0BF0C994">
            <w:pPr>
              <w:adjustRightInd w:val="0"/>
              <w:snapToGrid w:val="0"/>
              <w:jc w:val="center"/>
              <w:rPr>
                <w:rFonts w:ascii="宋体" w:hAnsi="宋体" w:cs="宋体"/>
                <w:sz w:val="24"/>
              </w:rPr>
            </w:pPr>
            <w:bookmarkStart w:id="1" w:name="_Hlk49843745"/>
            <w:r>
              <w:rPr>
                <w:rFonts w:hint="eastAsia" w:ascii="宋体" w:hAnsi="宋体" w:cs="宋体"/>
                <w:sz w:val="24"/>
              </w:rPr>
              <w:t>建设项目</w:t>
            </w:r>
          </w:p>
          <w:p w14:paraId="517CA05B">
            <w:pPr>
              <w:adjustRightInd w:val="0"/>
              <w:snapToGrid w:val="0"/>
              <w:jc w:val="center"/>
              <w:rPr>
                <w:rFonts w:ascii="宋体" w:hAnsi="宋体" w:cs="宋体"/>
                <w:sz w:val="24"/>
              </w:rPr>
            </w:pPr>
            <w:r>
              <w:rPr>
                <w:rFonts w:hint="eastAsia" w:ascii="宋体" w:hAnsi="宋体" w:cs="宋体"/>
                <w:sz w:val="24"/>
              </w:rPr>
              <w:t>行业类别</w:t>
            </w:r>
            <w:bookmarkEnd w:id="1"/>
          </w:p>
        </w:tc>
        <w:tc>
          <w:tcPr>
            <w:tcW w:w="3200" w:type="dxa"/>
            <w:shd w:val="clear" w:color="auto" w:fill="auto"/>
            <w:noWrap w:val="0"/>
            <w:vAlign w:val="center"/>
          </w:tcPr>
          <w:p w14:paraId="34C82AA7">
            <w:pPr>
              <w:adjustRightInd w:val="0"/>
              <w:snapToGrid w:val="0"/>
              <w:rPr>
                <w:rFonts w:ascii="宋体" w:hAnsi="宋体" w:cs="宋体"/>
                <w:sz w:val="24"/>
              </w:rPr>
            </w:pPr>
            <w:r>
              <w:rPr>
                <w:rFonts w:hint="eastAsia" w:ascii="宋体" w:hAnsi="宋体" w:cs="宋体"/>
                <w:sz w:val="24"/>
              </w:rPr>
              <w:t>四十一、电力、热力生产和供</w:t>
            </w:r>
            <w:r>
              <w:rPr>
                <w:rFonts w:hAnsi="宋体"/>
                <w:sz w:val="24"/>
              </w:rPr>
              <w:t>应业</w:t>
            </w:r>
            <w:r>
              <w:rPr>
                <w:sz w:val="24"/>
              </w:rPr>
              <w:t>-91</w:t>
            </w:r>
            <w:r>
              <w:rPr>
                <w:rFonts w:hAnsi="宋体"/>
                <w:sz w:val="24"/>
              </w:rPr>
              <w:t>热力生产和供应工程</w:t>
            </w:r>
          </w:p>
        </w:tc>
      </w:tr>
      <w:tr w14:paraId="166E5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1219" w:hRule="atLeast"/>
          <w:jc w:val="center"/>
        </w:trPr>
        <w:tc>
          <w:tcPr>
            <w:tcW w:w="1577" w:type="dxa"/>
            <w:shd w:val="clear" w:color="auto" w:fill="auto"/>
            <w:noWrap w:val="0"/>
            <w:tcMar>
              <w:top w:w="16" w:type="dxa"/>
              <w:left w:w="16" w:type="dxa"/>
              <w:bottom w:w="0" w:type="dxa"/>
              <w:right w:w="16" w:type="dxa"/>
            </w:tcMar>
            <w:vAlign w:val="center"/>
          </w:tcPr>
          <w:p w14:paraId="7F85B9CC">
            <w:pPr>
              <w:adjustRightInd w:val="0"/>
              <w:snapToGrid w:val="0"/>
              <w:jc w:val="center"/>
              <w:rPr>
                <w:rFonts w:ascii="宋体" w:hAnsi="宋体" w:cs="宋体"/>
                <w:sz w:val="24"/>
              </w:rPr>
            </w:pPr>
            <w:r>
              <w:rPr>
                <w:rFonts w:hint="eastAsia" w:ascii="宋体" w:hAnsi="宋体" w:cs="宋体"/>
                <w:sz w:val="24"/>
              </w:rPr>
              <w:t>建设性质</w:t>
            </w:r>
          </w:p>
        </w:tc>
        <w:tc>
          <w:tcPr>
            <w:tcW w:w="1715" w:type="dxa"/>
            <w:shd w:val="clear" w:color="auto" w:fill="auto"/>
            <w:noWrap w:val="0"/>
            <w:vAlign w:val="center"/>
          </w:tcPr>
          <w:p w14:paraId="33FBE1C0">
            <w:pPr>
              <w:jc w:val="left"/>
              <w:rPr>
                <w:rFonts w:ascii="宋体" w:hAnsi="宋体" w:cs="宋体"/>
                <w:sz w:val="24"/>
              </w:rPr>
            </w:pPr>
            <w:r>
              <w:rPr>
                <w:rFonts w:hint="eastAsia" w:ascii="宋体" w:hAnsi="宋体" w:cs="宋体"/>
                <w:sz w:val="24"/>
              </w:rPr>
              <w:t>□新建（迁建）</w:t>
            </w:r>
          </w:p>
          <w:p w14:paraId="0D9DAEA5">
            <w:pPr>
              <w:jc w:val="left"/>
              <w:rPr>
                <w:rFonts w:ascii="宋体" w:hAnsi="宋体" w:cs="宋体"/>
                <w:sz w:val="24"/>
              </w:rPr>
            </w:pPr>
            <w:r>
              <w:rPr>
                <w:rFonts w:hint="eastAsia" w:ascii="宋体" w:hAnsi="宋体" w:cs="宋体"/>
                <w:sz w:val="24"/>
              </w:rPr>
              <w:t>□改建</w:t>
            </w:r>
          </w:p>
          <w:p w14:paraId="2CB274A8">
            <w:pPr>
              <w:jc w:val="left"/>
              <w:rPr>
                <w:rFonts w:ascii="宋体" w:hAnsi="宋体" w:cs="宋体"/>
                <w:sz w:val="24"/>
              </w:rPr>
            </w:pPr>
            <w:r>
              <w:rPr>
                <w:rFonts w:hint="eastAsia" w:ascii="宋体" w:hAnsi="宋体" w:cs="宋体"/>
                <w:sz w:val="24"/>
              </w:rPr>
              <w:t>□扩建</w:t>
            </w:r>
          </w:p>
          <w:p w14:paraId="6DCD8FB3">
            <w:pPr>
              <w:jc w:val="left"/>
              <w:rPr>
                <w:rFonts w:ascii="宋体" w:hAnsi="宋体" w:cs="宋体"/>
                <w:sz w:val="24"/>
              </w:rPr>
            </w:pPr>
            <w:r>
              <w:rPr>
                <w:rFonts w:hint="eastAsia" w:ascii="MS Mincho" w:hAnsi="MS Mincho" w:eastAsia="MS Mincho" w:cs="MS Mincho"/>
                <w:sz w:val="24"/>
              </w:rPr>
              <w:t>☑</w:t>
            </w:r>
            <w:r>
              <w:rPr>
                <w:rFonts w:hint="eastAsia" w:ascii="宋体" w:hAnsi="宋体" w:cs="宋体"/>
                <w:sz w:val="24"/>
              </w:rPr>
              <w:t>技术改造</w:t>
            </w:r>
          </w:p>
        </w:tc>
        <w:tc>
          <w:tcPr>
            <w:tcW w:w="2378" w:type="dxa"/>
            <w:shd w:val="clear" w:color="auto" w:fill="auto"/>
            <w:noWrap w:val="0"/>
            <w:vAlign w:val="center"/>
          </w:tcPr>
          <w:p w14:paraId="7FFAB40E">
            <w:pPr>
              <w:adjustRightInd w:val="0"/>
              <w:snapToGrid w:val="0"/>
              <w:jc w:val="center"/>
              <w:rPr>
                <w:rFonts w:ascii="宋体" w:hAnsi="宋体" w:cs="宋体"/>
                <w:sz w:val="24"/>
              </w:rPr>
            </w:pPr>
            <w:r>
              <w:rPr>
                <w:rFonts w:hint="eastAsia" w:ascii="宋体" w:hAnsi="宋体" w:cs="宋体"/>
                <w:sz w:val="24"/>
              </w:rPr>
              <w:t>建设项目</w:t>
            </w:r>
          </w:p>
          <w:p w14:paraId="7A2733EC">
            <w:pPr>
              <w:adjustRightInd w:val="0"/>
              <w:snapToGrid w:val="0"/>
              <w:jc w:val="center"/>
              <w:rPr>
                <w:rFonts w:ascii="宋体" w:hAnsi="宋体" w:cs="宋体"/>
                <w:sz w:val="24"/>
              </w:rPr>
            </w:pPr>
            <w:r>
              <w:rPr>
                <w:rFonts w:hint="eastAsia" w:ascii="宋体" w:hAnsi="宋体" w:cs="宋体"/>
                <w:sz w:val="24"/>
              </w:rPr>
              <w:t>申报情形</w:t>
            </w:r>
          </w:p>
        </w:tc>
        <w:tc>
          <w:tcPr>
            <w:tcW w:w="3200" w:type="dxa"/>
            <w:shd w:val="clear" w:color="auto" w:fill="auto"/>
            <w:noWrap w:val="0"/>
            <w:vAlign w:val="center"/>
          </w:tcPr>
          <w:p w14:paraId="489F8856">
            <w:pPr>
              <w:jc w:val="left"/>
              <w:rPr>
                <w:rFonts w:ascii="宋体" w:hAnsi="宋体" w:cs="宋体"/>
                <w:sz w:val="24"/>
              </w:rPr>
            </w:pPr>
            <w:r>
              <w:rPr>
                <w:rFonts w:hint="eastAsia" w:ascii="MS Mincho" w:hAnsi="MS Mincho" w:eastAsia="MS Mincho" w:cs="MS Mincho"/>
                <w:sz w:val="24"/>
              </w:rPr>
              <w:t>☑</w:t>
            </w:r>
            <w:r>
              <w:rPr>
                <w:rFonts w:hint="eastAsia" w:ascii="宋体" w:hAnsi="宋体" w:cs="宋体"/>
                <w:sz w:val="24"/>
              </w:rPr>
              <w:t>首次申报项目</w:t>
            </w:r>
            <w:r>
              <w:rPr>
                <w:rFonts w:ascii="宋体" w:hAnsi="宋体" w:cs="宋体"/>
                <w:sz w:val="24"/>
              </w:rPr>
              <w:t xml:space="preserve">             </w:t>
            </w:r>
          </w:p>
          <w:p w14:paraId="77ABA3B8">
            <w:pPr>
              <w:jc w:val="left"/>
              <w:rPr>
                <w:rFonts w:ascii="宋体" w:hAnsi="宋体" w:cs="宋体"/>
                <w:sz w:val="24"/>
              </w:rPr>
            </w:pPr>
            <w:r>
              <w:rPr>
                <w:rFonts w:hint="eastAsia" w:ascii="宋体" w:hAnsi="宋体" w:cs="宋体"/>
                <w:sz w:val="24"/>
              </w:rPr>
              <w:t>□不予批准后再次申报项目</w:t>
            </w:r>
          </w:p>
          <w:p w14:paraId="241EC384">
            <w:pPr>
              <w:jc w:val="left"/>
              <w:rPr>
                <w:rFonts w:ascii="宋体" w:hAnsi="宋体" w:cs="宋体"/>
                <w:sz w:val="24"/>
              </w:rPr>
            </w:pPr>
            <w:r>
              <w:rPr>
                <w:rFonts w:ascii="Wingdings 2" w:hAnsi="Wingdings 2" w:eastAsia="Wingdings 2" w:cs="Wingdings 2"/>
                <w:sz w:val="24"/>
              </w:rPr>
              <w:t>£</w:t>
            </w:r>
            <w:r>
              <w:rPr>
                <w:rFonts w:hint="eastAsia" w:ascii="宋体" w:hAnsi="宋体" w:cs="宋体"/>
                <w:sz w:val="24"/>
              </w:rPr>
              <w:t>超五年重新审核项目</w:t>
            </w:r>
            <w:r>
              <w:rPr>
                <w:rFonts w:ascii="宋体" w:hAnsi="宋体" w:cs="宋体"/>
                <w:sz w:val="24"/>
              </w:rPr>
              <w:t xml:space="preserve">     </w:t>
            </w:r>
          </w:p>
          <w:p w14:paraId="150BA0DE">
            <w:pPr>
              <w:jc w:val="left"/>
              <w:rPr>
                <w:rFonts w:ascii="宋体" w:hAnsi="宋体" w:cs="宋体"/>
                <w:sz w:val="24"/>
              </w:rPr>
            </w:pPr>
            <w:r>
              <w:rPr>
                <w:rFonts w:hint="eastAsia" w:ascii="宋体" w:hAnsi="宋体" w:cs="宋体"/>
                <w:sz w:val="24"/>
              </w:rPr>
              <w:t>□重大变动重新报批项目</w:t>
            </w:r>
          </w:p>
        </w:tc>
      </w:tr>
      <w:tr w14:paraId="7361D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851" w:hRule="atLeast"/>
          <w:jc w:val="center"/>
        </w:trPr>
        <w:tc>
          <w:tcPr>
            <w:tcW w:w="1577" w:type="dxa"/>
            <w:shd w:val="clear" w:color="auto" w:fill="auto"/>
            <w:noWrap w:val="0"/>
            <w:tcMar>
              <w:top w:w="16" w:type="dxa"/>
              <w:left w:w="16" w:type="dxa"/>
              <w:bottom w:w="0" w:type="dxa"/>
              <w:right w:w="16" w:type="dxa"/>
            </w:tcMar>
            <w:vAlign w:val="center"/>
          </w:tcPr>
          <w:p w14:paraId="38507EF1">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r>
              <w:rPr>
                <w:rFonts w:hint="eastAsia" w:ascii="宋体" w:hAnsi="宋体" w:cs="宋体"/>
                <w:sz w:val="24"/>
              </w:rPr>
              <w:t>备案）部门（选填）</w:t>
            </w:r>
          </w:p>
        </w:tc>
        <w:tc>
          <w:tcPr>
            <w:tcW w:w="1715" w:type="dxa"/>
            <w:shd w:val="clear" w:color="auto" w:fill="auto"/>
            <w:noWrap w:val="0"/>
            <w:vAlign w:val="center"/>
          </w:tcPr>
          <w:p w14:paraId="7A3AB55F">
            <w:pPr>
              <w:adjustRightInd w:val="0"/>
              <w:snapToGrid w:val="0"/>
              <w:jc w:val="center"/>
              <w:rPr>
                <w:rFonts w:ascii="宋体" w:hAnsi="宋体" w:cs="宋体"/>
                <w:sz w:val="24"/>
              </w:rPr>
            </w:pPr>
            <w:r>
              <w:rPr>
                <w:rFonts w:hint="eastAsia" w:ascii="宋体" w:hAnsi="宋体" w:cs="宋体"/>
                <w:sz w:val="24"/>
              </w:rPr>
              <w:t>无</w:t>
            </w:r>
          </w:p>
        </w:tc>
        <w:tc>
          <w:tcPr>
            <w:tcW w:w="2378" w:type="dxa"/>
            <w:shd w:val="clear" w:color="auto" w:fill="auto"/>
            <w:noWrap w:val="0"/>
            <w:vAlign w:val="center"/>
          </w:tcPr>
          <w:p w14:paraId="1A2D0140">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6B3605F1">
            <w:pPr>
              <w:adjustRightInd w:val="0"/>
              <w:snapToGrid w:val="0"/>
              <w:jc w:val="center"/>
              <w:rPr>
                <w:rFonts w:ascii="宋体" w:hAnsi="宋体" w:cs="宋体"/>
                <w:sz w:val="24"/>
              </w:rPr>
            </w:pPr>
            <w:r>
              <w:rPr>
                <w:rFonts w:hint="eastAsia" w:ascii="宋体" w:hAnsi="宋体" w:cs="宋体"/>
                <w:sz w:val="24"/>
              </w:rPr>
              <w:t>备案）文号（选填）</w:t>
            </w:r>
          </w:p>
        </w:tc>
        <w:tc>
          <w:tcPr>
            <w:tcW w:w="3200" w:type="dxa"/>
            <w:shd w:val="clear" w:color="auto" w:fill="auto"/>
            <w:noWrap w:val="0"/>
            <w:vAlign w:val="center"/>
          </w:tcPr>
          <w:p w14:paraId="3F5D1B69">
            <w:pPr>
              <w:adjustRightInd w:val="0"/>
              <w:snapToGrid w:val="0"/>
              <w:jc w:val="center"/>
              <w:rPr>
                <w:rFonts w:ascii="宋体" w:hAnsi="宋体" w:cs="宋体"/>
                <w:sz w:val="24"/>
              </w:rPr>
            </w:pPr>
            <w:r>
              <w:rPr>
                <w:rFonts w:hint="eastAsia" w:ascii="宋体" w:hAnsi="宋体" w:cs="宋体"/>
                <w:sz w:val="24"/>
              </w:rPr>
              <w:t>无</w:t>
            </w:r>
          </w:p>
        </w:tc>
      </w:tr>
      <w:tr w14:paraId="76A6B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27CC0CBB">
            <w:pPr>
              <w:adjustRightInd w:val="0"/>
              <w:snapToGrid w:val="0"/>
              <w:jc w:val="center"/>
              <w:rPr>
                <w:rFonts w:hint="eastAsia" w:ascii="宋体" w:hAnsi="宋体" w:cs="宋体"/>
                <w:sz w:val="24"/>
              </w:rPr>
            </w:pPr>
            <w:r>
              <w:rPr>
                <w:rFonts w:hint="eastAsia" w:ascii="宋体" w:hAnsi="宋体" w:cs="宋体"/>
                <w:sz w:val="24"/>
              </w:rPr>
              <w:t>总投资</w:t>
            </w:r>
          </w:p>
          <w:p w14:paraId="40CFBA8D">
            <w:pPr>
              <w:adjustRightInd w:val="0"/>
              <w:snapToGrid w:val="0"/>
              <w:jc w:val="center"/>
              <w:rPr>
                <w:rFonts w:ascii="宋体" w:hAnsi="宋体" w:cs="宋体"/>
                <w:sz w:val="24"/>
              </w:rPr>
            </w:pPr>
            <w:r>
              <w:rPr>
                <w:rFonts w:hint="eastAsia" w:ascii="宋体" w:hAnsi="宋体" w:cs="宋体"/>
                <w:sz w:val="24"/>
              </w:rPr>
              <w:t>（万元）</w:t>
            </w:r>
          </w:p>
        </w:tc>
        <w:tc>
          <w:tcPr>
            <w:tcW w:w="1715" w:type="dxa"/>
            <w:shd w:val="clear" w:color="auto" w:fill="auto"/>
            <w:noWrap w:val="0"/>
            <w:vAlign w:val="center"/>
          </w:tcPr>
          <w:p w14:paraId="3BCDEA71">
            <w:pPr>
              <w:adjustRightInd w:val="0"/>
              <w:snapToGrid w:val="0"/>
              <w:jc w:val="center"/>
              <w:rPr>
                <w:rFonts w:hint="default" w:eastAsia="宋体"/>
                <w:sz w:val="24"/>
                <w:highlight w:val="none"/>
                <w:lang w:val="en-US" w:eastAsia="zh-CN"/>
              </w:rPr>
            </w:pPr>
            <w:r>
              <w:rPr>
                <w:rFonts w:hint="eastAsia"/>
                <w:sz w:val="24"/>
                <w:highlight w:val="none"/>
                <w:lang w:val="en-US" w:eastAsia="zh-CN"/>
              </w:rPr>
              <w:t>500</w:t>
            </w:r>
          </w:p>
        </w:tc>
        <w:tc>
          <w:tcPr>
            <w:tcW w:w="2378" w:type="dxa"/>
            <w:shd w:val="clear" w:color="auto" w:fill="auto"/>
            <w:noWrap w:val="0"/>
            <w:tcMar>
              <w:top w:w="16" w:type="dxa"/>
              <w:left w:w="16" w:type="dxa"/>
              <w:bottom w:w="0" w:type="dxa"/>
              <w:right w:w="16" w:type="dxa"/>
            </w:tcMar>
            <w:vAlign w:val="center"/>
          </w:tcPr>
          <w:p w14:paraId="702BB888">
            <w:pPr>
              <w:adjustRightInd w:val="0"/>
              <w:snapToGrid w:val="0"/>
              <w:jc w:val="center"/>
              <w:rPr>
                <w:rFonts w:ascii="宋体" w:hAnsi="宋体" w:cs="宋体"/>
                <w:sz w:val="24"/>
                <w:highlight w:val="none"/>
              </w:rPr>
            </w:pPr>
            <w:r>
              <w:rPr>
                <w:rFonts w:hint="eastAsia" w:ascii="宋体" w:hAnsi="宋体" w:cs="宋体"/>
                <w:sz w:val="24"/>
                <w:highlight w:val="none"/>
              </w:rPr>
              <w:t>环保投资（万元）</w:t>
            </w:r>
          </w:p>
        </w:tc>
        <w:tc>
          <w:tcPr>
            <w:tcW w:w="3200" w:type="dxa"/>
            <w:shd w:val="clear" w:color="auto" w:fill="auto"/>
            <w:noWrap w:val="0"/>
            <w:vAlign w:val="center"/>
          </w:tcPr>
          <w:p w14:paraId="748EEADD">
            <w:pPr>
              <w:adjustRightInd w:val="0"/>
              <w:snapToGrid w:val="0"/>
              <w:jc w:val="center"/>
              <w:rPr>
                <w:rFonts w:hint="default" w:eastAsia="宋体"/>
                <w:sz w:val="24"/>
                <w:highlight w:val="none"/>
                <w:lang w:val="en-US" w:eastAsia="zh-CN"/>
              </w:rPr>
            </w:pPr>
            <w:r>
              <w:rPr>
                <w:rFonts w:hint="eastAsia"/>
                <w:sz w:val="24"/>
                <w:highlight w:val="none"/>
                <w:lang w:val="en-US" w:eastAsia="zh-CN"/>
              </w:rPr>
              <w:t>31</w:t>
            </w:r>
          </w:p>
        </w:tc>
      </w:tr>
      <w:tr w14:paraId="6586C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16D483E9">
            <w:pPr>
              <w:adjustRightInd w:val="0"/>
              <w:snapToGrid w:val="0"/>
              <w:jc w:val="center"/>
              <w:rPr>
                <w:rFonts w:hint="eastAsia" w:ascii="宋体" w:hAnsi="宋体" w:cs="宋体"/>
                <w:sz w:val="24"/>
              </w:rPr>
            </w:pPr>
            <w:r>
              <w:rPr>
                <w:rFonts w:hint="eastAsia" w:ascii="宋体" w:hAnsi="宋体" w:cs="宋体"/>
                <w:sz w:val="24"/>
              </w:rPr>
              <w:t>环保投资</w:t>
            </w:r>
          </w:p>
          <w:p w14:paraId="7209862E">
            <w:pPr>
              <w:adjustRightInd w:val="0"/>
              <w:snapToGrid w:val="0"/>
              <w:jc w:val="center"/>
              <w:rPr>
                <w:rFonts w:ascii="宋体" w:hAnsi="宋体" w:cs="宋体"/>
                <w:sz w:val="24"/>
              </w:rPr>
            </w:pPr>
            <w:r>
              <w:rPr>
                <w:rFonts w:hint="eastAsia" w:ascii="宋体" w:hAnsi="宋体" w:cs="宋体"/>
                <w:sz w:val="24"/>
              </w:rPr>
              <w:t>占比（</w:t>
            </w:r>
            <w:r>
              <w:rPr>
                <w:rFonts w:ascii="宋体" w:hAnsi="宋体" w:cs="宋体"/>
                <w:sz w:val="24"/>
              </w:rPr>
              <w:t>%</w:t>
            </w:r>
            <w:r>
              <w:rPr>
                <w:rFonts w:hint="eastAsia" w:ascii="宋体" w:hAnsi="宋体" w:cs="宋体"/>
                <w:sz w:val="24"/>
              </w:rPr>
              <w:t>）</w:t>
            </w:r>
          </w:p>
        </w:tc>
        <w:tc>
          <w:tcPr>
            <w:tcW w:w="1715" w:type="dxa"/>
            <w:shd w:val="clear" w:color="auto" w:fill="auto"/>
            <w:noWrap w:val="0"/>
            <w:vAlign w:val="center"/>
          </w:tcPr>
          <w:p w14:paraId="5A2FB036">
            <w:pPr>
              <w:adjustRightInd w:val="0"/>
              <w:snapToGrid w:val="0"/>
              <w:jc w:val="center"/>
              <w:rPr>
                <w:rFonts w:hint="default" w:eastAsia="宋体"/>
                <w:sz w:val="24"/>
                <w:highlight w:val="none"/>
                <w:lang w:val="en-US" w:eastAsia="zh-CN"/>
              </w:rPr>
            </w:pPr>
            <w:r>
              <w:rPr>
                <w:rFonts w:hint="eastAsia"/>
                <w:sz w:val="24"/>
                <w:highlight w:val="none"/>
                <w:lang w:val="en-US" w:eastAsia="zh-CN"/>
              </w:rPr>
              <w:t>6.2</w:t>
            </w:r>
          </w:p>
        </w:tc>
        <w:tc>
          <w:tcPr>
            <w:tcW w:w="2378" w:type="dxa"/>
            <w:shd w:val="clear" w:color="auto" w:fill="auto"/>
            <w:noWrap w:val="0"/>
            <w:tcMar>
              <w:top w:w="16" w:type="dxa"/>
              <w:left w:w="16" w:type="dxa"/>
              <w:bottom w:w="0" w:type="dxa"/>
              <w:right w:w="16" w:type="dxa"/>
            </w:tcMar>
            <w:vAlign w:val="center"/>
          </w:tcPr>
          <w:p w14:paraId="45401269">
            <w:pPr>
              <w:adjustRightInd w:val="0"/>
              <w:snapToGrid w:val="0"/>
              <w:jc w:val="center"/>
              <w:rPr>
                <w:rFonts w:ascii="宋体" w:hAnsi="宋体" w:cs="宋体"/>
                <w:sz w:val="24"/>
                <w:highlight w:val="none"/>
              </w:rPr>
            </w:pPr>
            <w:r>
              <w:rPr>
                <w:rFonts w:hint="eastAsia" w:ascii="宋体" w:hAnsi="宋体" w:cs="宋体"/>
                <w:sz w:val="24"/>
                <w:highlight w:val="none"/>
              </w:rPr>
              <w:t>施工工期</w:t>
            </w:r>
          </w:p>
        </w:tc>
        <w:tc>
          <w:tcPr>
            <w:tcW w:w="3200" w:type="dxa"/>
            <w:shd w:val="clear" w:color="auto" w:fill="auto"/>
            <w:noWrap w:val="0"/>
            <w:vAlign w:val="center"/>
          </w:tcPr>
          <w:p w14:paraId="74F2F1A5">
            <w:pPr>
              <w:adjustRightInd w:val="0"/>
              <w:snapToGrid w:val="0"/>
              <w:jc w:val="center"/>
              <w:rPr>
                <w:sz w:val="24"/>
                <w:highlight w:val="none"/>
              </w:rPr>
            </w:pPr>
            <w:r>
              <w:rPr>
                <w:rFonts w:hint="eastAsia"/>
                <w:sz w:val="24"/>
                <w:highlight w:val="none"/>
                <w:lang w:val="en-US" w:eastAsia="zh-CN"/>
              </w:rPr>
              <w:t>4</w:t>
            </w:r>
            <w:r>
              <w:rPr>
                <w:rFonts w:hAnsi="宋体"/>
                <w:sz w:val="24"/>
                <w:highlight w:val="none"/>
              </w:rPr>
              <w:t>个月</w:t>
            </w:r>
          </w:p>
        </w:tc>
      </w:tr>
      <w:tr w14:paraId="11D7E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577" w:type="dxa"/>
            <w:shd w:val="clear" w:color="auto" w:fill="auto"/>
            <w:noWrap w:val="0"/>
            <w:tcMar>
              <w:top w:w="16" w:type="dxa"/>
              <w:left w:w="16" w:type="dxa"/>
              <w:bottom w:w="0" w:type="dxa"/>
              <w:right w:w="16" w:type="dxa"/>
            </w:tcMar>
            <w:vAlign w:val="center"/>
          </w:tcPr>
          <w:p w14:paraId="16CD550F">
            <w:pPr>
              <w:adjustRightInd w:val="0"/>
              <w:snapToGrid w:val="0"/>
              <w:jc w:val="center"/>
              <w:rPr>
                <w:rFonts w:hint="eastAsia" w:ascii="宋体" w:hAnsi="宋体" w:cs="宋体"/>
                <w:sz w:val="24"/>
              </w:rPr>
            </w:pPr>
            <w:r>
              <w:rPr>
                <w:rFonts w:hint="eastAsia" w:ascii="宋体" w:hAnsi="宋体" w:cs="宋体"/>
                <w:sz w:val="24"/>
              </w:rPr>
              <w:t>是否开工</w:t>
            </w:r>
          </w:p>
          <w:p w14:paraId="10360E1C">
            <w:pPr>
              <w:adjustRightInd w:val="0"/>
              <w:snapToGrid w:val="0"/>
              <w:jc w:val="center"/>
              <w:rPr>
                <w:rFonts w:ascii="宋体" w:hAnsi="宋体" w:cs="宋体"/>
                <w:sz w:val="24"/>
              </w:rPr>
            </w:pPr>
            <w:r>
              <w:rPr>
                <w:rFonts w:hint="eastAsia" w:ascii="宋体" w:hAnsi="宋体" w:cs="宋体"/>
                <w:sz w:val="24"/>
              </w:rPr>
              <w:t>建设</w:t>
            </w:r>
          </w:p>
        </w:tc>
        <w:tc>
          <w:tcPr>
            <w:tcW w:w="1715" w:type="dxa"/>
            <w:shd w:val="clear" w:color="auto" w:fill="auto"/>
            <w:noWrap w:val="0"/>
            <w:vAlign w:val="center"/>
          </w:tcPr>
          <w:p w14:paraId="16D4E977">
            <w:pPr>
              <w:adjustRightInd w:val="0"/>
              <w:snapToGrid w:val="0"/>
              <w:rPr>
                <w:rFonts w:ascii="宋体" w:hAnsi="宋体" w:cs="宋体"/>
                <w:sz w:val="24"/>
              </w:rPr>
            </w:pPr>
            <w:r>
              <w:rPr>
                <w:rFonts w:ascii="Wingdings 2" w:hAnsi="Wingdings 2" w:eastAsia="Wingdings 2" w:cs="Wingdings 2"/>
                <w:sz w:val="24"/>
              </w:rPr>
              <w:t>R</w:t>
            </w:r>
            <w:r>
              <w:rPr>
                <w:rFonts w:hint="eastAsia" w:ascii="宋体" w:hAnsi="宋体" w:cs="宋体"/>
                <w:sz w:val="24"/>
              </w:rPr>
              <w:t>否</w:t>
            </w:r>
          </w:p>
          <w:p w14:paraId="4E167156">
            <w:pPr>
              <w:adjustRightInd w:val="0"/>
              <w:snapToGrid w:val="0"/>
              <w:rPr>
                <w:rFonts w:ascii="宋体" w:hAnsi="宋体" w:cs="宋体"/>
                <w:sz w:val="24"/>
              </w:rPr>
            </w:pPr>
            <w:r>
              <w:rPr>
                <w:rFonts w:hint="eastAsia" w:ascii="MS Mincho" w:hAnsi="MS Mincho" w:eastAsia="宋体" w:cs="MS Mincho"/>
                <w:sz w:val="24"/>
                <w:lang w:eastAsia="zh-CN"/>
              </w:rPr>
              <w:t>□</w:t>
            </w:r>
            <w:r>
              <w:rPr>
                <w:rFonts w:hint="eastAsia" w:ascii="宋体" w:hAnsi="宋体" w:cs="宋体"/>
                <w:sz w:val="24"/>
              </w:rPr>
              <w:t>是</w:t>
            </w:r>
          </w:p>
        </w:tc>
        <w:tc>
          <w:tcPr>
            <w:tcW w:w="2378" w:type="dxa"/>
            <w:shd w:val="clear" w:color="auto" w:fill="auto"/>
            <w:noWrap w:val="0"/>
            <w:tcMar>
              <w:top w:w="16" w:type="dxa"/>
              <w:left w:w="16" w:type="dxa"/>
              <w:bottom w:w="0" w:type="dxa"/>
              <w:right w:w="16" w:type="dxa"/>
            </w:tcMar>
            <w:vAlign w:val="center"/>
          </w:tcPr>
          <w:p w14:paraId="5299028B">
            <w:pPr>
              <w:adjustRightInd w:val="0"/>
              <w:snapToGrid w:val="0"/>
              <w:jc w:val="center"/>
              <w:rPr>
                <w:rFonts w:ascii="宋体" w:hAnsi="宋体" w:cs="宋体"/>
                <w:spacing w:val="-6"/>
                <w:sz w:val="24"/>
              </w:rPr>
            </w:pPr>
            <w:r>
              <w:rPr>
                <w:rFonts w:hint="eastAsia" w:ascii="宋体" w:hAnsi="宋体" w:cs="宋体"/>
                <w:spacing w:val="-6"/>
                <w:sz w:val="24"/>
              </w:rPr>
              <w:t>用地（用海）</w:t>
            </w:r>
          </w:p>
          <w:p w14:paraId="2BF5315A">
            <w:pPr>
              <w:adjustRightInd w:val="0"/>
              <w:snapToGrid w:val="0"/>
              <w:jc w:val="center"/>
              <w:rPr>
                <w:rFonts w:ascii="宋体" w:hAnsi="宋体" w:cs="宋体"/>
                <w:sz w:val="24"/>
              </w:rPr>
            </w:pPr>
            <w:r>
              <w:rPr>
                <w:rFonts w:hint="eastAsia" w:ascii="宋体" w:hAnsi="宋体" w:cs="宋体"/>
                <w:spacing w:val="-6"/>
                <w:sz w:val="24"/>
              </w:rPr>
              <w:t>面积</w:t>
            </w:r>
            <w:r>
              <w:rPr>
                <w:rFonts w:hAnsi="宋体"/>
                <w:spacing w:val="-6"/>
                <w:sz w:val="24"/>
              </w:rPr>
              <w:t>（</w:t>
            </w:r>
            <w:r>
              <w:rPr>
                <w:spacing w:val="-6"/>
                <w:sz w:val="24"/>
              </w:rPr>
              <w:t>m</w:t>
            </w:r>
            <w:r>
              <w:rPr>
                <w:spacing w:val="-6"/>
                <w:sz w:val="24"/>
                <w:vertAlign w:val="superscript"/>
              </w:rPr>
              <w:t>2</w:t>
            </w:r>
            <w:r>
              <w:rPr>
                <w:rFonts w:hint="eastAsia" w:ascii="宋体" w:hAnsi="宋体" w:cs="宋体"/>
                <w:spacing w:val="-6"/>
                <w:sz w:val="24"/>
              </w:rPr>
              <w:t>）</w:t>
            </w:r>
          </w:p>
        </w:tc>
        <w:tc>
          <w:tcPr>
            <w:tcW w:w="3200" w:type="dxa"/>
            <w:shd w:val="clear" w:color="auto" w:fill="auto"/>
            <w:noWrap w:val="0"/>
            <w:vAlign w:val="center"/>
          </w:tcPr>
          <w:p w14:paraId="4EC97569">
            <w:pPr>
              <w:adjustRightInd w:val="0"/>
              <w:snapToGrid w:val="0"/>
              <w:jc w:val="center"/>
              <w:rPr>
                <w:sz w:val="24"/>
              </w:rPr>
            </w:pPr>
            <w:r>
              <w:rPr>
                <w:sz w:val="24"/>
              </w:rPr>
              <w:t>0（无新增用地）</w:t>
            </w:r>
          </w:p>
        </w:tc>
      </w:tr>
      <w:tr w14:paraId="46831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1" w:hRule="atLeast"/>
          <w:jc w:val="center"/>
        </w:trPr>
        <w:tc>
          <w:tcPr>
            <w:tcW w:w="1577" w:type="dxa"/>
            <w:shd w:val="clear" w:color="auto" w:fill="auto"/>
            <w:noWrap w:val="0"/>
            <w:vAlign w:val="center"/>
          </w:tcPr>
          <w:p w14:paraId="65941D4E">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7293" w:type="dxa"/>
            <w:gridSpan w:val="3"/>
            <w:shd w:val="clear" w:color="auto" w:fill="auto"/>
            <w:noWrap w:val="0"/>
            <w:vAlign w:val="center"/>
          </w:tcPr>
          <w:p w14:paraId="4F61ED60">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14:paraId="6860A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1" w:hRule="atLeast"/>
          <w:jc w:val="center"/>
        </w:trPr>
        <w:tc>
          <w:tcPr>
            <w:tcW w:w="1577" w:type="dxa"/>
            <w:shd w:val="clear" w:color="auto" w:fill="auto"/>
            <w:noWrap w:val="0"/>
            <w:vAlign w:val="center"/>
          </w:tcPr>
          <w:p w14:paraId="255B3589">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7293" w:type="dxa"/>
            <w:gridSpan w:val="3"/>
            <w:shd w:val="clear" w:color="auto" w:fill="auto"/>
            <w:noWrap w:val="0"/>
            <w:vAlign w:val="center"/>
          </w:tcPr>
          <w:p w14:paraId="129A96C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olor w:val="000000"/>
                <w:sz w:val="24"/>
              </w:rPr>
            </w:pPr>
            <w:r>
              <w:rPr>
                <w:rFonts w:ascii="Times New Roman" w:hAnsi="Times New Roman"/>
                <w:color w:val="000000"/>
                <w:sz w:val="24"/>
              </w:rPr>
              <w:t>规划名称：《</w:t>
            </w:r>
            <w:r>
              <w:rPr>
                <w:rFonts w:hint="eastAsia" w:ascii="Times New Roman" w:hAnsi="Times New Roman"/>
                <w:color w:val="000000"/>
                <w:sz w:val="24"/>
              </w:rPr>
              <w:t>凤翔高新技术产业开发区总体规划（2019-2035）</w:t>
            </w:r>
            <w:r>
              <w:rPr>
                <w:rFonts w:ascii="Times New Roman" w:hAnsi="Times New Roman"/>
                <w:color w:val="000000"/>
                <w:sz w:val="24"/>
              </w:rPr>
              <w:t>》</w:t>
            </w:r>
            <w:r>
              <w:rPr>
                <w:rFonts w:hint="eastAsia" w:ascii="Times New Roman" w:hAnsi="Times New Roman"/>
                <w:color w:val="000000"/>
                <w:sz w:val="24"/>
              </w:rPr>
              <w:t>（修编）；</w:t>
            </w:r>
          </w:p>
          <w:p w14:paraId="5538A4A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ascii="宋体" w:hAnsi="宋体" w:cs="宋体"/>
                <w:kern w:val="0"/>
                <w:sz w:val="24"/>
              </w:rPr>
            </w:pPr>
            <w:r>
              <w:rPr>
                <w:rFonts w:hint="eastAsia" w:ascii="Times New Roman" w:hAnsi="Times New Roman"/>
                <w:color w:val="000000"/>
                <w:sz w:val="24"/>
              </w:rPr>
              <w:t>审批机关：陕西省人民政府</w:t>
            </w:r>
          </w:p>
        </w:tc>
      </w:tr>
      <w:tr w14:paraId="0C52E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1" w:hRule="atLeast"/>
          <w:jc w:val="center"/>
        </w:trPr>
        <w:tc>
          <w:tcPr>
            <w:tcW w:w="1577" w:type="dxa"/>
            <w:shd w:val="clear" w:color="auto" w:fill="auto"/>
            <w:noWrap w:val="0"/>
            <w:vAlign w:val="center"/>
          </w:tcPr>
          <w:p w14:paraId="215B055C">
            <w:pPr>
              <w:adjustRightInd w:val="0"/>
              <w:snapToGrid w:val="0"/>
              <w:jc w:val="center"/>
              <w:rPr>
                <w:rFonts w:ascii="宋体" w:hAnsi="宋体" w:cs="宋体"/>
                <w:kern w:val="0"/>
                <w:sz w:val="24"/>
              </w:rPr>
            </w:pPr>
            <w:r>
              <w:rPr>
                <w:rFonts w:hint="eastAsia" w:ascii="宋体" w:hAnsi="宋体" w:cs="宋体"/>
                <w:sz w:val="24"/>
              </w:rPr>
              <w:t>规划环境影响评价情况</w:t>
            </w:r>
          </w:p>
        </w:tc>
        <w:tc>
          <w:tcPr>
            <w:tcW w:w="7293" w:type="dxa"/>
            <w:gridSpan w:val="3"/>
            <w:shd w:val="clear" w:color="auto" w:fill="auto"/>
            <w:noWrap w:val="0"/>
            <w:vAlign w:val="center"/>
          </w:tcPr>
          <w:p w14:paraId="02F6EDC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olor w:val="000000"/>
                <w:sz w:val="24"/>
              </w:rPr>
            </w:pPr>
            <w:r>
              <w:rPr>
                <w:rFonts w:hint="eastAsia" w:ascii="Times New Roman" w:hAnsi="Times New Roman"/>
                <w:color w:val="000000"/>
                <w:sz w:val="24"/>
              </w:rPr>
              <w:t>文件名称：《凤翔高新技术产业开发区总体规划（2019-2035）（修编）（2019-2035）（修编）环境影响报告书》；</w:t>
            </w:r>
          </w:p>
          <w:p w14:paraId="6E08A2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olor w:val="000000"/>
                <w:sz w:val="24"/>
              </w:rPr>
            </w:pPr>
            <w:r>
              <w:rPr>
                <w:rFonts w:hint="eastAsia" w:ascii="Times New Roman" w:hAnsi="Times New Roman"/>
                <w:color w:val="000000"/>
                <w:sz w:val="24"/>
              </w:rPr>
              <w:t>审查机关：</w:t>
            </w:r>
            <w:r>
              <w:rPr>
                <w:rFonts w:hint="eastAsia"/>
                <w:bCs/>
                <w:color w:val="000000"/>
                <w:spacing w:val="4"/>
                <w:sz w:val="24"/>
              </w:rPr>
              <w:t>陕西省生态环境厅</w:t>
            </w:r>
            <w:r>
              <w:rPr>
                <w:rFonts w:hint="eastAsia" w:ascii="Times New Roman" w:hAnsi="Times New Roman"/>
                <w:color w:val="000000"/>
                <w:sz w:val="24"/>
              </w:rPr>
              <w:t>；</w:t>
            </w:r>
          </w:p>
          <w:p w14:paraId="0256739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ascii="宋体" w:hAnsi="宋体" w:cs="宋体"/>
                <w:kern w:val="0"/>
                <w:sz w:val="24"/>
              </w:rPr>
            </w:pPr>
            <w:r>
              <w:rPr>
                <w:rFonts w:hint="eastAsia" w:ascii="Times New Roman" w:hAnsi="Times New Roman"/>
                <w:color w:val="000000"/>
                <w:sz w:val="24"/>
              </w:rPr>
              <w:t>审查文件名称及文号：《凤翔高新技术产业开发区总体规划</w:t>
            </w:r>
            <w:r>
              <w:rPr>
                <w:rFonts w:hint="eastAsia" w:ascii="Times New Roman" w:hAnsi="Times New Roman"/>
                <w:color w:val="000000"/>
                <w:sz w:val="24"/>
                <w:lang w:eastAsia="zh-CN"/>
              </w:rPr>
              <w:t>（</w:t>
            </w:r>
            <w:r>
              <w:rPr>
                <w:rFonts w:hint="eastAsia" w:ascii="Times New Roman" w:hAnsi="Times New Roman"/>
                <w:color w:val="000000"/>
                <w:sz w:val="24"/>
              </w:rPr>
              <w:t>2019-2035）（修编）（2019-2035）（修编）环境影响报告书审查意见》（陕环环评函〔2020〕54号）。</w:t>
            </w:r>
          </w:p>
        </w:tc>
      </w:tr>
      <w:tr w14:paraId="668C1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1" w:hRule="atLeast"/>
          <w:jc w:val="center"/>
        </w:trPr>
        <w:tc>
          <w:tcPr>
            <w:tcW w:w="1577" w:type="dxa"/>
            <w:shd w:val="clear" w:color="auto" w:fill="auto"/>
            <w:noWrap w:val="0"/>
            <w:vAlign w:val="center"/>
          </w:tcPr>
          <w:p w14:paraId="1E16D963">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规划及规划环境影响评价符合性分析</w:t>
            </w:r>
          </w:p>
        </w:tc>
        <w:tc>
          <w:tcPr>
            <w:tcW w:w="7293" w:type="dxa"/>
            <w:gridSpan w:val="3"/>
            <w:shd w:val="clear" w:color="auto" w:fill="auto"/>
            <w:noWrap w:val="0"/>
            <w:vAlign w:val="center"/>
          </w:tcPr>
          <w:p w14:paraId="1DE3998D">
            <w:pPr>
              <w:autoSpaceDE w:val="0"/>
              <w:autoSpaceDN w:val="0"/>
              <w:spacing w:line="360" w:lineRule="auto"/>
              <w:ind w:firstLine="480" w:firstLineChars="200"/>
              <w:rPr>
                <w:rFonts w:ascii="Times New Roman" w:hAnsi="Times New Roman"/>
                <w:color w:val="000000"/>
                <w:kern w:val="0"/>
                <w:sz w:val="24"/>
              </w:rPr>
            </w:pPr>
            <w:r>
              <w:rPr>
                <w:rFonts w:ascii="Times New Roman" w:hAnsi="Times New Roman"/>
                <w:color w:val="000000"/>
                <w:kern w:val="0"/>
                <w:sz w:val="24"/>
              </w:rPr>
              <w:t>1</w:t>
            </w:r>
            <w:r>
              <w:rPr>
                <w:rFonts w:hint="eastAsia"/>
                <w:color w:val="000000"/>
                <w:kern w:val="0"/>
                <w:sz w:val="24"/>
                <w:lang w:val="en-US" w:eastAsia="zh-CN"/>
              </w:rPr>
              <w:t>.</w:t>
            </w:r>
            <w:r>
              <w:rPr>
                <w:rFonts w:ascii="Times New Roman" w:hAnsi="Times New Roman"/>
                <w:color w:val="000000"/>
                <w:kern w:val="0"/>
                <w:sz w:val="24"/>
              </w:rPr>
              <w:t>规划及规划环境影响评价符合性分析</w:t>
            </w:r>
          </w:p>
          <w:p w14:paraId="2C287CBF">
            <w:pPr>
              <w:spacing w:line="360" w:lineRule="auto"/>
              <w:ind w:firstLine="480" w:firstLineChars="200"/>
              <w:rPr>
                <w:rFonts w:ascii="Times New Roman" w:hAnsi="Times New Roman"/>
                <w:color w:val="000000"/>
                <w:sz w:val="24"/>
              </w:rPr>
            </w:pPr>
            <w:r>
              <w:rPr>
                <w:rFonts w:ascii="Times New Roman" w:hAnsi="Times New Roman"/>
                <w:color w:val="000000"/>
                <w:sz w:val="24"/>
              </w:rPr>
              <w:t>本项目位于</w:t>
            </w:r>
            <w:r>
              <w:rPr>
                <w:rFonts w:hint="eastAsia" w:ascii="Times New Roman" w:hAnsi="Times New Roman"/>
                <w:color w:val="000000"/>
                <w:sz w:val="24"/>
              </w:rPr>
              <w:t>陕西省宝鸡市凤翔区长青工业园区创业西路3号</w:t>
            </w:r>
            <w:r>
              <w:rPr>
                <w:rFonts w:ascii="Times New Roman" w:hAnsi="Times New Roman"/>
                <w:color w:val="000000"/>
                <w:sz w:val="24"/>
              </w:rPr>
              <w:t>，属于</w:t>
            </w:r>
            <w:r>
              <w:rPr>
                <w:rFonts w:hint="eastAsia" w:ascii="Times New Roman" w:hAnsi="Times New Roman"/>
                <w:color w:val="000000"/>
                <w:sz w:val="24"/>
              </w:rPr>
              <w:t>凤翔区</w:t>
            </w:r>
            <w:r>
              <w:rPr>
                <w:rFonts w:ascii="Times New Roman" w:hAnsi="Times New Roman"/>
                <w:color w:val="000000"/>
                <w:sz w:val="24"/>
              </w:rPr>
              <w:t>经济技术开发区总体规划范围内用地。本项目与《</w:t>
            </w:r>
            <w:r>
              <w:rPr>
                <w:rFonts w:hint="eastAsia" w:ascii="Times New Roman" w:hAnsi="Times New Roman"/>
                <w:color w:val="000000"/>
                <w:sz w:val="24"/>
              </w:rPr>
              <w:t>凤翔高新技术产业开发区总体规划（2019-2035）（修编）》《凤翔高新技术产业开发区总体规划（2019-2035）（修编）（2019-2035）（修编）环境影响报告书</w:t>
            </w:r>
            <w:r>
              <w:rPr>
                <w:rFonts w:ascii="Times New Roman" w:hAnsi="Times New Roman"/>
                <w:color w:val="000000"/>
                <w:sz w:val="24"/>
              </w:rPr>
              <w:t>》及审查意见</w:t>
            </w:r>
            <w:r>
              <w:rPr>
                <w:rFonts w:hint="eastAsia"/>
                <w:color w:val="000000"/>
                <w:sz w:val="24"/>
                <w:lang w:eastAsia="zh-CN"/>
              </w:rPr>
              <w:t>的</w:t>
            </w:r>
            <w:r>
              <w:rPr>
                <w:rFonts w:ascii="Times New Roman" w:hAnsi="Times New Roman"/>
                <w:color w:val="000000"/>
                <w:sz w:val="24"/>
              </w:rPr>
              <w:t>符合性见表1-1。</w:t>
            </w:r>
          </w:p>
          <w:p w14:paraId="1E68B648">
            <w:pPr>
              <w:jc w:val="center"/>
              <w:textAlignment w:val="baseline"/>
              <w:rPr>
                <w:rFonts w:ascii="Times New Roman" w:hAnsi="Times New Roman"/>
                <w:b w:val="0"/>
                <w:bCs/>
                <w:color w:val="000000"/>
                <w:sz w:val="24"/>
              </w:rPr>
            </w:pPr>
            <w:r>
              <w:rPr>
                <w:rFonts w:ascii="Times New Roman" w:hAnsi="Times New Roman"/>
                <w:b w:val="0"/>
                <w:bCs/>
                <w:color w:val="000000"/>
                <w:sz w:val="24"/>
              </w:rPr>
              <w:t>表1-1  规划及规划环境影响评价符合性分析</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68" w:type="dxa"/>
                <w:bottom w:w="0" w:type="dxa"/>
                <w:right w:w="68" w:type="dxa"/>
              </w:tblCellMar>
            </w:tblPr>
            <w:tblGrid>
              <w:gridCol w:w="1436"/>
              <w:gridCol w:w="705"/>
              <w:gridCol w:w="705"/>
              <w:gridCol w:w="1650"/>
              <w:gridCol w:w="1689"/>
              <w:gridCol w:w="881"/>
            </w:tblGrid>
            <w:tr w14:paraId="28FB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68" w:type="dxa"/>
                  <w:bottom w:w="0" w:type="dxa"/>
                  <w:right w:w="68" w:type="dxa"/>
                </w:tblCellMar>
              </w:tblPrEx>
              <w:trPr>
                <w:trHeight w:val="340" w:hRule="atLeast"/>
                <w:jc w:val="center"/>
              </w:trPr>
              <w:tc>
                <w:tcPr>
                  <w:tcW w:w="1016" w:type="pct"/>
                  <w:shd w:val="clear" w:color="auto" w:fill="auto"/>
                  <w:noWrap w:val="0"/>
                  <w:vAlign w:val="center"/>
                </w:tcPr>
                <w:p w14:paraId="4D6A78A1">
                  <w:pPr>
                    <w:jc w:val="center"/>
                    <w:rPr>
                      <w:rFonts w:ascii="Times New Roman" w:hAnsi="Times New Roman"/>
                      <w:bCs/>
                      <w:color w:val="000000"/>
                      <w:sz w:val="21"/>
                      <w:szCs w:val="21"/>
                    </w:rPr>
                  </w:pPr>
                  <w:r>
                    <w:rPr>
                      <w:rFonts w:ascii="Times New Roman" w:hAnsi="Times New Roman"/>
                      <w:bCs/>
                      <w:color w:val="000000"/>
                      <w:sz w:val="21"/>
                      <w:szCs w:val="21"/>
                    </w:rPr>
                    <w:t>名称</w:t>
                  </w:r>
                </w:p>
              </w:tc>
              <w:tc>
                <w:tcPr>
                  <w:tcW w:w="2165" w:type="pct"/>
                  <w:gridSpan w:val="3"/>
                  <w:shd w:val="clear" w:color="auto" w:fill="auto"/>
                  <w:noWrap w:val="0"/>
                  <w:vAlign w:val="center"/>
                </w:tcPr>
                <w:p w14:paraId="1618F20F">
                  <w:pPr>
                    <w:jc w:val="center"/>
                    <w:rPr>
                      <w:rFonts w:ascii="Times New Roman" w:hAnsi="Times New Roman"/>
                      <w:bCs/>
                      <w:color w:val="000000"/>
                      <w:sz w:val="21"/>
                      <w:szCs w:val="21"/>
                    </w:rPr>
                  </w:pPr>
                  <w:r>
                    <w:rPr>
                      <w:rFonts w:ascii="Times New Roman" w:hAnsi="Times New Roman"/>
                      <w:bCs/>
                      <w:color w:val="000000"/>
                      <w:sz w:val="21"/>
                      <w:szCs w:val="21"/>
                    </w:rPr>
                    <w:t>要求</w:t>
                  </w:r>
                </w:p>
              </w:tc>
              <w:tc>
                <w:tcPr>
                  <w:tcW w:w="1195" w:type="pct"/>
                  <w:shd w:val="clear" w:color="auto" w:fill="auto"/>
                  <w:noWrap w:val="0"/>
                  <w:vAlign w:val="center"/>
                </w:tcPr>
                <w:p w14:paraId="79DAAD6F">
                  <w:pPr>
                    <w:jc w:val="center"/>
                    <w:rPr>
                      <w:rFonts w:ascii="Times New Roman" w:hAnsi="Times New Roman"/>
                      <w:bCs/>
                      <w:color w:val="000000"/>
                      <w:sz w:val="21"/>
                      <w:szCs w:val="21"/>
                    </w:rPr>
                  </w:pPr>
                  <w:r>
                    <w:rPr>
                      <w:rFonts w:ascii="Times New Roman" w:hAnsi="Times New Roman"/>
                      <w:bCs/>
                      <w:color w:val="000000"/>
                      <w:sz w:val="21"/>
                      <w:szCs w:val="21"/>
                    </w:rPr>
                    <w:t>本项目情况</w:t>
                  </w:r>
                </w:p>
              </w:tc>
              <w:tc>
                <w:tcPr>
                  <w:tcW w:w="623" w:type="pct"/>
                  <w:shd w:val="clear" w:color="auto" w:fill="auto"/>
                  <w:noWrap w:val="0"/>
                  <w:vAlign w:val="center"/>
                </w:tcPr>
                <w:p w14:paraId="2A2421B3">
                  <w:pPr>
                    <w:jc w:val="center"/>
                    <w:rPr>
                      <w:rFonts w:ascii="Times New Roman" w:hAnsi="Times New Roman"/>
                      <w:bCs/>
                      <w:color w:val="000000"/>
                      <w:sz w:val="21"/>
                      <w:szCs w:val="21"/>
                    </w:rPr>
                  </w:pPr>
                  <w:r>
                    <w:rPr>
                      <w:rFonts w:ascii="Times New Roman" w:hAnsi="Times New Roman"/>
                      <w:bCs/>
                      <w:color w:val="000000"/>
                      <w:sz w:val="21"/>
                      <w:szCs w:val="21"/>
                    </w:rPr>
                    <w:t>符合性</w:t>
                  </w:r>
                </w:p>
              </w:tc>
            </w:tr>
            <w:tr w14:paraId="0243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90" w:hRule="atLeast"/>
                <w:jc w:val="center"/>
              </w:trPr>
              <w:tc>
                <w:tcPr>
                  <w:tcW w:w="1016" w:type="pct"/>
                  <w:shd w:val="clear" w:color="auto" w:fill="auto"/>
                  <w:noWrap w:val="0"/>
                  <w:vAlign w:val="center"/>
                </w:tcPr>
                <w:p w14:paraId="49A4753B">
                  <w:pP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凤翔高新技术产业开发区总体规划（2019-2035）（修编）</w:t>
                  </w:r>
                  <w:r>
                    <w:rPr>
                      <w:rFonts w:ascii="Times New Roman" w:hAnsi="Times New Roman"/>
                      <w:color w:val="000000"/>
                      <w:sz w:val="21"/>
                      <w:szCs w:val="21"/>
                    </w:rPr>
                    <w:t>》</w:t>
                  </w:r>
                </w:p>
              </w:tc>
              <w:tc>
                <w:tcPr>
                  <w:tcW w:w="2165" w:type="pct"/>
                  <w:gridSpan w:val="3"/>
                  <w:shd w:val="clear" w:color="auto" w:fill="auto"/>
                  <w:noWrap w:val="0"/>
                  <w:vAlign w:val="center"/>
                </w:tcPr>
                <w:p w14:paraId="7B8398B4">
                  <w:pPr>
                    <w:autoSpaceDE w:val="0"/>
                    <w:autoSpaceDN w:val="0"/>
                    <w:adjustRightInd w:val="0"/>
                    <w:rPr>
                      <w:rFonts w:ascii="Times New Roman" w:hAnsi="Times New Roman"/>
                      <w:color w:val="000000"/>
                      <w:sz w:val="21"/>
                      <w:szCs w:val="21"/>
                    </w:rPr>
                  </w:pPr>
                  <w:r>
                    <w:rPr>
                      <w:rFonts w:hint="eastAsia"/>
                      <w:color w:val="000000"/>
                      <w:sz w:val="21"/>
                      <w:szCs w:val="21"/>
                    </w:rPr>
                    <w:t>长青工业园规划范围：</w:t>
                  </w:r>
                  <w:r>
                    <w:rPr>
                      <w:rFonts w:hint="eastAsia" w:cs="宋体"/>
                      <w:color w:val="000000"/>
                      <w:kern w:val="0"/>
                      <w:sz w:val="21"/>
                      <w:szCs w:val="21"/>
                    </w:rPr>
                    <w:t>长青工业园东至西府大道，西至千河东岸，北至凤陈公路，南至宝麟铁路，总面积为</w:t>
                  </w:r>
                  <w:r>
                    <w:rPr>
                      <w:color w:val="000000"/>
                      <w:sz w:val="21"/>
                      <w:szCs w:val="21"/>
                    </w:rPr>
                    <w:t>16.45km</w:t>
                  </w:r>
                  <w:r>
                    <w:rPr>
                      <w:color w:val="000000"/>
                      <w:sz w:val="21"/>
                      <w:szCs w:val="21"/>
                      <w:vertAlign w:val="superscript"/>
                    </w:rPr>
                    <w:t>2</w:t>
                  </w:r>
                  <w:r>
                    <w:rPr>
                      <w:rFonts w:hint="eastAsia"/>
                      <w:color w:val="000000"/>
                      <w:sz w:val="21"/>
                      <w:szCs w:val="21"/>
                    </w:rPr>
                    <w:t>。从空间结构上分为热电能源区、新材料产业区、创意研发区、生活服务区。其中</w:t>
                  </w:r>
                  <w:r>
                    <w:rPr>
                      <w:rFonts w:hint="eastAsia" w:cs="宋体"/>
                      <w:color w:val="000000"/>
                      <w:kern w:val="0"/>
                      <w:sz w:val="21"/>
                      <w:szCs w:val="21"/>
                    </w:rPr>
                    <w:t>新材料产业区包括金属新材料产业区和循环经济产业区。循环经济产业区重点发展</w:t>
                  </w:r>
                  <w:r>
                    <w:rPr>
                      <w:rFonts w:cs="TimesNewRomanPS-BoldMT"/>
                      <w:bCs/>
                      <w:color w:val="000000"/>
                      <w:kern w:val="0"/>
                      <w:sz w:val="21"/>
                      <w:szCs w:val="21"/>
                    </w:rPr>
                    <w:t>C1</w:t>
                  </w:r>
                  <w:r>
                    <w:rPr>
                      <w:rFonts w:hint="eastAsia" w:cs="宋体"/>
                      <w:color w:val="000000"/>
                      <w:kern w:val="0"/>
                      <w:sz w:val="21"/>
                      <w:szCs w:val="21"/>
                    </w:rPr>
                    <w:t>化工、甲醇相关下游产品、专用化学品、高附加值精细化工及新材料、无机化工、医药化工，以及相关的节能环保、资源利用等配套产业。化工新材料产业规划发展的重点，其一是围绕</w:t>
                  </w:r>
                  <w:r>
                    <w:rPr>
                      <w:rFonts w:hint="eastAsia"/>
                      <w:color w:val="000000"/>
                      <w:sz w:val="21"/>
                      <w:szCs w:val="21"/>
                    </w:rPr>
                    <w:t>煤制甲醇大力发展烯烃、芳烃等甲醇下游产品，延伸产业链，重点发展可应用于汽车、飞机、建材等领域的聚丙烯酸酯、聚氨酯树脂、高性能环氧树脂等材料；二是重点突破纤维增强聚合物力学性能的关键技术、快速制备纤维聚合物复合材料技术，发展增强型、</w:t>
                  </w:r>
                  <w:r>
                    <w:rPr>
                      <w:color w:val="000000"/>
                      <w:sz w:val="21"/>
                      <w:szCs w:val="21"/>
                    </w:rPr>
                    <w:t>26</w:t>
                  </w:r>
                  <w:r>
                    <w:rPr>
                      <w:rFonts w:hint="eastAsia"/>
                      <w:color w:val="000000"/>
                      <w:sz w:val="21"/>
                      <w:szCs w:val="21"/>
                    </w:rPr>
                    <w:t>高性能树脂、纤维的生产；三是围绕功能高分子材料、信息用化学品、医药中间体、专用化学品等发展高附加值精细化工（含专用化学品和医药化工）；四是以绿色节能建筑材料、环境污染处理药剂材料等为重点，配套发展节能环保和资源利用产业。</w:t>
                  </w:r>
                </w:p>
              </w:tc>
              <w:tc>
                <w:tcPr>
                  <w:tcW w:w="1195" w:type="pct"/>
                  <w:shd w:val="clear" w:color="auto" w:fill="auto"/>
                  <w:noWrap w:val="0"/>
                  <w:vAlign w:val="center"/>
                </w:tcPr>
                <w:p w14:paraId="110CBBC0">
                  <w:pPr>
                    <w:autoSpaceDE w:val="0"/>
                    <w:autoSpaceDN w:val="0"/>
                    <w:adjustRightInd w:val="0"/>
                    <w:rPr>
                      <w:rFonts w:hint="eastAsia"/>
                      <w:color w:val="000000"/>
                      <w:sz w:val="21"/>
                      <w:szCs w:val="21"/>
                    </w:rPr>
                  </w:pPr>
                  <w:r>
                    <w:rPr>
                      <w:rFonts w:hint="eastAsia"/>
                      <w:color w:val="000000"/>
                      <w:sz w:val="21"/>
                      <w:szCs w:val="21"/>
                    </w:rPr>
                    <w:t>本项目位于凤翔区高新区长青工业园区循环经济产业区，</w:t>
                  </w: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w:t>
                  </w:r>
                  <w:bookmarkStart w:id="2" w:name="OLE_LINK27"/>
                  <w:bookmarkStart w:id="3" w:name="OLE_LINK13"/>
                  <w:bookmarkStart w:id="4" w:name="OLE_LINK12"/>
                  <w:bookmarkStart w:id="5" w:name="OLE_LINK32"/>
                  <w:r>
                    <w:rPr>
                      <w:rFonts w:hint="eastAsia" w:ascii="Times New Roman" w:hAnsi="Times New Roman" w:eastAsia="宋体" w:cs="Times New Roman"/>
                      <w:color w:val="000000"/>
                      <w:sz w:val="21"/>
                      <w:szCs w:val="21"/>
                      <w:lang w:eastAsia="zh-CN"/>
                    </w:rPr>
                    <w:t>萘系减水剂干燥</w:t>
                  </w:r>
                  <w:bookmarkEnd w:id="2"/>
                  <w:bookmarkEnd w:id="3"/>
                  <w:bookmarkEnd w:id="4"/>
                  <w:bookmarkEnd w:id="5"/>
                  <w:r>
                    <w:rPr>
                      <w:rFonts w:hint="eastAsia" w:ascii="Times New Roman" w:hAnsi="Times New Roman" w:eastAsia="宋体" w:cs="Times New Roman"/>
                      <w:color w:val="000000"/>
                      <w:sz w:val="21"/>
                      <w:szCs w:val="21"/>
                      <w:lang w:eastAsia="zh-CN"/>
                    </w:rPr>
                    <w:t>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供热工程，符合</w:t>
                  </w:r>
                  <w:r>
                    <w:rPr>
                      <w:rFonts w:hint="eastAsia" w:ascii="Times New Roman" w:hAnsi="Times New Roman"/>
                      <w:color w:val="000000"/>
                      <w:sz w:val="21"/>
                      <w:szCs w:val="21"/>
                    </w:rPr>
                    <w:t>凤翔高新技术产业开发区总体规划</w:t>
                  </w:r>
                  <w:r>
                    <w:rPr>
                      <w:rFonts w:hAnsi="宋体"/>
                      <w:kern w:val="0"/>
                      <w:sz w:val="21"/>
                      <w:szCs w:val="21"/>
                      <w:shd w:val="clear" w:color="auto" w:fill="FFFFFF"/>
                    </w:rPr>
                    <w:t>的主导产业</w:t>
                  </w:r>
                  <w:r>
                    <w:rPr>
                      <w:rFonts w:hint="eastAsia" w:cs="宋体"/>
                      <w:color w:val="000000"/>
                      <w:kern w:val="0"/>
                      <w:sz w:val="21"/>
                      <w:szCs w:val="21"/>
                    </w:rPr>
                    <w:t>重点发展化工、甲醇相关下游产品、专用化学品等</w:t>
                  </w:r>
                  <w:r>
                    <w:rPr>
                      <w:rFonts w:hAnsi="宋体"/>
                      <w:kern w:val="0"/>
                      <w:sz w:val="21"/>
                      <w:szCs w:val="21"/>
                      <w:shd w:val="clear" w:color="auto" w:fill="FFFFFF"/>
                    </w:rPr>
                    <w:t>。</w:t>
                  </w:r>
                </w:p>
                <w:p w14:paraId="4BB8A330">
                  <w:pPr>
                    <w:autoSpaceDE w:val="0"/>
                    <w:autoSpaceDN w:val="0"/>
                    <w:adjustRightInd w:val="0"/>
                    <w:rPr>
                      <w:rFonts w:ascii="Times New Roman" w:hAnsi="Times New Roman"/>
                      <w:color w:val="000000"/>
                      <w:sz w:val="21"/>
                      <w:szCs w:val="21"/>
                    </w:rPr>
                  </w:pPr>
                </w:p>
              </w:tc>
              <w:tc>
                <w:tcPr>
                  <w:tcW w:w="623" w:type="pct"/>
                  <w:shd w:val="clear" w:color="auto" w:fill="auto"/>
                  <w:noWrap w:val="0"/>
                  <w:vAlign w:val="center"/>
                </w:tcPr>
                <w:p w14:paraId="11CEB044">
                  <w:pPr>
                    <w:jc w:val="center"/>
                    <w:rPr>
                      <w:rFonts w:ascii="Times New Roman" w:hAnsi="Times New Roman"/>
                      <w:color w:val="000000"/>
                      <w:sz w:val="21"/>
                      <w:szCs w:val="21"/>
                    </w:rPr>
                  </w:pPr>
                  <w:r>
                    <w:rPr>
                      <w:rFonts w:ascii="Times New Roman" w:hAnsi="Times New Roman"/>
                      <w:color w:val="000000"/>
                      <w:sz w:val="21"/>
                      <w:szCs w:val="21"/>
                    </w:rPr>
                    <w:t>符合</w:t>
                  </w:r>
                </w:p>
              </w:tc>
            </w:tr>
            <w:tr w14:paraId="1C75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1016" w:type="pct"/>
                  <w:vMerge w:val="restart"/>
                  <w:shd w:val="clear" w:color="auto" w:fill="auto"/>
                  <w:noWrap w:val="0"/>
                  <w:vAlign w:val="center"/>
                </w:tcPr>
                <w:p w14:paraId="6299A5C4">
                  <w:pPr>
                    <w:rPr>
                      <w:rFonts w:ascii="Times New Roman" w:hAnsi="Times New Roman"/>
                      <w:color w:val="000000"/>
                      <w:kern w:val="0"/>
                      <w:sz w:val="21"/>
                      <w:szCs w:val="21"/>
                    </w:rPr>
                  </w:pPr>
                  <w:r>
                    <w:rPr>
                      <w:rFonts w:ascii="Times New Roman" w:hAnsi="Times New Roman"/>
                      <w:color w:val="000000"/>
                      <w:kern w:val="0"/>
                      <w:sz w:val="21"/>
                      <w:szCs w:val="21"/>
                    </w:rPr>
                    <w:t>《</w:t>
                  </w:r>
                  <w:r>
                    <w:rPr>
                      <w:rFonts w:hint="eastAsia" w:ascii="Times New Roman" w:hAnsi="Times New Roman"/>
                      <w:color w:val="000000"/>
                      <w:kern w:val="0"/>
                      <w:sz w:val="21"/>
                      <w:szCs w:val="21"/>
                    </w:rPr>
                    <w:t>凤翔高新技术产业开发区总体规划（2019-2035）（修编）（2019-2035）（修编）环境影响报告书</w:t>
                  </w:r>
                  <w:r>
                    <w:rPr>
                      <w:rFonts w:ascii="Times New Roman" w:hAnsi="Times New Roman"/>
                      <w:color w:val="000000"/>
                      <w:kern w:val="0"/>
                      <w:sz w:val="21"/>
                      <w:szCs w:val="21"/>
                    </w:rPr>
                    <w:t>》</w:t>
                  </w:r>
                </w:p>
              </w:tc>
              <w:tc>
                <w:tcPr>
                  <w:tcW w:w="499" w:type="pct"/>
                  <w:vMerge w:val="restart"/>
                  <w:shd w:val="clear" w:color="auto" w:fill="auto"/>
                  <w:noWrap w:val="0"/>
                  <w:vAlign w:val="center"/>
                </w:tcPr>
                <w:p w14:paraId="0526C40A">
                  <w:pPr>
                    <w:autoSpaceDE w:val="0"/>
                    <w:autoSpaceDN w:val="0"/>
                    <w:adjustRightInd w:val="0"/>
                    <w:jc w:val="center"/>
                    <w:rPr>
                      <w:rFonts w:hint="eastAsia" w:ascii="Times New Roman" w:hAnsi="Times New Roman"/>
                      <w:color w:val="000000"/>
                      <w:sz w:val="21"/>
                      <w:szCs w:val="21"/>
                    </w:rPr>
                  </w:pPr>
                  <w:r>
                    <w:rPr>
                      <w:rFonts w:hint="eastAsia" w:ascii="Times New Roman" w:hAnsi="Times New Roman"/>
                      <w:color w:val="000000"/>
                      <w:sz w:val="21"/>
                      <w:szCs w:val="21"/>
                    </w:rPr>
                    <w:t>生态环境准入清单</w:t>
                  </w:r>
                </w:p>
              </w:tc>
              <w:tc>
                <w:tcPr>
                  <w:tcW w:w="499" w:type="pct"/>
                  <w:shd w:val="clear" w:color="auto" w:fill="auto"/>
                  <w:noWrap w:val="0"/>
                  <w:vAlign w:val="center"/>
                </w:tcPr>
                <w:p w14:paraId="497E6D15">
                  <w:pPr>
                    <w:autoSpaceDE w:val="0"/>
                    <w:autoSpaceDN w:val="0"/>
                    <w:adjustRightInd w:val="0"/>
                    <w:jc w:val="center"/>
                    <w:rPr>
                      <w:rFonts w:hint="eastAsia" w:ascii="Times New Roman" w:hAnsi="Times New Roman"/>
                      <w:color w:val="000000"/>
                      <w:sz w:val="21"/>
                      <w:szCs w:val="21"/>
                    </w:rPr>
                  </w:pPr>
                  <w:r>
                    <w:rPr>
                      <w:rFonts w:hint="eastAsia" w:ascii="Times New Roman" w:hAnsi="Times New Roman"/>
                      <w:color w:val="000000"/>
                      <w:sz w:val="21"/>
                      <w:szCs w:val="21"/>
                    </w:rPr>
                    <w:t>空间布局约束</w:t>
                  </w:r>
                </w:p>
              </w:tc>
              <w:tc>
                <w:tcPr>
                  <w:tcW w:w="1165" w:type="pct"/>
                  <w:shd w:val="clear" w:color="auto" w:fill="auto"/>
                  <w:noWrap w:val="0"/>
                  <w:vAlign w:val="center"/>
                </w:tcPr>
                <w:p w14:paraId="21C3F0C6">
                  <w:pPr>
                    <w:autoSpaceDE w:val="0"/>
                    <w:autoSpaceDN w:val="0"/>
                    <w:adjustRightInd w:val="0"/>
                    <w:rPr>
                      <w:rFonts w:hint="eastAsia" w:ascii="Times New Roman" w:hAnsi="Times New Roman"/>
                      <w:color w:val="000000"/>
                      <w:sz w:val="21"/>
                      <w:szCs w:val="21"/>
                    </w:rPr>
                  </w:pPr>
                  <w:r>
                    <w:rPr>
                      <w:rFonts w:hint="eastAsia" w:ascii="Times New Roman" w:hAnsi="Times New Roman"/>
                      <w:color w:val="000000"/>
                      <w:sz w:val="21"/>
                      <w:szCs w:val="21"/>
                    </w:rPr>
                    <w:t>入区项目所属行业必须符合园区产业发展规划，选址须符合凤翔高新区规划及规划环评要求，布置于相应的产业区块内，严禁不符合产业区块分工的项目进入</w:t>
                  </w:r>
                  <w:r>
                    <w:rPr>
                      <w:rFonts w:hint="eastAsia" w:ascii="Times New Roman" w:hAnsi="Times New Roman"/>
                      <w:color w:val="000000"/>
                      <w:sz w:val="21"/>
                      <w:szCs w:val="21"/>
                      <w:lang w:eastAsia="zh-CN"/>
                    </w:rPr>
                    <w:t>园</w:t>
                  </w:r>
                  <w:r>
                    <w:rPr>
                      <w:rFonts w:hint="eastAsia" w:ascii="Times New Roman" w:hAnsi="Times New Roman"/>
                      <w:color w:val="000000"/>
                      <w:sz w:val="21"/>
                      <w:szCs w:val="21"/>
                    </w:rPr>
                    <w:t>区。规划的非工业用地范围内严禁工业项目进入。</w:t>
                  </w:r>
                </w:p>
              </w:tc>
              <w:tc>
                <w:tcPr>
                  <w:tcW w:w="1195" w:type="pct"/>
                  <w:shd w:val="clear" w:color="auto" w:fill="auto"/>
                  <w:noWrap w:val="0"/>
                  <w:vAlign w:val="center"/>
                </w:tcPr>
                <w:p w14:paraId="73A0DBDA">
                  <w:pPr>
                    <w:autoSpaceDE w:val="0"/>
                    <w:autoSpaceDN w:val="0"/>
                    <w:adjustRightInd w:val="0"/>
                    <w:rPr>
                      <w:rFonts w:hint="eastAsia" w:ascii="Times New Roman" w:hAnsi="Times New Roman"/>
                      <w:color w:val="000000"/>
                      <w:sz w:val="21"/>
                      <w:szCs w:val="21"/>
                    </w:rPr>
                  </w:pPr>
                  <w:r>
                    <w:rPr>
                      <w:rFonts w:hint="eastAsia" w:ascii="Times New Roman" w:hAnsi="Times New Roman"/>
                      <w:color w:val="000000"/>
                      <w:sz w:val="21"/>
                      <w:szCs w:val="21"/>
                    </w:rPr>
                    <w:t>现有项目属于化工行业，</w:t>
                  </w: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要对萘系减水剂干燥车间及干燥系统进行技术改造，拆除现有生物质热风炉、干燥系统，利用现有甲醛回收系统产生的尾气，经加热炉燃烧后为萘系减水剂干燥提供热能，属于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供热工程，</w:t>
                  </w:r>
                  <w:r>
                    <w:rPr>
                      <w:rFonts w:hint="eastAsia" w:ascii="Times New Roman" w:hAnsi="Times New Roman"/>
                      <w:color w:val="000000"/>
                      <w:sz w:val="21"/>
                      <w:szCs w:val="21"/>
                    </w:rPr>
                    <w:t>位于重点发展化工、甲醇相关下游产品、专用化学品、高附加值精细化工及新材料、无机化工、医药化工等产业的循环经济产业区板块，符合园区规划及规划环评要求。</w:t>
                  </w:r>
                </w:p>
              </w:tc>
              <w:tc>
                <w:tcPr>
                  <w:tcW w:w="623" w:type="pct"/>
                  <w:shd w:val="clear" w:color="auto" w:fill="auto"/>
                  <w:noWrap w:val="0"/>
                  <w:vAlign w:val="center"/>
                </w:tcPr>
                <w:p w14:paraId="300CE978">
                  <w:pPr>
                    <w:adjustRightInd w:val="0"/>
                    <w:snapToGrid w:val="0"/>
                    <w:jc w:val="center"/>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14:paraId="09DD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1016" w:type="pct"/>
                  <w:vMerge w:val="continue"/>
                  <w:shd w:val="clear" w:color="auto" w:fill="auto"/>
                  <w:noWrap w:val="0"/>
                  <w:vAlign w:val="center"/>
                </w:tcPr>
                <w:p w14:paraId="4E25E7F4">
                  <w:pPr>
                    <w:rPr>
                      <w:rFonts w:ascii="Times New Roman" w:hAnsi="Times New Roman"/>
                      <w:color w:val="000000"/>
                      <w:kern w:val="0"/>
                      <w:sz w:val="21"/>
                      <w:szCs w:val="21"/>
                    </w:rPr>
                  </w:pPr>
                </w:p>
              </w:tc>
              <w:tc>
                <w:tcPr>
                  <w:tcW w:w="499" w:type="pct"/>
                  <w:vMerge w:val="continue"/>
                  <w:shd w:val="clear" w:color="auto" w:fill="auto"/>
                  <w:noWrap w:val="0"/>
                  <w:vAlign w:val="center"/>
                </w:tcPr>
                <w:p w14:paraId="67E379B8">
                  <w:pPr>
                    <w:autoSpaceDE w:val="0"/>
                    <w:autoSpaceDN w:val="0"/>
                    <w:adjustRightInd w:val="0"/>
                    <w:jc w:val="center"/>
                    <w:rPr>
                      <w:rFonts w:hint="eastAsia"/>
                      <w:color w:val="000000"/>
                      <w:sz w:val="21"/>
                      <w:szCs w:val="21"/>
                    </w:rPr>
                  </w:pPr>
                </w:p>
              </w:tc>
              <w:tc>
                <w:tcPr>
                  <w:tcW w:w="499" w:type="pct"/>
                  <w:shd w:val="clear" w:color="auto" w:fill="auto"/>
                  <w:noWrap w:val="0"/>
                  <w:vAlign w:val="center"/>
                </w:tcPr>
                <w:p w14:paraId="56BA3752">
                  <w:pPr>
                    <w:autoSpaceDE w:val="0"/>
                    <w:autoSpaceDN w:val="0"/>
                    <w:adjustRightInd w:val="0"/>
                    <w:jc w:val="center"/>
                    <w:rPr>
                      <w:rFonts w:hint="eastAsia"/>
                      <w:color w:val="000000"/>
                      <w:sz w:val="21"/>
                      <w:szCs w:val="21"/>
                    </w:rPr>
                  </w:pPr>
                  <w:r>
                    <w:rPr>
                      <w:rFonts w:hint="eastAsia" w:cs="宋体"/>
                      <w:color w:val="000000"/>
                      <w:kern w:val="0"/>
                      <w:sz w:val="21"/>
                      <w:szCs w:val="21"/>
                    </w:rPr>
                    <w:t>污染物排放管控</w:t>
                  </w:r>
                </w:p>
              </w:tc>
              <w:tc>
                <w:tcPr>
                  <w:tcW w:w="1165" w:type="pct"/>
                  <w:shd w:val="clear" w:color="auto" w:fill="auto"/>
                  <w:noWrap w:val="0"/>
                  <w:vAlign w:val="center"/>
                </w:tcPr>
                <w:p w14:paraId="5A77EF31">
                  <w:pPr>
                    <w:autoSpaceDE w:val="0"/>
                    <w:autoSpaceDN w:val="0"/>
                    <w:adjustRightInd w:val="0"/>
                    <w:rPr>
                      <w:rFonts w:hint="eastAsia" w:ascii="Times New Roman" w:hAnsi="Times New Roman"/>
                      <w:color w:val="000000"/>
                      <w:sz w:val="21"/>
                      <w:szCs w:val="21"/>
                    </w:rPr>
                  </w:pPr>
                  <w:r>
                    <w:rPr>
                      <w:rFonts w:hint="eastAsia" w:ascii="Times New Roman" w:hAnsi="Times New Roman"/>
                      <w:color w:val="000000"/>
                      <w:sz w:val="21"/>
                      <w:szCs w:val="21"/>
                    </w:rPr>
                    <w:t>入区项目的工艺技术、建设规模应符合国家产业政策要求，鼓励采用能源转换率高、污染物排放强度低的工艺技术。</w:t>
                  </w:r>
                </w:p>
              </w:tc>
              <w:tc>
                <w:tcPr>
                  <w:tcW w:w="1195" w:type="pct"/>
                  <w:shd w:val="clear" w:color="auto" w:fill="auto"/>
                  <w:noWrap w:val="0"/>
                  <w:vAlign w:val="center"/>
                </w:tcPr>
                <w:p w14:paraId="76137306">
                  <w:pPr>
                    <w:autoSpaceDE w:val="0"/>
                    <w:autoSpaceDN w:val="0"/>
                    <w:adjustRightInd w:val="0"/>
                    <w:rPr>
                      <w:rFonts w:hint="eastAsia" w:ascii="Times New Roman" w:hAnsi="Times New Roman"/>
                      <w:color w:val="000000"/>
                      <w:sz w:val="21"/>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要对萘系减水剂干燥车间及干燥系统进行技术改造，拆除现有生物质热风炉、干燥系统，利用现有甲醛回收系统产生的尾气，经加热炉燃烧后为萘系减水剂干燥提供热能，属于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供热工程，</w:t>
                  </w:r>
                  <w:r>
                    <w:rPr>
                      <w:rFonts w:hint="eastAsia" w:hAnsi="宋体"/>
                      <w:kern w:val="0"/>
                      <w:sz w:val="21"/>
                      <w:szCs w:val="21"/>
                      <w:shd w:val="clear" w:color="auto" w:fill="FFFFFF"/>
                      <w:lang w:eastAsia="zh-CN"/>
                    </w:rPr>
                    <w:t>通过优化热源利用，减少热损失，降低生物质的使用及能源消耗量</w:t>
                  </w:r>
                  <w:r>
                    <w:rPr>
                      <w:rFonts w:hint="eastAsia" w:ascii="Times New Roman" w:hAnsi="Times New Roman"/>
                      <w:color w:val="000000"/>
                      <w:sz w:val="21"/>
                      <w:szCs w:val="21"/>
                    </w:rPr>
                    <w:t>。</w:t>
                  </w:r>
                </w:p>
              </w:tc>
              <w:tc>
                <w:tcPr>
                  <w:tcW w:w="623" w:type="pct"/>
                  <w:shd w:val="clear" w:color="auto" w:fill="auto"/>
                  <w:noWrap w:val="0"/>
                  <w:vAlign w:val="center"/>
                </w:tcPr>
                <w:p w14:paraId="030ECB94">
                  <w:pPr>
                    <w:adjustRightInd w:val="0"/>
                    <w:snapToGrid w:val="0"/>
                    <w:jc w:val="center"/>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14:paraId="2526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1016" w:type="pct"/>
                  <w:vMerge w:val="continue"/>
                  <w:shd w:val="clear" w:color="auto" w:fill="auto"/>
                  <w:noWrap w:val="0"/>
                  <w:vAlign w:val="center"/>
                </w:tcPr>
                <w:p w14:paraId="08555BAD">
                  <w:pPr>
                    <w:rPr>
                      <w:rFonts w:ascii="Times New Roman" w:hAnsi="Times New Roman"/>
                      <w:color w:val="000000"/>
                      <w:sz w:val="21"/>
                      <w:szCs w:val="21"/>
                    </w:rPr>
                  </w:pPr>
                </w:p>
              </w:tc>
              <w:tc>
                <w:tcPr>
                  <w:tcW w:w="499" w:type="pct"/>
                  <w:vMerge w:val="continue"/>
                  <w:shd w:val="clear" w:color="auto" w:fill="auto"/>
                  <w:noWrap w:val="0"/>
                  <w:vAlign w:val="center"/>
                </w:tcPr>
                <w:p w14:paraId="4C10E1A0">
                  <w:pPr>
                    <w:autoSpaceDE w:val="0"/>
                    <w:autoSpaceDN w:val="0"/>
                    <w:adjustRightInd w:val="0"/>
                    <w:jc w:val="center"/>
                    <w:rPr>
                      <w:rFonts w:ascii="Times New Roman" w:hAnsi="Times New Roman"/>
                      <w:color w:val="000000"/>
                      <w:sz w:val="21"/>
                      <w:szCs w:val="21"/>
                    </w:rPr>
                  </w:pPr>
                </w:p>
              </w:tc>
              <w:tc>
                <w:tcPr>
                  <w:tcW w:w="499" w:type="pct"/>
                  <w:shd w:val="clear" w:color="auto" w:fill="auto"/>
                  <w:noWrap w:val="0"/>
                  <w:vAlign w:val="center"/>
                </w:tcPr>
                <w:p w14:paraId="1B00931A">
                  <w:pPr>
                    <w:autoSpaceDE w:val="0"/>
                    <w:autoSpaceDN w:val="0"/>
                    <w:adjustRightInd w:val="0"/>
                    <w:jc w:val="center"/>
                    <w:rPr>
                      <w:rFonts w:ascii="Times New Roman" w:hAnsi="Times New Roman"/>
                      <w:color w:val="000000"/>
                      <w:sz w:val="21"/>
                      <w:szCs w:val="21"/>
                    </w:rPr>
                  </w:pPr>
                  <w:r>
                    <w:rPr>
                      <w:rFonts w:hint="eastAsia" w:cs="宋体"/>
                      <w:color w:val="000000"/>
                      <w:kern w:val="0"/>
                      <w:sz w:val="21"/>
                      <w:szCs w:val="21"/>
                    </w:rPr>
                    <w:t>环境风险防控</w:t>
                  </w:r>
                </w:p>
              </w:tc>
              <w:tc>
                <w:tcPr>
                  <w:tcW w:w="1165" w:type="pct"/>
                  <w:shd w:val="clear" w:color="auto" w:fill="auto"/>
                  <w:noWrap w:val="0"/>
                  <w:vAlign w:val="center"/>
                </w:tcPr>
                <w:p w14:paraId="790E0FD0">
                  <w:pPr>
                    <w:autoSpaceDE w:val="0"/>
                    <w:autoSpaceDN w:val="0"/>
                    <w:adjustRightInd w:val="0"/>
                    <w:rPr>
                      <w:rFonts w:ascii="Times New Roman" w:hAnsi="Times New Roman"/>
                      <w:color w:val="000000"/>
                      <w:sz w:val="21"/>
                      <w:szCs w:val="21"/>
                    </w:rPr>
                  </w:pPr>
                  <w:r>
                    <w:rPr>
                      <w:rFonts w:ascii="Times New Roman" w:hAnsi="Times New Roman"/>
                      <w:color w:val="000000"/>
                      <w:kern w:val="0"/>
                      <w:sz w:val="21"/>
                      <w:szCs w:val="21"/>
                    </w:rPr>
                    <w:t>强化环境风险防范措施。园区内各企业应根据相关标准设置事故水池，对事故废水进行有效收集和妥善处理，禁止直接外排。构建与当地政府和相关部门以及周边企业、园区相衔接的区域环境风险联防联控机制。</w:t>
                  </w:r>
                </w:p>
              </w:tc>
              <w:tc>
                <w:tcPr>
                  <w:tcW w:w="1195" w:type="pct"/>
                  <w:shd w:val="clear" w:color="auto" w:fill="auto"/>
                  <w:noWrap w:val="0"/>
                  <w:vAlign w:val="center"/>
                </w:tcPr>
                <w:p w14:paraId="61D86822">
                  <w:pPr>
                    <w:autoSpaceDE w:val="0"/>
                    <w:autoSpaceDN w:val="0"/>
                    <w:adjustRightInd w:val="0"/>
                    <w:rPr>
                      <w:rFonts w:ascii="Times New Roman" w:hAnsi="Times New Roman"/>
                      <w:color w:val="000000"/>
                      <w:sz w:val="21"/>
                      <w:szCs w:val="21"/>
                    </w:rPr>
                  </w:pPr>
                  <w:r>
                    <w:rPr>
                      <w:rFonts w:ascii="Times New Roman" w:hAnsi="Times New Roman"/>
                      <w:color w:val="000000"/>
                      <w:sz w:val="21"/>
                      <w:szCs w:val="21"/>
                    </w:rPr>
                    <w:t>建设单位已设置事故水池，设计容量满足相关要求。对于事故废水</w:t>
                  </w:r>
                  <w:r>
                    <w:rPr>
                      <w:rFonts w:hint="eastAsia" w:ascii="Times New Roman" w:hAnsi="Times New Roman"/>
                      <w:color w:val="000000"/>
                      <w:sz w:val="21"/>
                      <w:szCs w:val="21"/>
                    </w:rPr>
                    <w:t>等</w:t>
                  </w:r>
                  <w:r>
                    <w:rPr>
                      <w:rFonts w:ascii="Times New Roman" w:hAnsi="Times New Roman"/>
                      <w:color w:val="000000"/>
                      <w:sz w:val="21"/>
                      <w:szCs w:val="21"/>
                    </w:rPr>
                    <w:t>进行收集处理后回用于生产工艺，废水不外排。</w:t>
                  </w:r>
                </w:p>
              </w:tc>
              <w:tc>
                <w:tcPr>
                  <w:tcW w:w="623" w:type="pct"/>
                  <w:shd w:val="clear" w:color="auto" w:fill="auto"/>
                  <w:noWrap w:val="0"/>
                  <w:vAlign w:val="center"/>
                </w:tcPr>
                <w:p w14:paraId="51B8E234">
                  <w:pPr>
                    <w:widowControl/>
                    <w:jc w:val="center"/>
                    <w:rPr>
                      <w:rFonts w:ascii="Times New Roman" w:hAnsi="Times New Roman"/>
                      <w:color w:val="000000"/>
                      <w:sz w:val="21"/>
                      <w:szCs w:val="21"/>
                    </w:rPr>
                  </w:pPr>
                  <w:r>
                    <w:rPr>
                      <w:rFonts w:ascii="Times New Roman" w:hAnsi="Times New Roman"/>
                      <w:color w:val="000000"/>
                      <w:sz w:val="21"/>
                      <w:szCs w:val="21"/>
                    </w:rPr>
                    <w:t>符合</w:t>
                  </w:r>
                </w:p>
              </w:tc>
            </w:tr>
            <w:tr w14:paraId="43DE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09DED5AB">
                  <w:pPr>
                    <w:jc w:val="center"/>
                    <w:rPr>
                      <w:rFonts w:ascii="Times New Roman" w:hAnsi="Times New Roman"/>
                      <w:color w:val="000000"/>
                      <w:sz w:val="21"/>
                      <w:szCs w:val="21"/>
                    </w:rPr>
                  </w:pPr>
                </w:p>
              </w:tc>
              <w:tc>
                <w:tcPr>
                  <w:tcW w:w="499" w:type="pct"/>
                  <w:vMerge w:val="continue"/>
                  <w:shd w:val="clear" w:color="auto" w:fill="auto"/>
                  <w:noWrap w:val="0"/>
                  <w:vAlign w:val="center"/>
                </w:tcPr>
                <w:p w14:paraId="50DA0B48">
                  <w:pPr>
                    <w:autoSpaceDE w:val="0"/>
                    <w:autoSpaceDN w:val="0"/>
                    <w:adjustRightInd w:val="0"/>
                    <w:jc w:val="center"/>
                    <w:rPr>
                      <w:rFonts w:hint="eastAsia"/>
                      <w:color w:val="000000"/>
                      <w:sz w:val="21"/>
                      <w:szCs w:val="21"/>
                    </w:rPr>
                  </w:pPr>
                </w:p>
              </w:tc>
              <w:tc>
                <w:tcPr>
                  <w:tcW w:w="499" w:type="pct"/>
                  <w:shd w:val="clear" w:color="auto" w:fill="auto"/>
                  <w:noWrap w:val="0"/>
                  <w:vAlign w:val="center"/>
                </w:tcPr>
                <w:p w14:paraId="5FC2C856">
                  <w:pPr>
                    <w:autoSpaceDE w:val="0"/>
                    <w:autoSpaceDN w:val="0"/>
                    <w:adjustRightInd w:val="0"/>
                    <w:jc w:val="center"/>
                    <w:rPr>
                      <w:color w:val="000000"/>
                      <w:sz w:val="21"/>
                      <w:szCs w:val="21"/>
                    </w:rPr>
                  </w:pPr>
                  <w:r>
                    <w:rPr>
                      <w:rFonts w:hint="eastAsia" w:cs="宋体"/>
                      <w:color w:val="000000"/>
                      <w:kern w:val="0"/>
                      <w:sz w:val="21"/>
                      <w:szCs w:val="21"/>
                    </w:rPr>
                    <w:t>资源开发利用要求</w:t>
                  </w:r>
                </w:p>
              </w:tc>
              <w:tc>
                <w:tcPr>
                  <w:tcW w:w="1165" w:type="pct"/>
                  <w:shd w:val="clear" w:color="auto" w:fill="auto"/>
                  <w:noWrap w:val="0"/>
                  <w:vAlign w:val="center"/>
                </w:tcPr>
                <w:p w14:paraId="7178EAB6">
                  <w:pPr>
                    <w:autoSpaceDE w:val="0"/>
                    <w:autoSpaceDN w:val="0"/>
                    <w:adjustRightInd w:val="0"/>
                    <w:rPr>
                      <w:color w:val="000000"/>
                      <w:sz w:val="21"/>
                      <w:szCs w:val="21"/>
                    </w:rPr>
                  </w:pPr>
                  <w:r>
                    <w:rPr>
                      <w:rFonts w:hint="eastAsia" w:cs="宋体"/>
                      <w:color w:val="000000"/>
                      <w:kern w:val="0"/>
                      <w:sz w:val="21"/>
                      <w:szCs w:val="21"/>
                    </w:rPr>
                    <w:t>高耗水建设项目需编制水资源论证报告。</w:t>
                  </w:r>
                </w:p>
              </w:tc>
              <w:tc>
                <w:tcPr>
                  <w:tcW w:w="1195" w:type="pct"/>
                  <w:shd w:val="clear" w:color="auto" w:fill="auto"/>
                  <w:noWrap w:val="0"/>
                  <w:vAlign w:val="center"/>
                </w:tcPr>
                <w:p w14:paraId="641AF785">
                  <w:pPr>
                    <w:autoSpaceDE w:val="0"/>
                    <w:autoSpaceDN w:val="0"/>
                    <w:adjustRightInd w:val="0"/>
                    <w:rPr>
                      <w:color w:val="000000"/>
                      <w:sz w:val="21"/>
                      <w:szCs w:val="21"/>
                    </w:rPr>
                  </w:pPr>
                  <w:r>
                    <w:rPr>
                      <w:rFonts w:hint="eastAsia"/>
                      <w:color w:val="000000"/>
                      <w:sz w:val="21"/>
                      <w:szCs w:val="21"/>
                    </w:rPr>
                    <w:t>本项目不新增用水，不属于高耗水、高排水项目。</w:t>
                  </w:r>
                </w:p>
              </w:tc>
              <w:tc>
                <w:tcPr>
                  <w:tcW w:w="623" w:type="pct"/>
                  <w:shd w:val="clear" w:color="auto" w:fill="auto"/>
                  <w:noWrap w:val="0"/>
                  <w:vAlign w:val="center"/>
                </w:tcPr>
                <w:p w14:paraId="5531AB95">
                  <w:pPr>
                    <w:autoSpaceDE w:val="0"/>
                    <w:autoSpaceDN w:val="0"/>
                    <w:adjustRightInd w:val="0"/>
                    <w:jc w:val="center"/>
                    <w:rPr>
                      <w:color w:val="000000"/>
                      <w:sz w:val="21"/>
                      <w:szCs w:val="21"/>
                    </w:rPr>
                  </w:pPr>
                  <w:r>
                    <w:rPr>
                      <w:color w:val="000000"/>
                      <w:sz w:val="21"/>
                      <w:szCs w:val="21"/>
                    </w:rPr>
                    <w:t>符合</w:t>
                  </w:r>
                </w:p>
              </w:tc>
            </w:tr>
            <w:tr w14:paraId="16A6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03AA9647">
                  <w:pPr>
                    <w:jc w:val="center"/>
                    <w:rPr>
                      <w:rFonts w:ascii="Times New Roman" w:hAnsi="Times New Roman"/>
                      <w:color w:val="000000"/>
                      <w:sz w:val="21"/>
                      <w:szCs w:val="21"/>
                    </w:rPr>
                  </w:pPr>
                </w:p>
              </w:tc>
              <w:tc>
                <w:tcPr>
                  <w:tcW w:w="499" w:type="pct"/>
                  <w:vMerge w:val="restart"/>
                  <w:shd w:val="clear" w:color="auto" w:fill="auto"/>
                  <w:noWrap w:val="0"/>
                  <w:vAlign w:val="center"/>
                </w:tcPr>
                <w:p w14:paraId="4D80CD1E">
                  <w:pPr>
                    <w:autoSpaceDE w:val="0"/>
                    <w:autoSpaceDN w:val="0"/>
                    <w:adjustRightInd w:val="0"/>
                    <w:jc w:val="center"/>
                    <w:rPr>
                      <w:rFonts w:hint="eastAsia"/>
                      <w:color w:val="000000"/>
                      <w:sz w:val="21"/>
                      <w:szCs w:val="21"/>
                    </w:rPr>
                  </w:pPr>
                  <w:r>
                    <w:rPr>
                      <w:rFonts w:hint="eastAsia" w:cs="宋体"/>
                      <w:color w:val="000000"/>
                      <w:kern w:val="0"/>
                      <w:sz w:val="21"/>
                      <w:szCs w:val="21"/>
                    </w:rPr>
                    <w:t>环境准入负面清单</w:t>
                  </w:r>
                </w:p>
              </w:tc>
              <w:tc>
                <w:tcPr>
                  <w:tcW w:w="499" w:type="pct"/>
                  <w:shd w:val="clear" w:color="auto" w:fill="auto"/>
                  <w:noWrap w:val="0"/>
                  <w:vAlign w:val="center"/>
                </w:tcPr>
                <w:p w14:paraId="79BF5512">
                  <w:pPr>
                    <w:autoSpaceDE w:val="0"/>
                    <w:autoSpaceDN w:val="0"/>
                    <w:adjustRightInd w:val="0"/>
                    <w:jc w:val="center"/>
                    <w:rPr>
                      <w:rFonts w:hint="eastAsia" w:cs="宋体"/>
                      <w:color w:val="000000"/>
                      <w:kern w:val="0"/>
                      <w:sz w:val="21"/>
                      <w:szCs w:val="21"/>
                    </w:rPr>
                  </w:pPr>
                  <w:r>
                    <w:rPr>
                      <w:rFonts w:hint="eastAsia" w:cs="宋体"/>
                      <w:color w:val="000000"/>
                      <w:kern w:val="0"/>
                      <w:sz w:val="21"/>
                      <w:szCs w:val="21"/>
                    </w:rPr>
                    <w:t>行业准入负面清单</w:t>
                  </w:r>
                </w:p>
              </w:tc>
              <w:tc>
                <w:tcPr>
                  <w:tcW w:w="1165" w:type="pct"/>
                  <w:shd w:val="clear" w:color="auto" w:fill="auto"/>
                  <w:noWrap w:val="0"/>
                  <w:vAlign w:val="center"/>
                </w:tcPr>
                <w:p w14:paraId="62A45BB7">
                  <w:pPr>
                    <w:autoSpaceDE w:val="0"/>
                    <w:autoSpaceDN w:val="0"/>
                    <w:adjustRightInd w:val="0"/>
                    <w:rPr>
                      <w:rFonts w:hint="eastAsia"/>
                      <w:color w:val="000000"/>
                      <w:sz w:val="21"/>
                      <w:szCs w:val="21"/>
                    </w:rPr>
                  </w:pPr>
                  <w:r>
                    <w:rPr>
                      <w:rFonts w:hint="eastAsia" w:cs="宋体"/>
                      <w:color w:val="000000"/>
                      <w:kern w:val="0"/>
                      <w:sz w:val="21"/>
                      <w:szCs w:val="21"/>
                    </w:rPr>
                    <w:t>长青工业园产业不符合新材料产业、热电能源产业、现代服务业片区规划产业定位的行业。</w:t>
                  </w:r>
                </w:p>
              </w:tc>
              <w:tc>
                <w:tcPr>
                  <w:tcW w:w="1195" w:type="pct"/>
                  <w:shd w:val="clear" w:color="auto" w:fill="auto"/>
                  <w:noWrap w:val="0"/>
                  <w:vAlign w:val="center"/>
                </w:tcPr>
                <w:p w14:paraId="0CE87EB1">
                  <w:pPr>
                    <w:autoSpaceDE w:val="0"/>
                    <w:autoSpaceDN w:val="0"/>
                    <w:adjustRightInd w:val="0"/>
                    <w:rPr>
                      <w:rFonts w:hint="eastAsia"/>
                      <w:color w:val="000000"/>
                      <w:sz w:val="21"/>
                      <w:szCs w:val="21"/>
                    </w:rPr>
                  </w:pPr>
                  <w:r>
                    <w:rPr>
                      <w:rFonts w:hint="eastAsia"/>
                      <w:color w:val="000000"/>
                      <w:sz w:val="21"/>
                      <w:szCs w:val="21"/>
                    </w:rPr>
                    <w:t>本项目位于</w:t>
                  </w:r>
                  <w:r>
                    <w:rPr>
                      <w:rFonts w:hint="eastAsia" w:cs="宋体"/>
                      <w:color w:val="000000"/>
                      <w:kern w:val="0"/>
                      <w:sz w:val="21"/>
                      <w:szCs w:val="21"/>
                    </w:rPr>
                    <w:t>长青工业园新材料产业</w:t>
                  </w:r>
                  <w:r>
                    <w:rPr>
                      <w:rFonts w:hint="eastAsia" w:cs="宋体"/>
                      <w:color w:val="000000"/>
                      <w:kern w:val="0"/>
                      <w:sz w:val="21"/>
                      <w:szCs w:val="21"/>
                      <w:lang w:eastAsia="zh-CN"/>
                    </w:rPr>
                    <w:t>园</w:t>
                  </w:r>
                  <w:r>
                    <w:rPr>
                      <w:rFonts w:hint="eastAsia" w:cs="宋体"/>
                      <w:color w:val="000000"/>
                      <w:kern w:val="0"/>
                      <w:sz w:val="21"/>
                      <w:szCs w:val="21"/>
                    </w:rPr>
                    <w:t>中的循环经济产业区板块，重点发展化工、甲醇相关下游产品、专用化学品等</w:t>
                  </w:r>
                  <w:r>
                    <w:rPr>
                      <w:rFonts w:hint="eastAsia"/>
                      <w:color w:val="000000"/>
                      <w:sz w:val="21"/>
                      <w:szCs w:val="21"/>
                      <w:lang w:val="en-US" w:eastAsia="zh-CN"/>
                    </w:rPr>
                    <w:t>.</w:t>
                  </w:r>
                  <w:r>
                    <w:rPr>
                      <w:rFonts w:hint="eastAsia"/>
                      <w:color w:val="000000"/>
                      <w:sz w:val="21"/>
                      <w:szCs w:val="21"/>
                    </w:rPr>
                    <w:t>符合园区规划产业定位。</w:t>
                  </w:r>
                </w:p>
              </w:tc>
              <w:tc>
                <w:tcPr>
                  <w:tcW w:w="623" w:type="pct"/>
                  <w:shd w:val="clear" w:color="auto" w:fill="auto"/>
                  <w:noWrap w:val="0"/>
                  <w:vAlign w:val="center"/>
                </w:tcPr>
                <w:p w14:paraId="6C2012AE">
                  <w:pPr>
                    <w:autoSpaceDE w:val="0"/>
                    <w:autoSpaceDN w:val="0"/>
                    <w:adjustRightInd w:val="0"/>
                    <w:jc w:val="center"/>
                    <w:rPr>
                      <w:color w:val="000000"/>
                      <w:sz w:val="21"/>
                      <w:szCs w:val="21"/>
                    </w:rPr>
                  </w:pPr>
                  <w:r>
                    <w:rPr>
                      <w:color w:val="000000"/>
                      <w:sz w:val="21"/>
                      <w:szCs w:val="21"/>
                    </w:rPr>
                    <w:t>符合</w:t>
                  </w:r>
                </w:p>
              </w:tc>
            </w:tr>
            <w:tr w14:paraId="0AF0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41AE15AD">
                  <w:pPr>
                    <w:jc w:val="center"/>
                    <w:rPr>
                      <w:rFonts w:ascii="Times New Roman" w:hAnsi="Times New Roman"/>
                      <w:color w:val="000000"/>
                      <w:sz w:val="21"/>
                      <w:szCs w:val="21"/>
                    </w:rPr>
                  </w:pPr>
                </w:p>
              </w:tc>
              <w:tc>
                <w:tcPr>
                  <w:tcW w:w="499" w:type="pct"/>
                  <w:vMerge w:val="continue"/>
                  <w:shd w:val="clear" w:color="auto" w:fill="auto"/>
                  <w:noWrap w:val="0"/>
                  <w:vAlign w:val="center"/>
                </w:tcPr>
                <w:p w14:paraId="1AEE8D72">
                  <w:pPr>
                    <w:autoSpaceDE w:val="0"/>
                    <w:autoSpaceDN w:val="0"/>
                    <w:adjustRightInd w:val="0"/>
                    <w:jc w:val="center"/>
                    <w:rPr>
                      <w:rFonts w:hint="eastAsia" w:cs="宋体"/>
                      <w:color w:val="000000"/>
                      <w:kern w:val="0"/>
                      <w:sz w:val="21"/>
                      <w:szCs w:val="21"/>
                    </w:rPr>
                  </w:pPr>
                </w:p>
              </w:tc>
              <w:tc>
                <w:tcPr>
                  <w:tcW w:w="499" w:type="pct"/>
                  <w:vMerge w:val="restart"/>
                  <w:shd w:val="clear" w:color="auto" w:fill="auto"/>
                  <w:noWrap w:val="0"/>
                  <w:vAlign w:val="center"/>
                </w:tcPr>
                <w:p w14:paraId="2B7F656D">
                  <w:pPr>
                    <w:autoSpaceDE w:val="0"/>
                    <w:autoSpaceDN w:val="0"/>
                    <w:adjustRightInd w:val="0"/>
                    <w:jc w:val="center"/>
                    <w:rPr>
                      <w:rFonts w:hint="eastAsia" w:cs="宋体"/>
                      <w:color w:val="000000"/>
                      <w:kern w:val="0"/>
                      <w:sz w:val="21"/>
                      <w:szCs w:val="21"/>
                    </w:rPr>
                  </w:pPr>
                  <w:r>
                    <w:rPr>
                      <w:rFonts w:hint="eastAsia" w:cs="宋体"/>
                      <w:color w:val="000000"/>
                      <w:kern w:val="0"/>
                      <w:sz w:val="21"/>
                      <w:szCs w:val="21"/>
                    </w:rPr>
                    <w:t>工艺准入负面清单</w:t>
                  </w:r>
                </w:p>
              </w:tc>
              <w:tc>
                <w:tcPr>
                  <w:tcW w:w="1165" w:type="pct"/>
                  <w:shd w:val="clear" w:color="auto" w:fill="auto"/>
                  <w:noWrap w:val="0"/>
                  <w:vAlign w:val="center"/>
                </w:tcPr>
                <w:p w14:paraId="325B7DB5">
                  <w:pPr>
                    <w:autoSpaceDE w:val="0"/>
                    <w:autoSpaceDN w:val="0"/>
                    <w:adjustRightInd w:val="0"/>
                    <w:rPr>
                      <w:rFonts w:hint="eastAsia" w:cs="宋体"/>
                      <w:color w:val="000000"/>
                      <w:kern w:val="0"/>
                      <w:sz w:val="21"/>
                      <w:szCs w:val="21"/>
                    </w:rPr>
                  </w:pPr>
                  <w:r>
                    <w:rPr>
                      <w:rFonts w:cs="TimesNewRomanPSMT"/>
                      <w:color w:val="000000"/>
                      <w:kern w:val="0"/>
                      <w:sz w:val="21"/>
                      <w:szCs w:val="21"/>
                    </w:rPr>
                    <w:t>1</w:t>
                  </w:r>
                  <w:r>
                    <w:rPr>
                      <w:rFonts w:hint="eastAsia" w:cs="宋体"/>
                      <w:color w:val="000000"/>
                      <w:kern w:val="0"/>
                      <w:sz w:val="21"/>
                      <w:szCs w:val="21"/>
                      <w:lang w:val="en-US" w:eastAsia="zh-CN"/>
                    </w:rPr>
                    <w:t>.</w:t>
                  </w:r>
                  <w:r>
                    <w:rPr>
                      <w:rFonts w:hint="eastAsia" w:cs="宋体"/>
                      <w:color w:val="000000"/>
                      <w:kern w:val="0"/>
                      <w:sz w:val="21"/>
                      <w:szCs w:val="21"/>
                    </w:rPr>
                    <w:t>《产业结构调整指导目录（</w:t>
                  </w:r>
                  <w:r>
                    <w:rPr>
                      <w:rFonts w:cs="TimesNewRomanPSMT"/>
                      <w:color w:val="000000"/>
                      <w:kern w:val="0"/>
                      <w:sz w:val="21"/>
                      <w:szCs w:val="21"/>
                    </w:rPr>
                    <w:t xml:space="preserve">2019 </w:t>
                  </w:r>
                  <w:r>
                    <w:rPr>
                      <w:rFonts w:hint="eastAsia" w:cs="宋体"/>
                      <w:color w:val="000000"/>
                      <w:kern w:val="0"/>
                      <w:sz w:val="21"/>
                      <w:szCs w:val="21"/>
                    </w:rPr>
                    <w:t>年本）》中明确的工艺、生产设备、产能等属于限制类、淘汰类项目。</w:t>
                  </w:r>
                </w:p>
              </w:tc>
              <w:tc>
                <w:tcPr>
                  <w:tcW w:w="1195" w:type="pct"/>
                  <w:shd w:val="clear" w:color="auto" w:fill="auto"/>
                  <w:noWrap w:val="0"/>
                  <w:vAlign w:val="center"/>
                </w:tcPr>
                <w:p w14:paraId="28AA1ADF">
                  <w:pPr>
                    <w:autoSpaceDE w:val="0"/>
                    <w:autoSpaceDN w:val="0"/>
                    <w:adjustRightInd w:val="0"/>
                    <w:rPr>
                      <w:rFonts w:hint="eastAsia"/>
                      <w:color w:val="000000"/>
                      <w:sz w:val="21"/>
                      <w:szCs w:val="21"/>
                    </w:rPr>
                  </w:pPr>
                  <w:r>
                    <w:rPr>
                      <w:rFonts w:hint="eastAsia" w:cs="宋体"/>
                      <w:color w:val="000000"/>
                      <w:kern w:val="0"/>
                      <w:sz w:val="21"/>
                      <w:szCs w:val="21"/>
                    </w:rPr>
                    <w:t>对照《产业结构调整指导目录（</w:t>
                  </w:r>
                  <w:r>
                    <w:rPr>
                      <w:rFonts w:hint="eastAsia" w:cs="TimesNewRomanPSMT"/>
                      <w:color w:val="000000"/>
                      <w:kern w:val="0"/>
                      <w:sz w:val="21"/>
                      <w:szCs w:val="21"/>
                      <w:lang w:val="en-US" w:eastAsia="zh-CN"/>
                    </w:rPr>
                    <w:t>2024</w:t>
                  </w:r>
                  <w:r>
                    <w:rPr>
                      <w:rFonts w:hint="eastAsia" w:cs="宋体"/>
                      <w:color w:val="000000"/>
                      <w:kern w:val="0"/>
                      <w:sz w:val="21"/>
                      <w:szCs w:val="21"/>
                    </w:rPr>
                    <w:t>年本）》，本项目不属于鼓励类、限制类、淘汰类，为允许建设的项目。</w:t>
                  </w:r>
                </w:p>
              </w:tc>
              <w:tc>
                <w:tcPr>
                  <w:tcW w:w="623" w:type="pct"/>
                  <w:shd w:val="clear" w:color="auto" w:fill="auto"/>
                  <w:noWrap w:val="0"/>
                  <w:vAlign w:val="center"/>
                </w:tcPr>
                <w:p w14:paraId="58CBBB1A">
                  <w:pPr>
                    <w:autoSpaceDE w:val="0"/>
                    <w:autoSpaceDN w:val="0"/>
                    <w:adjustRightInd w:val="0"/>
                    <w:jc w:val="center"/>
                    <w:rPr>
                      <w:color w:val="000000"/>
                      <w:sz w:val="21"/>
                      <w:szCs w:val="21"/>
                    </w:rPr>
                  </w:pPr>
                  <w:r>
                    <w:rPr>
                      <w:rFonts w:hint="eastAsia"/>
                      <w:color w:val="000000"/>
                      <w:sz w:val="21"/>
                      <w:szCs w:val="21"/>
                    </w:rPr>
                    <w:t>符合</w:t>
                  </w:r>
                </w:p>
              </w:tc>
            </w:tr>
            <w:tr w14:paraId="7BEB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739DA780">
                  <w:pPr>
                    <w:jc w:val="center"/>
                    <w:rPr>
                      <w:rFonts w:ascii="Times New Roman" w:hAnsi="Times New Roman"/>
                      <w:color w:val="000000"/>
                      <w:sz w:val="21"/>
                      <w:szCs w:val="21"/>
                    </w:rPr>
                  </w:pPr>
                </w:p>
              </w:tc>
              <w:tc>
                <w:tcPr>
                  <w:tcW w:w="499" w:type="pct"/>
                  <w:vMerge w:val="continue"/>
                  <w:shd w:val="clear" w:color="auto" w:fill="auto"/>
                  <w:noWrap w:val="0"/>
                  <w:vAlign w:val="center"/>
                </w:tcPr>
                <w:p w14:paraId="2DBCC23D">
                  <w:pPr>
                    <w:autoSpaceDE w:val="0"/>
                    <w:autoSpaceDN w:val="0"/>
                    <w:adjustRightInd w:val="0"/>
                    <w:jc w:val="center"/>
                    <w:rPr>
                      <w:rFonts w:hint="eastAsia" w:cs="宋体"/>
                      <w:color w:val="000000"/>
                      <w:kern w:val="0"/>
                      <w:sz w:val="21"/>
                      <w:szCs w:val="21"/>
                    </w:rPr>
                  </w:pPr>
                </w:p>
              </w:tc>
              <w:tc>
                <w:tcPr>
                  <w:tcW w:w="499" w:type="pct"/>
                  <w:vMerge w:val="continue"/>
                  <w:shd w:val="clear" w:color="auto" w:fill="auto"/>
                  <w:noWrap w:val="0"/>
                  <w:vAlign w:val="center"/>
                </w:tcPr>
                <w:p w14:paraId="6ACE89CA">
                  <w:pPr>
                    <w:autoSpaceDE w:val="0"/>
                    <w:autoSpaceDN w:val="0"/>
                    <w:adjustRightInd w:val="0"/>
                    <w:jc w:val="center"/>
                    <w:rPr>
                      <w:rFonts w:hint="eastAsia" w:cs="宋体"/>
                      <w:color w:val="000000"/>
                      <w:kern w:val="0"/>
                      <w:sz w:val="21"/>
                      <w:szCs w:val="21"/>
                    </w:rPr>
                  </w:pPr>
                </w:p>
              </w:tc>
              <w:tc>
                <w:tcPr>
                  <w:tcW w:w="1165" w:type="pct"/>
                  <w:shd w:val="clear" w:color="auto" w:fill="auto"/>
                  <w:noWrap w:val="0"/>
                  <w:vAlign w:val="center"/>
                </w:tcPr>
                <w:p w14:paraId="26FB1879">
                  <w:pPr>
                    <w:autoSpaceDE w:val="0"/>
                    <w:autoSpaceDN w:val="0"/>
                    <w:adjustRightInd w:val="0"/>
                    <w:rPr>
                      <w:rFonts w:hint="eastAsia" w:cs="宋体"/>
                      <w:color w:val="000000"/>
                      <w:kern w:val="0"/>
                      <w:sz w:val="21"/>
                      <w:szCs w:val="21"/>
                    </w:rPr>
                  </w:pPr>
                  <w:r>
                    <w:rPr>
                      <w:rFonts w:cs="TimesNewRomanPSMT"/>
                      <w:color w:val="000000"/>
                      <w:kern w:val="0"/>
                      <w:sz w:val="21"/>
                      <w:szCs w:val="21"/>
                    </w:rPr>
                    <w:t>2</w:t>
                  </w:r>
                  <w:r>
                    <w:rPr>
                      <w:rFonts w:hint="eastAsia" w:cs="宋体"/>
                      <w:color w:val="000000"/>
                      <w:kern w:val="0"/>
                      <w:sz w:val="21"/>
                      <w:szCs w:val="21"/>
                      <w:lang w:val="en-US" w:eastAsia="zh-CN"/>
                    </w:rPr>
                    <w:t>.</w:t>
                  </w:r>
                  <w:r>
                    <w:rPr>
                      <w:rFonts w:hint="eastAsia" w:cs="宋体"/>
                      <w:color w:val="000000"/>
                      <w:kern w:val="0"/>
                      <w:sz w:val="21"/>
                      <w:szCs w:val="21"/>
                    </w:rPr>
                    <w:t>《关中地区降霾重点行业项目建设指导目录（</w:t>
                  </w:r>
                  <w:r>
                    <w:rPr>
                      <w:rFonts w:cs="宋体"/>
                      <w:color w:val="000000"/>
                      <w:kern w:val="0"/>
                      <w:sz w:val="21"/>
                      <w:szCs w:val="21"/>
                    </w:rPr>
                    <w:t>2017</w:t>
                  </w:r>
                  <w:r>
                    <w:rPr>
                      <w:rFonts w:hint="eastAsia" w:cs="宋体"/>
                      <w:color w:val="000000"/>
                      <w:kern w:val="0"/>
                      <w:sz w:val="21"/>
                      <w:szCs w:val="21"/>
                    </w:rPr>
                    <w:t>年本）》限制淘汰类项目。</w:t>
                  </w:r>
                </w:p>
              </w:tc>
              <w:tc>
                <w:tcPr>
                  <w:tcW w:w="1195" w:type="pct"/>
                  <w:shd w:val="clear" w:color="auto" w:fill="auto"/>
                  <w:noWrap w:val="0"/>
                  <w:vAlign w:val="center"/>
                </w:tcPr>
                <w:p w14:paraId="1D1A63FB">
                  <w:pPr>
                    <w:autoSpaceDE w:val="0"/>
                    <w:autoSpaceDN w:val="0"/>
                    <w:adjustRightInd w:val="0"/>
                    <w:rPr>
                      <w:rFonts w:hint="eastAsia"/>
                      <w:color w:val="000000"/>
                      <w:sz w:val="21"/>
                      <w:szCs w:val="21"/>
                    </w:rPr>
                  </w:pPr>
                  <w:r>
                    <w:rPr>
                      <w:rFonts w:hint="eastAsia" w:cs="宋体"/>
                      <w:color w:val="000000"/>
                      <w:kern w:val="0"/>
                      <w:sz w:val="21"/>
                      <w:szCs w:val="21"/>
                    </w:rPr>
                    <w:t>经对照《关中地区降霾重点行业项目建设指导目录（</w:t>
                  </w:r>
                  <w:r>
                    <w:rPr>
                      <w:rFonts w:cs="宋体"/>
                      <w:color w:val="000000"/>
                      <w:kern w:val="0"/>
                      <w:sz w:val="21"/>
                      <w:szCs w:val="21"/>
                    </w:rPr>
                    <w:t>2017</w:t>
                  </w:r>
                  <w:r>
                    <w:rPr>
                      <w:rFonts w:hint="eastAsia" w:cs="宋体"/>
                      <w:color w:val="000000"/>
                      <w:kern w:val="0"/>
                      <w:sz w:val="21"/>
                      <w:szCs w:val="21"/>
                    </w:rPr>
                    <w:t>年本）》，本项目不属于其中的限制淘汰类项目。</w:t>
                  </w:r>
                </w:p>
              </w:tc>
              <w:tc>
                <w:tcPr>
                  <w:tcW w:w="623" w:type="pct"/>
                  <w:shd w:val="clear" w:color="auto" w:fill="auto"/>
                  <w:noWrap w:val="0"/>
                  <w:vAlign w:val="center"/>
                </w:tcPr>
                <w:p w14:paraId="1F7FF43E">
                  <w:pPr>
                    <w:autoSpaceDE w:val="0"/>
                    <w:autoSpaceDN w:val="0"/>
                    <w:adjustRightInd w:val="0"/>
                    <w:jc w:val="center"/>
                    <w:rPr>
                      <w:color w:val="000000"/>
                      <w:sz w:val="21"/>
                      <w:szCs w:val="21"/>
                    </w:rPr>
                  </w:pPr>
                  <w:r>
                    <w:rPr>
                      <w:rFonts w:hint="eastAsia"/>
                      <w:color w:val="000000"/>
                      <w:sz w:val="21"/>
                      <w:szCs w:val="21"/>
                    </w:rPr>
                    <w:t>符合</w:t>
                  </w:r>
                </w:p>
              </w:tc>
            </w:tr>
            <w:tr w14:paraId="78FB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50DBB791">
                  <w:pPr>
                    <w:jc w:val="center"/>
                    <w:rPr>
                      <w:rFonts w:ascii="Times New Roman" w:hAnsi="Times New Roman"/>
                      <w:color w:val="000000"/>
                      <w:sz w:val="21"/>
                      <w:szCs w:val="21"/>
                    </w:rPr>
                  </w:pPr>
                </w:p>
              </w:tc>
              <w:tc>
                <w:tcPr>
                  <w:tcW w:w="499" w:type="pct"/>
                  <w:vMerge w:val="continue"/>
                  <w:shd w:val="clear" w:color="auto" w:fill="auto"/>
                  <w:noWrap w:val="0"/>
                  <w:vAlign w:val="center"/>
                </w:tcPr>
                <w:p w14:paraId="5185F39E">
                  <w:pPr>
                    <w:autoSpaceDE w:val="0"/>
                    <w:autoSpaceDN w:val="0"/>
                    <w:adjustRightInd w:val="0"/>
                    <w:jc w:val="center"/>
                    <w:rPr>
                      <w:rFonts w:hint="eastAsia" w:cs="宋体"/>
                      <w:color w:val="000000"/>
                      <w:kern w:val="0"/>
                      <w:sz w:val="21"/>
                      <w:szCs w:val="21"/>
                    </w:rPr>
                  </w:pPr>
                </w:p>
              </w:tc>
              <w:tc>
                <w:tcPr>
                  <w:tcW w:w="499" w:type="pct"/>
                  <w:vMerge w:val="continue"/>
                  <w:shd w:val="clear" w:color="auto" w:fill="auto"/>
                  <w:noWrap w:val="0"/>
                  <w:vAlign w:val="center"/>
                </w:tcPr>
                <w:p w14:paraId="2E81A2A1">
                  <w:pPr>
                    <w:autoSpaceDE w:val="0"/>
                    <w:autoSpaceDN w:val="0"/>
                    <w:adjustRightInd w:val="0"/>
                    <w:jc w:val="center"/>
                    <w:rPr>
                      <w:rFonts w:hint="eastAsia" w:cs="宋体"/>
                      <w:color w:val="000000"/>
                      <w:kern w:val="0"/>
                      <w:sz w:val="21"/>
                      <w:szCs w:val="21"/>
                    </w:rPr>
                  </w:pPr>
                </w:p>
              </w:tc>
              <w:tc>
                <w:tcPr>
                  <w:tcW w:w="1165" w:type="pct"/>
                  <w:shd w:val="clear" w:color="auto" w:fill="auto"/>
                  <w:noWrap w:val="0"/>
                  <w:vAlign w:val="center"/>
                </w:tcPr>
                <w:p w14:paraId="5EAA148E">
                  <w:pPr>
                    <w:autoSpaceDE w:val="0"/>
                    <w:autoSpaceDN w:val="0"/>
                    <w:adjustRightInd w:val="0"/>
                    <w:rPr>
                      <w:rFonts w:hint="eastAsia" w:cs="TimesNewRomanPSMT"/>
                      <w:color w:val="000000"/>
                      <w:kern w:val="0"/>
                      <w:sz w:val="21"/>
                      <w:szCs w:val="21"/>
                    </w:rPr>
                  </w:pPr>
                  <w:r>
                    <w:rPr>
                      <w:rFonts w:hint="eastAsia" w:cs="宋体"/>
                      <w:color w:val="000000"/>
                      <w:kern w:val="0"/>
                      <w:sz w:val="21"/>
                      <w:szCs w:val="21"/>
                    </w:rPr>
                    <w:t>3</w:t>
                  </w:r>
                  <w:r>
                    <w:rPr>
                      <w:rFonts w:hint="eastAsia" w:cs="宋体"/>
                      <w:color w:val="000000"/>
                      <w:kern w:val="0"/>
                      <w:sz w:val="21"/>
                      <w:szCs w:val="21"/>
                      <w:lang w:val="en-US" w:eastAsia="zh-CN"/>
                    </w:rPr>
                    <w:t>.</w:t>
                  </w:r>
                  <w:r>
                    <w:rPr>
                      <w:rFonts w:hint="eastAsia" w:cs="宋体"/>
                      <w:color w:val="000000"/>
                      <w:kern w:val="0"/>
                      <w:sz w:val="21"/>
                      <w:szCs w:val="21"/>
                    </w:rPr>
                    <w:t>工艺、装备水平不满足各自行业准入条件的项目。</w:t>
                  </w:r>
                </w:p>
              </w:tc>
              <w:tc>
                <w:tcPr>
                  <w:tcW w:w="1195" w:type="pct"/>
                  <w:vMerge w:val="restart"/>
                  <w:shd w:val="clear" w:color="auto" w:fill="auto"/>
                  <w:noWrap w:val="0"/>
                  <w:vAlign w:val="center"/>
                </w:tcPr>
                <w:p w14:paraId="72A42FAF">
                  <w:pPr>
                    <w:autoSpaceDE w:val="0"/>
                    <w:autoSpaceDN w:val="0"/>
                    <w:adjustRightInd w:val="0"/>
                    <w:rPr>
                      <w:rFonts w:hint="eastAsia"/>
                      <w:color w:val="000000"/>
                      <w:sz w:val="21"/>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要对萘系减水剂干燥车间及干燥系统进行技术改造，拆除现有生物质热风炉、干燥系统，利用现有甲醛回收系统产生的尾气，经加热炉燃烧后为萘系减水剂干燥提供热能，属于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热工程。此技术改造通过优化热源利用、减少热损失，可降低能源消耗量。</w:t>
                  </w:r>
                </w:p>
              </w:tc>
              <w:tc>
                <w:tcPr>
                  <w:tcW w:w="623" w:type="pct"/>
                  <w:shd w:val="clear" w:color="auto" w:fill="auto"/>
                  <w:noWrap w:val="0"/>
                  <w:vAlign w:val="center"/>
                </w:tcPr>
                <w:p w14:paraId="6DAF7EB1">
                  <w:pPr>
                    <w:autoSpaceDE w:val="0"/>
                    <w:autoSpaceDN w:val="0"/>
                    <w:adjustRightInd w:val="0"/>
                    <w:jc w:val="center"/>
                    <w:rPr>
                      <w:color w:val="000000"/>
                      <w:sz w:val="21"/>
                      <w:szCs w:val="21"/>
                    </w:rPr>
                  </w:pPr>
                  <w:r>
                    <w:rPr>
                      <w:rFonts w:hint="eastAsia"/>
                      <w:color w:val="000000"/>
                      <w:sz w:val="21"/>
                      <w:szCs w:val="21"/>
                    </w:rPr>
                    <w:t>符合</w:t>
                  </w:r>
                </w:p>
              </w:tc>
            </w:tr>
            <w:tr w14:paraId="5585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0E0C784E">
                  <w:pPr>
                    <w:jc w:val="center"/>
                    <w:rPr>
                      <w:rFonts w:ascii="Times New Roman" w:hAnsi="Times New Roman"/>
                      <w:color w:val="000000"/>
                      <w:sz w:val="21"/>
                      <w:szCs w:val="21"/>
                    </w:rPr>
                  </w:pPr>
                </w:p>
              </w:tc>
              <w:tc>
                <w:tcPr>
                  <w:tcW w:w="499" w:type="pct"/>
                  <w:vMerge w:val="continue"/>
                  <w:shd w:val="clear" w:color="auto" w:fill="auto"/>
                  <w:noWrap w:val="0"/>
                  <w:vAlign w:val="center"/>
                </w:tcPr>
                <w:p w14:paraId="02B37757">
                  <w:pPr>
                    <w:autoSpaceDE w:val="0"/>
                    <w:autoSpaceDN w:val="0"/>
                    <w:adjustRightInd w:val="0"/>
                    <w:jc w:val="center"/>
                    <w:rPr>
                      <w:rFonts w:hint="eastAsia" w:cs="宋体"/>
                      <w:color w:val="000000"/>
                      <w:kern w:val="0"/>
                      <w:sz w:val="21"/>
                      <w:szCs w:val="21"/>
                    </w:rPr>
                  </w:pPr>
                </w:p>
              </w:tc>
              <w:tc>
                <w:tcPr>
                  <w:tcW w:w="499" w:type="pct"/>
                  <w:vMerge w:val="continue"/>
                  <w:shd w:val="clear" w:color="auto" w:fill="auto"/>
                  <w:noWrap w:val="0"/>
                  <w:vAlign w:val="center"/>
                </w:tcPr>
                <w:p w14:paraId="6B53A0EF">
                  <w:pPr>
                    <w:autoSpaceDE w:val="0"/>
                    <w:autoSpaceDN w:val="0"/>
                    <w:adjustRightInd w:val="0"/>
                    <w:jc w:val="center"/>
                    <w:rPr>
                      <w:rFonts w:hint="eastAsia" w:cs="宋体"/>
                      <w:color w:val="000000"/>
                      <w:kern w:val="0"/>
                      <w:sz w:val="21"/>
                      <w:szCs w:val="21"/>
                    </w:rPr>
                  </w:pPr>
                </w:p>
              </w:tc>
              <w:tc>
                <w:tcPr>
                  <w:tcW w:w="1165" w:type="pct"/>
                  <w:shd w:val="clear" w:color="auto" w:fill="auto"/>
                  <w:noWrap w:val="0"/>
                  <w:vAlign w:val="center"/>
                </w:tcPr>
                <w:p w14:paraId="443EA26B">
                  <w:pPr>
                    <w:autoSpaceDE w:val="0"/>
                    <w:autoSpaceDN w:val="0"/>
                    <w:adjustRightInd w:val="0"/>
                    <w:rPr>
                      <w:rFonts w:hint="eastAsia" w:cs="TimesNewRomanPSMT"/>
                      <w:color w:val="000000"/>
                      <w:kern w:val="0"/>
                      <w:sz w:val="21"/>
                      <w:szCs w:val="21"/>
                    </w:rPr>
                  </w:pPr>
                  <w:r>
                    <w:rPr>
                      <w:rFonts w:hint="eastAsia" w:cs="宋体"/>
                      <w:color w:val="000000"/>
                      <w:kern w:val="0"/>
                      <w:sz w:val="21"/>
                      <w:szCs w:val="21"/>
                    </w:rPr>
                    <w:t>4</w:t>
                  </w:r>
                  <w:r>
                    <w:rPr>
                      <w:rFonts w:hint="eastAsia" w:cs="宋体"/>
                      <w:color w:val="000000"/>
                      <w:kern w:val="0"/>
                      <w:sz w:val="21"/>
                      <w:szCs w:val="21"/>
                      <w:lang w:val="en-US" w:eastAsia="zh-CN"/>
                    </w:rPr>
                    <w:t>.</w:t>
                  </w:r>
                  <w:r>
                    <w:rPr>
                      <w:rFonts w:hint="eastAsia" w:cs="宋体"/>
                      <w:color w:val="000000"/>
                      <w:kern w:val="0"/>
                      <w:sz w:val="21"/>
                      <w:szCs w:val="21"/>
                    </w:rPr>
                    <w:t>生产方法、生产工艺及装备设施不符合国家最新技术政策要求的项目。</w:t>
                  </w:r>
                </w:p>
              </w:tc>
              <w:tc>
                <w:tcPr>
                  <w:tcW w:w="1195" w:type="pct"/>
                  <w:vMerge w:val="continue"/>
                  <w:shd w:val="clear" w:color="auto" w:fill="auto"/>
                  <w:noWrap w:val="0"/>
                  <w:vAlign w:val="center"/>
                </w:tcPr>
                <w:p w14:paraId="0A73CE34">
                  <w:pPr>
                    <w:autoSpaceDE w:val="0"/>
                    <w:autoSpaceDN w:val="0"/>
                    <w:adjustRightInd w:val="0"/>
                    <w:rPr>
                      <w:rFonts w:hint="eastAsia"/>
                      <w:color w:val="000000"/>
                      <w:sz w:val="21"/>
                      <w:szCs w:val="21"/>
                    </w:rPr>
                  </w:pPr>
                </w:p>
              </w:tc>
              <w:tc>
                <w:tcPr>
                  <w:tcW w:w="623" w:type="pct"/>
                  <w:shd w:val="clear" w:color="auto" w:fill="auto"/>
                  <w:noWrap w:val="0"/>
                  <w:vAlign w:val="center"/>
                </w:tcPr>
                <w:p w14:paraId="366A36A5">
                  <w:pPr>
                    <w:autoSpaceDE w:val="0"/>
                    <w:autoSpaceDN w:val="0"/>
                    <w:adjustRightInd w:val="0"/>
                    <w:jc w:val="center"/>
                    <w:rPr>
                      <w:color w:val="000000"/>
                      <w:sz w:val="21"/>
                      <w:szCs w:val="21"/>
                    </w:rPr>
                  </w:pPr>
                  <w:r>
                    <w:rPr>
                      <w:rFonts w:hint="eastAsia"/>
                      <w:color w:val="000000"/>
                      <w:sz w:val="21"/>
                      <w:szCs w:val="21"/>
                    </w:rPr>
                    <w:t>符合</w:t>
                  </w:r>
                </w:p>
              </w:tc>
            </w:tr>
            <w:tr w14:paraId="3E07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636C37D3">
                  <w:pPr>
                    <w:jc w:val="center"/>
                    <w:rPr>
                      <w:rFonts w:ascii="Times New Roman" w:hAnsi="Times New Roman"/>
                      <w:color w:val="000000"/>
                      <w:sz w:val="21"/>
                      <w:szCs w:val="21"/>
                    </w:rPr>
                  </w:pPr>
                </w:p>
              </w:tc>
              <w:tc>
                <w:tcPr>
                  <w:tcW w:w="499" w:type="pct"/>
                  <w:vMerge w:val="continue"/>
                  <w:shd w:val="clear" w:color="auto" w:fill="auto"/>
                  <w:noWrap w:val="0"/>
                  <w:vAlign w:val="center"/>
                </w:tcPr>
                <w:p w14:paraId="781EDACB">
                  <w:pPr>
                    <w:autoSpaceDE w:val="0"/>
                    <w:autoSpaceDN w:val="0"/>
                    <w:adjustRightInd w:val="0"/>
                    <w:jc w:val="center"/>
                    <w:rPr>
                      <w:rFonts w:hint="eastAsia" w:cs="宋体"/>
                      <w:color w:val="000000"/>
                      <w:kern w:val="0"/>
                      <w:sz w:val="21"/>
                      <w:szCs w:val="21"/>
                    </w:rPr>
                  </w:pPr>
                </w:p>
              </w:tc>
              <w:tc>
                <w:tcPr>
                  <w:tcW w:w="499" w:type="pct"/>
                  <w:vMerge w:val="restart"/>
                  <w:shd w:val="clear" w:color="auto" w:fill="auto"/>
                  <w:noWrap w:val="0"/>
                  <w:vAlign w:val="center"/>
                </w:tcPr>
                <w:p w14:paraId="340422C2">
                  <w:pPr>
                    <w:autoSpaceDE w:val="0"/>
                    <w:autoSpaceDN w:val="0"/>
                    <w:adjustRightInd w:val="0"/>
                    <w:jc w:val="center"/>
                    <w:rPr>
                      <w:rFonts w:hint="eastAsia" w:cs="宋体"/>
                      <w:color w:val="000000"/>
                      <w:kern w:val="0"/>
                      <w:sz w:val="21"/>
                      <w:szCs w:val="21"/>
                    </w:rPr>
                  </w:pPr>
                  <w:r>
                    <w:rPr>
                      <w:rFonts w:hint="eastAsia" w:cs="宋体"/>
                      <w:color w:val="000000"/>
                      <w:kern w:val="0"/>
                      <w:sz w:val="21"/>
                      <w:szCs w:val="21"/>
                    </w:rPr>
                    <w:t>污染源准入负面清单</w:t>
                  </w:r>
                </w:p>
              </w:tc>
              <w:tc>
                <w:tcPr>
                  <w:tcW w:w="1165" w:type="pct"/>
                  <w:shd w:val="clear" w:color="auto" w:fill="auto"/>
                  <w:noWrap w:val="0"/>
                  <w:vAlign w:val="center"/>
                </w:tcPr>
                <w:p w14:paraId="002930B0">
                  <w:pPr>
                    <w:autoSpaceDE w:val="0"/>
                    <w:autoSpaceDN w:val="0"/>
                    <w:adjustRightInd w:val="0"/>
                    <w:rPr>
                      <w:rFonts w:hint="eastAsia" w:cs="宋体"/>
                      <w:color w:val="000000"/>
                      <w:kern w:val="0"/>
                      <w:sz w:val="21"/>
                      <w:szCs w:val="21"/>
                    </w:rPr>
                  </w:pPr>
                  <w:r>
                    <w:rPr>
                      <w:rFonts w:cs="TimesNewRomanPSMT"/>
                      <w:color w:val="000000"/>
                      <w:kern w:val="0"/>
                      <w:sz w:val="21"/>
                      <w:szCs w:val="21"/>
                    </w:rPr>
                    <w:t>1</w:t>
                  </w:r>
                  <w:r>
                    <w:rPr>
                      <w:rFonts w:hint="eastAsia" w:cs="宋体"/>
                      <w:color w:val="000000"/>
                      <w:kern w:val="0"/>
                      <w:sz w:val="21"/>
                      <w:szCs w:val="21"/>
                      <w:lang w:val="en-US" w:eastAsia="zh-CN"/>
                    </w:rPr>
                    <w:t>.</w:t>
                  </w:r>
                  <w:r>
                    <w:rPr>
                      <w:rFonts w:hint="eastAsia" w:cs="宋体"/>
                      <w:color w:val="000000"/>
                      <w:kern w:val="0"/>
                      <w:sz w:val="21"/>
                      <w:szCs w:val="21"/>
                    </w:rPr>
                    <w:t>污染物排放不满足规划总量控制要求的项目。</w:t>
                  </w:r>
                </w:p>
              </w:tc>
              <w:tc>
                <w:tcPr>
                  <w:tcW w:w="1195" w:type="pct"/>
                  <w:shd w:val="clear" w:color="auto" w:fill="auto"/>
                  <w:noWrap w:val="0"/>
                  <w:vAlign w:val="center"/>
                </w:tcPr>
                <w:p w14:paraId="54038190">
                  <w:pPr>
                    <w:autoSpaceDE w:val="0"/>
                    <w:autoSpaceDN w:val="0"/>
                    <w:adjustRightInd w:val="0"/>
                    <w:rPr>
                      <w:rFonts w:hint="eastAsia"/>
                      <w:color w:val="000000"/>
                      <w:sz w:val="21"/>
                      <w:szCs w:val="21"/>
                    </w:rPr>
                  </w:pPr>
                  <w:r>
                    <w:rPr>
                      <w:rFonts w:hint="eastAsia"/>
                      <w:color w:val="000000"/>
                      <w:sz w:val="21"/>
                      <w:szCs w:val="21"/>
                      <w:highlight w:val="none"/>
                    </w:rPr>
                    <w:t>本项目“以新带老”后</w:t>
                  </w:r>
                  <w:r>
                    <w:rPr>
                      <w:rFonts w:hint="eastAsia"/>
                      <w:color w:val="000000"/>
                      <w:sz w:val="21"/>
                      <w:szCs w:val="21"/>
                      <w:highlight w:val="none"/>
                      <w:lang w:eastAsia="zh-CN"/>
                    </w:rPr>
                    <w:t>污染物的</w:t>
                  </w:r>
                  <w:r>
                    <w:rPr>
                      <w:rFonts w:hint="eastAsia"/>
                      <w:color w:val="000000"/>
                      <w:sz w:val="21"/>
                      <w:szCs w:val="21"/>
                      <w:highlight w:val="none"/>
                    </w:rPr>
                    <w:t>排放量</w:t>
                  </w:r>
                  <w:r>
                    <w:rPr>
                      <w:rFonts w:hint="eastAsia"/>
                      <w:color w:val="000000"/>
                      <w:sz w:val="21"/>
                      <w:szCs w:val="21"/>
                      <w:highlight w:val="none"/>
                      <w:lang w:eastAsia="zh-CN"/>
                    </w:rPr>
                    <w:t>有所减少</w:t>
                  </w:r>
                  <w:r>
                    <w:rPr>
                      <w:rFonts w:hint="eastAsia"/>
                      <w:color w:val="000000"/>
                      <w:sz w:val="21"/>
                      <w:szCs w:val="21"/>
                      <w:highlight w:val="none"/>
                    </w:rPr>
                    <w:t>。</w:t>
                  </w:r>
                </w:p>
              </w:tc>
              <w:tc>
                <w:tcPr>
                  <w:tcW w:w="623" w:type="pct"/>
                  <w:shd w:val="clear" w:color="auto" w:fill="auto"/>
                  <w:noWrap w:val="0"/>
                  <w:vAlign w:val="center"/>
                </w:tcPr>
                <w:p w14:paraId="349DD31D">
                  <w:pPr>
                    <w:autoSpaceDE w:val="0"/>
                    <w:autoSpaceDN w:val="0"/>
                    <w:adjustRightInd w:val="0"/>
                    <w:jc w:val="center"/>
                    <w:rPr>
                      <w:rFonts w:hint="eastAsia"/>
                      <w:color w:val="000000"/>
                      <w:sz w:val="21"/>
                      <w:szCs w:val="21"/>
                    </w:rPr>
                  </w:pPr>
                  <w:r>
                    <w:rPr>
                      <w:rFonts w:hint="eastAsia"/>
                      <w:color w:val="000000"/>
                      <w:sz w:val="21"/>
                      <w:szCs w:val="21"/>
                    </w:rPr>
                    <w:t>符合</w:t>
                  </w:r>
                </w:p>
              </w:tc>
            </w:tr>
            <w:tr w14:paraId="024D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5" w:hRule="atLeast"/>
                <w:jc w:val="center"/>
              </w:trPr>
              <w:tc>
                <w:tcPr>
                  <w:tcW w:w="1016" w:type="pct"/>
                  <w:vMerge w:val="continue"/>
                  <w:shd w:val="clear" w:color="auto" w:fill="auto"/>
                  <w:noWrap w:val="0"/>
                  <w:vAlign w:val="center"/>
                </w:tcPr>
                <w:p w14:paraId="54358C84">
                  <w:pPr>
                    <w:jc w:val="center"/>
                    <w:rPr>
                      <w:rFonts w:ascii="Times New Roman" w:hAnsi="Times New Roman"/>
                      <w:color w:val="000000"/>
                      <w:sz w:val="21"/>
                      <w:szCs w:val="21"/>
                    </w:rPr>
                  </w:pPr>
                </w:p>
              </w:tc>
              <w:tc>
                <w:tcPr>
                  <w:tcW w:w="499" w:type="pct"/>
                  <w:vMerge w:val="continue"/>
                  <w:shd w:val="clear" w:color="auto" w:fill="auto"/>
                  <w:noWrap w:val="0"/>
                  <w:vAlign w:val="center"/>
                </w:tcPr>
                <w:p w14:paraId="1C46F375">
                  <w:pPr>
                    <w:autoSpaceDE w:val="0"/>
                    <w:autoSpaceDN w:val="0"/>
                    <w:adjustRightInd w:val="0"/>
                    <w:jc w:val="center"/>
                    <w:rPr>
                      <w:rFonts w:hint="eastAsia" w:cs="宋体"/>
                      <w:color w:val="000000"/>
                      <w:kern w:val="0"/>
                      <w:sz w:val="21"/>
                      <w:szCs w:val="21"/>
                    </w:rPr>
                  </w:pPr>
                </w:p>
              </w:tc>
              <w:tc>
                <w:tcPr>
                  <w:tcW w:w="499" w:type="pct"/>
                  <w:vMerge w:val="continue"/>
                  <w:shd w:val="clear" w:color="auto" w:fill="auto"/>
                  <w:noWrap w:val="0"/>
                  <w:vAlign w:val="center"/>
                </w:tcPr>
                <w:p w14:paraId="3C5C8D1D">
                  <w:pPr>
                    <w:autoSpaceDE w:val="0"/>
                    <w:autoSpaceDN w:val="0"/>
                    <w:adjustRightInd w:val="0"/>
                    <w:jc w:val="center"/>
                    <w:rPr>
                      <w:rFonts w:hint="eastAsia" w:cs="宋体"/>
                      <w:color w:val="000000"/>
                      <w:kern w:val="0"/>
                      <w:sz w:val="21"/>
                      <w:szCs w:val="21"/>
                    </w:rPr>
                  </w:pPr>
                </w:p>
              </w:tc>
              <w:tc>
                <w:tcPr>
                  <w:tcW w:w="1165" w:type="pct"/>
                  <w:shd w:val="clear" w:color="auto" w:fill="auto"/>
                  <w:noWrap w:val="0"/>
                  <w:vAlign w:val="center"/>
                </w:tcPr>
                <w:p w14:paraId="27D98D75">
                  <w:pPr>
                    <w:autoSpaceDE w:val="0"/>
                    <w:autoSpaceDN w:val="0"/>
                    <w:adjustRightInd w:val="0"/>
                    <w:rPr>
                      <w:rFonts w:hint="eastAsia" w:cs="宋体"/>
                      <w:color w:val="000000"/>
                      <w:kern w:val="0"/>
                      <w:sz w:val="21"/>
                      <w:szCs w:val="21"/>
                    </w:rPr>
                  </w:pPr>
                  <w:r>
                    <w:rPr>
                      <w:rFonts w:cs="TimesNewRomanPSMT"/>
                      <w:color w:val="000000"/>
                      <w:kern w:val="0"/>
                      <w:sz w:val="21"/>
                      <w:szCs w:val="21"/>
                    </w:rPr>
                    <w:t>2</w:t>
                  </w:r>
                  <w:r>
                    <w:rPr>
                      <w:rFonts w:hint="eastAsia" w:cs="宋体"/>
                      <w:color w:val="000000"/>
                      <w:kern w:val="0"/>
                      <w:sz w:val="21"/>
                      <w:szCs w:val="21"/>
                      <w:lang w:val="en-US" w:eastAsia="zh-CN"/>
                    </w:rPr>
                    <w:t>.</w:t>
                  </w:r>
                  <w:r>
                    <w:rPr>
                      <w:rFonts w:hint="eastAsia" w:cs="宋体"/>
                      <w:color w:val="000000"/>
                      <w:kern w:val="0"/>
                      <w:sz w:val="21"/>
                      <w:szCs w:val="21"/>
                    </w:rPr>
                    <w:t>废气无法达标排放的项目。</w:t>
                  </w:r>
                </w:p>
              </w:tc>
              <w:tc>
                <w:tcPr>
                  <w:tcW w:w="1195" w:type="pct"/>
                  <w:shd w:val="clear" w:color="auto" w:fill="auto"/>
                  <w:noWrap w:val="0"/>
                  <w:vAlign w:val="center"/>
                </w:tcPr>
                <w:p w14:paraId="191DEC2F">
                  <w:pPr>
                    <w:autoSpaceDE w:val="0"/>
                    <w:autoSpaceDN w:val="0"/>
                    <w:adjustRightInd w:val="0"/>
                    <w:rPr>
                      <w:rFonts w:hint="eastAsia"/>
                      <w:color w:val="000000"/>
                      <w:sz w:val="21"/>
                      <w:szCs w:val="21"/>
                    </w:rPr>
                  </w:pPr>
                  <w:r>
                    <w:rPr>
                      <w:rFonts w:hint="eastAsia"/>
                      <w:color w:val="000000"/>
                      <w:sz w:val="21"/>
                      <w:szCs w:val="21"/>
                    </w:rPr>
                    <w:t>本项目废气采取了有效控制措施，处理后达标排放。</w:t>
                  </w:r>
                </w:p>
              </w:tc>
              <w:tc>
                <w:tcPr>
                  <w:tcW w:w="623" w:type="pct"/>
                  <w:shd w:val="clear" w:color="auto" w:fill="auto"/>
                  <w:noWrap w:val="0"/>
                  <w:vAlign w:val="center"/>
                </w:tcPr>
                <w:p w14:paraId="5553C196">
                  <w:pPr>
                    <w:autoSpaceDE w:val="0"/>
                    <w:autoSpaceDN w:val="0"/>
                    <w:adjustRightInd w:val="0"/>
                    <w:jc w:val="center"/>
                    <w:rPr>
                      <w:rFonts w:hint="eastAsia"/>
                      <w:color w:val="000000"/>
                      <w:sz w:val="21"/>
                      <w:szCs w:val="21"/>
                    </w:rPr>
                  </w:pPr>
                  <w:r>
                    <w:rPr>
                      <w:rFonts w:hint="eastAsia"/>
                      <w:color w:val="000000"/>
                      <w:sz w:val="21"/>
                      <w:szCs w:val="21"/>
                    </w:rPr>
                    <w:t>符合</w:t>
                  </w:r>
                </w:p>
              </w:tc>
            </w:tr>
            <w:tr w14:paraId="0DA6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1016" w:type="pct"/>
                  <w:vMerge w:val="restart"/>
                  <w:shd w:val="clear" w:color="auto" w:fill="auto"/>
                  <w:noWrap w:val="0"/>
                  <w:vAlign w:val="center"/>
                </w:tcPr>
                <w:p w14:paraId="6EC4197A">
                  <w:pP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kern w:val="0"/>
                      <w:sz w:val="21"/>
                      <w:szCs w:val="21"/>
                    </w:rPr>
                    <w:t>凤翔高新技术产业开发区总体规划（2019-2035）（修编）环境影响报告书</w:t>
                  </w:r>
                  <w:r>
                    <w:rPr>
                      <w:rFonts w:ascii="Times New Roman" w:hAnsi="Times New Roman"/>
                      <w:color w:val="000000"/>
                      <w:sz w:val="21"/>
                      <w:szCs w:val="21"/>
                    </w:rPr>
                    <w:t>审查意见》</w:t>
                  </w:r>
                </w:p>
              </w:tc>
              <w:tc>
                <w:tcPr>
                  <w:tcW w:w="2165" w:type="pct"/>
                  <w:gridSpan w:val="3"/>
                  <w:shd w:val="clear" w:color="auto" w:fill="auto"/>
                  <w:noWrap w:val="0"/>
                  <w:vAlign w:val="center"/>
                </w:tcPr>
                <w:p w14:paraId="18CAA92D">
                  <w:pPr>
                    <w:autoSpaceDE w:val="0"/>
                    <w:autoSpaceDN w:val="0"/>
                    <w:adjustRightInd w:val="0"/>
                    <w:rPr>
                      <w:rFonts w:hint="eastAsia"/>
                      <w:color w:val="000000"/>
                      <w:sz w:val="21"/>
                      <w:szCs w:val="21"/>
                    </w:rPr>
                  </w:pPr>
                  <w:r>
                    <w:rPr>
                      <w:rFonts w:hint="eastAsia"/>
                      <w:color w:val="000000"/>
                      <w:sz w:val="21"/>
                      <w:szCs w:val="21"/>
                    </w:rPr>
                    <w:t>落实“治污降霾”行动方案相关要求，结合区域发展定位、开发布局以及生态环境保护目标，制定高新区鼓励发展的、禁止或限制的产业准入清单，落实《报告书》提出的环境准入和保护要求。</w:t>
                  </w:r>
                </w:p>
              </w:tc>
              <w:tc>
                <w:tcPr>
                  <w:tcW w:w="1195" w:type="pct"/>
                  <w:shd w:val="clear" w:color="auto" w:fill="auto"/>
                  <w:noWrap w:val="0"/>
                  <w:vAlign w:val="center"/>
                </w:tcPr>
                <w:p w14:paraId="73F099BA">
                  <w:pPr>
                    <w:rPr>
                      <w:rFonts w:hint="eastAsia"/>
                      <w:color w:val="000000"/>
                      <w:sz w:val="21"/>
                      <w:szCs w:val="21"/>
                    </w:rPr>
                  </w:pPr>
                  <w:r>
                    <w:rPr>
                      <w:rFonts w:hint="eastAsia"/>
                      <w:bCs/>
                      <w:color w:val="000000"/>
                      <w:kern w:val="0"/>
                      <w:sz w:val="21"/>
                      <w:szCs w:val="21"/>
                    </w:rPr>
                    <w:t>本项目不属于《产业结构调整指导目录（20</w:t>
                  </w:r>
                  <w:r>
                    <w:rPr>
                      <w:rFonts w:hint="eastAsia"/>
                      <w:bCs/>
                      <w:color w:val="000000"/>
                      <w:kern w:val="0"/>
                      <w:sz w:val="21"/>
                      <w:szCs w:val="21"/>
                      <w:lang w:val="en-US" w:eastAsia="zh-CN"/>
                    </w:rPr>
                    <w:t>24</w:t>
                  </w:r>
                  <w:r>
                    <w:rPr>
                      <w:rFonts w:hint="eastAsia"/>
                      <w:bCs/>
                      <w:color w:val="000000"/>
                      <w:kern w:val="0"/>
                      <w:sz w:val="21"/>
                      <w:szCs w:val="21"/>
                    </w:rPr>
                    <w:t>年本）》鼓励类、限制类、淘汰类项目，为允许建设项目。严格落实</w:t>
                  </w:r>
                  <w:r>
                    <w:rPr>
                      <w:rFonts w:hint="eastAsia"/>
                      <w:color w:val="000000"/>
                      <w:sz w:val="21"/>
                      <w:szCs w:val="21"/>
                    </w:rPr>
                    <w:t>《报告书》提出的环境准入和保护要求。</w:t>
                  </w:r>
                </w:p>
              </w:tc>
              <w:tc>
                <w:tcPr>
                  <w:tcW w:w="623" w:type="pct"/>
                  <w:shd w:val="clear" w:color="auto" w:fill="auto"/>
                  <w:noWrap w:val="0"/>
                  <w:vAlign w:val="center"/>
                </w:tcPr>
                <w:p w14:paraId="41F2B7F3">
                  <w:pPr>
                    <w:widowControl/>
                    <w:jc w:val="center"/>
                    <w:rPr>
                      <w:rFonts w:ascii="Times New Roman" w:hAnsi="Times New Roman"/>
                      <w:color w:val="000000"/>
                      <w:sz w:val="21"/>
                      <w:szCs w:val="21"/>
                    </w:rPr>
                  </w:pPr>
                  <w:r>
                    <w:rPr>
                      <w:rFonts w:ascii="Times New Roman" w:hAnsi="Times New Roman"/>
                      <w:color w:val="000000"/>
                      <w:sz w:val="21"/>
                      <w:szCs w:val="21"/>
                    </w:rPr>
                    <w:t>符合</w:t>
                  </w:r>
                </w:p>
              </w:tc>
            </w:tr>
            <w:tr w14:paraId="4619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1016" w:type="pct"/>
                  <w:vMerge w:val="continue"/>
                  <w:shd w:val="clear" w:color="auto" w:fill="auto"/>
                  <w:noWrap w:val="0"/>
                  <w:vAlign w:val="center"/>
                </w:tcPr>
                <w:p w14:paraId="203ABE2E">
                  <w:pPr>
                    <w:jc w:val="center"/>
                    <w:rPr>
                      <w:rFonts w:ascii="Times New Roman" w:hAnsi="Times New Roman"/>
                      <w:color w:val="000000"/>
                      <w:sz w:val="21"/>
                      <w:szCs w:val="21"/>
                    </w:rPr>
                  </w:pPr>
                </w:p>
              </w:tc>
              <w:tc>
                <w:tcPr>
                  <w:tcW w:w="2165" w:type="pct"/>
                  <w:gridSpan w:val="3"/>
                  <w:shd w:val="clear" w:color="auto" w:fill="auto"/>
                  <w:noWrap w:val="0"/>
                  <w:vAlign w:val="center"/>
                </w:tcPr>
                <w:p w14:paraId="3157DF0B">
                  <w:pPr>
                    <w:autoSpaceDE w:val="0"/>
                    <w:autoSpaceDN w:val="0"/>
                    <w:adjustRightInd w:val="0"/>
                    <w:rPr>
                      <w:rFonts w:hint="eastAsia"/>
                      <w:color w:val="000000"/>
                      <w:sz w:val="21"/>
                      <w:szCs w:val="21"/>
                    </w:rPr>
                  </w:pPr>
                  <w:r>
                    <w:rPr>
                      <w:rFonts w:hint="eastAsia"/>
                      <w:color w:val="000000"/>
                      <w:sz w:val="21"/>
                      <w:szCs w:val="21"/>
                    </w:rPr>
                    <w:t>建立健全区域风险防范、生态安全保障和人群健康体系，加强区内重要风险的管控。组织制定生态环境保护规划，统筹考虑区内污染物排放、生态恢复与建设、环境风险防范、人群健康、环境管理等事宜。加强高新区内企业危险化学品等运输的环境风险管理，强化应急响应联动机制。</w:t>
                  </w:r>
                </w:p>
              </w:tc>
              <w:tc>
                <w:tcPr>
                  <w:tcW w:w="1195" w:type="pct"/>
                  <w:shd w:val="clear" w:color="auto" w:fill="auto"/>
                  <w:noWrap w:val="0"/>
                  <w:vAlign w:val="center"/>
                </w:tcPr>
                <w:p w14:paraId="3BA5720C">
                  <w:pPr>
                    <w:autoSpaceDE w:val="0"/>
                    <w:autoSpaceDN w:val="0"/>
                    <w:adjustRightInd w:val="0"/>
                    <w:rPr>
                      <w:rFonts w:hint="eastAsia"/>
                      <w:color w:val="000000"/>
                      <w:sz w:val="21"/>
                      <w:szCs w:val="21"/>
                    </w:rPr>
                  </w:pPr>
                  <w:r>
                    <w:rPr>
                      <w:rFonts w:hint="eastAsia"/>
                      <w:color w:val="000000"/>
                      <w:sz w:val="21"/>
                      <w:szCs w:val="21"/>
                    </w:rPr>
                    <w:t>建设单位已制定企业突发环境事件应急预案，储罐区建有围堰、厂区事故水池等环境风险防范设施；危险化学品委托有资质公司运输。</w:t>
                  </w:r>
                </w:p>
              </w:tc>
              <w:tc>
                <w:tcPr>
                  <w:tcW w:w="623" w:type="pct"/>
                  <w:shd w:val="clear" w:color="auto" w:fill="auto"/>
                  <w:noWrap w:val="0"/>
                  <w:vAlign w:val="center"/>
                </w:tcPr>
                <w:p w14:paraId="05CB8BE8">
                  <w:pPr>
                    <w:widowControl/>
                    <w:jc w:val="center"/>
                    <w:rPr>
                      <w:rFonts w:ascii="Times New Roman" w:hAnsi="Times New Roman"/>
                      <w:color w:val="000000"/>
                      <w:sz w:val="21"/>
                      <w:szCs w:val="21"/>
                    </w:rPr>
                  </w:pPr>
                  <w:r>
                    <w:rPr>
                      <w:rFonts w:ascii="Times New Roman" w:hAnsi="Times New Roman"/>
                      <w:color w:val="000000"/>
                      <w:sz w:val="21"/>
                      <w:szCs w:val="21"/>
                    </w:rPr>
                    <w:t>符合</w:t>
                  </w:r>
                </w:p>
              </w:tc>
            </w:tr>
            <w:tr w14:paraId="4F39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1016" w:type="pct"/>
                  <w:vMerge w:val="continue"/>
                  <w:shd w:val="clear" w:color="auto" w:fill="auto"/>
                  <w:noWrap w:val="0"/>
                  <w:vAlign w:val="center"/>
                </w:tcPr>
                <w:p w14:paraId="2320FF1C">
                  <w:pPr>
                    <w:jc w:val="center"/>
                    <w:rPr>
                      <w:rFonts w:ascii="Times New Roman" w:hAnsi="Times New Roman"/>
                      <w:color w:val="000000"/>
                      <w:sz w:val="21"/>
                      <w:szCs w:val="21"/>
                    </w:rPr>
                  </w:pPr>
                </w:p>
              </w:tc>
              <w:tc>
                <w:tcPr>
                  <w:tcW w:w="2165" w:type="pct"/>
                  <w:gridSpan w:val="3"/>
                  <w:shd w:val="clear" w:color="auto" w:fill="auto"/>
                  <w:noWrap w:val="0"/>
                  <w:vAlign w:val="center"/>
                </w:tcPr>
                <w:p w14:paraId="5544DDF8">
                  <w:pPr>
                    <w:autoSpaceDE w:val="0"/>
                    <w:autoSpaceDN w:val="0"/>
                    <w:adjustRightInd w:val="0"/>
                    <w:rPr>
                      <w:rFonts w:hint="eastAsia"/>
                      <w:color w:val="000000"/>
                      <w:sz w:val="21"/>
                      <w:szCs w:val="21"/>
                    </w:rPr>
                  </w:pPr>
                  <w:r>
                    <w:rPr>
                      <w:rFonts w:hint="eastAsia"/>
                      <w:color w:val="000000"/>
                      <w:sz w:val="21"/>
                      <w:szCs w:val="21"/>
                    </w:rPr>
                    <w:t>拟入区建设项目，应结合《报告书》提出的指导意见做好环境影响评价工作，落实《报告书》提出的要求，重点开展工程分析、环境影响评价和环保措施可行性论证，强化环境监测和环境保护相关措施的落实。</w:t>
                  </w:r>
                </w:p>
              </w:tc>
              <w:tc>
                <w:tcPr>
                  <w:tcW w:w="1195" w:type="pct"/>
                  <w:shd w:val="clear" w:color="auto" w:fill="auto"/>
                  <w:noWrap w:val="0"/>
                  <w:vAlign w:val="center"/>
                </w:tcPr>
                <w:p w14:paraId="2BB4650B">
                  <w:pPr>
                    <w:autoSpaceDE w:val="0"/>
                    <w:autoSpaceDN w:val="0"/>
                    <w:adjustRightInd w:val="0"/>
                    <w:rPr>
                      <w:rFonts w:hint="eastAsia"/>
                      <w:color w:val="000000"/>
                      <w:sz w:val="21"/>
                      <w:szCs w:val="21"/>
                    </w:rPr>
                  </w:pPr>
                  <w:r>
                    <w:rPr>
                      <w:rFonts w:hint="eastAsia"/>
                      <w:color w:val="000000"/>
                      <w:sz w:val="21"/>
                      <w:szCs w:val="21"/>
                    </w:rPr>
                    <w:t>本评价重点开展了工程分析、环境影响评价和环保措施可行性论证，制定了环境监测计划，提出了环境保护相关措施。</w:t>
                  </w:r>
                </w:p>
              </w:tc>
              <w:tc>
                <w:tcPr>
                  <w:tcW w:w="623" w:type="pct"/>
                  <w:shd w:val="clear" w:color="auto" w:fill="auto"/>
                  <w:noWrap w:val="0"/>
                  <w:vAlign w:val="center"/>
                </w:tcPr>
                <w:p w14:paraId="502E6E76">
                  <w:pPr>
                    <w:widowControl/>
                    <w:jc w:val="center"/>
                    <w:rPr>
                      <w:rFonts w:ascii="Times New Roman" w:hAnsi="Times New Roman"/>
                      <w:color w:val="000000"/>
                      <w:sz w:val="21"/>
                      <w:szCs w:val="21"/>
                    </w:rPr>
                  </w:pPr>
                  <w:r>
                    <w:rPr>
                      <w:rFonts w:ascii="Times New Roman" w:hAnsi="Times New Roman"/>
                      <w:color w:val="000000"/>
                      <w:sz w:val="21"/>
                      <w:szCs w:val="21"/>
                    </w:rPr>
                    <w:t>符合</w:t>
                  </w:r>
                </w:p>
              </w:tc>
            </w:tr>
          </w:tbl>
          <w:p w14:paraId="32E820E3">
            <w:pPr>
              <w:autoSpaceDE w:val="0"/>
              <w:autoSpaceDN w:val="0"/>
              <w:adjustRightInd w:val="0"/>
              <w:snapToGrid w:val="0"/>
              <w:jc w:val="center"/>
              <w:rPr>
                <w:rFonts w:ascii="宋体" w:hAnsi="宋体" w:cs="宋体"/>
                <w:kern w:val="0"/>
                <w:sz w:val="24"/>
              </w:rPr>
            </w:pPr>
          </w:p>
        </w:tc>
      </w:tr>
      <w:tr w14:paraId="0FAAB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30" w:hRule="atLeast"/>
          <w:jc w:val="center"/>
        </w:trPr>
        <w:tc>
          <w:tcPr>
            <w:tcW w:w="1577" w:type="dxa"/>
            <w:shd w:val="clear" w:color="auto" w:fill="auto"/>
            <w:noWrap w:val="0"/>
            <w:vAlign w:val="center"/>
          </w:tcPr>
          <w:p w14:paraId="638C99F9">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7293" w:type="dxa"/>
            <w:gridSpan w:val="3"/>
            <w:shd w:val="clear" w:color="auto" w:fill="auto"/>
            <w:noWrap w:val="0"/>
            <w:vAlign w:val="center"/>
          </w:tcPr>
          <w:p w14:paraId="31C62D1B">
            <w:pPr>
              <w:pStyle w:val="63"/>
              <w:spacing w:line="360" w:lineRule="auto"/>
              <w:ind w:firstLine="480"/>
              <w:rPr>
                <w:rFonts w:hAnsi="Times New Roman"/>
                <w:b/>
                <w:bCs/>
                <w:kern w:val="0"/>
              </w:rPr>
            </w:pPr>
            <w:r>
              <w:rPr>
                <w:rFonts w:hAnsi="Times New Roman"/>
                <w:b/>
                <w:bCs/>
              </w:rPr>
              <w:t>1</w:t>
            </w:r>
            <w:r>
              <w:rPr>
                <w:rFonts w:hint="eastAsia" w:hAnsi="Times New Roman"/>
                <w:b/>
                <w:bCs/>
                <w:lang w:val="en-US" w:eastAsia="zh-CN"/>
              </w:rPr>
              <w:t>.</w:t>
            </w:r>
            <w:r>
              <w:rPr>
                <w:rFonts w:hAnsi="Times New Roman"/>
                <w:b/>
                <w:bCs/>
                <w:kern w:val="0"/>
              </w:rPr>
              <w:t>项目与</w:t>
            </w:r>
            <w:r>
              <w:rPr>
                <w:rFonts w:hint="eastAsia" w:ascii="宋体" w:cs="宋体"/>
                <w:b/>
                <w:bCs/>
                <w:kern w:val="0"/>
              </w:rPr>
              <w:t>“三线一单”</w:t>
            </w:r>
            <w:r>
              <w:rPr>
                <w:rFonts w:hAnsi="Times New Roman"/>
                <w:b/>
                <w:bCs/>
                <w:kern w:val="0"/>
              </w:rPr>
              <w:t>符合性分析</w:t>
            </w:r>
          </w:p>
          <w:p w14:paraId="1F470094">
            <w:pPr>
              <w:pStyle w:val="68"/>
              <w:widowControl/>
              <w:adjustRightInd w:val="0"/>
              <w:snapToGrid w:val="0"/>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根据《陕西省“三线一单”生态环境分区管理应用技术指南》</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陕环办发〔2022〕76文件</w:t>
            </w:r>
            <w:r>
              <w:rPr>
                <w:rFonts w:hint="eastAsia" w:ascii="Times New Roman" w:hAnsi="Times New Roman" w:cs="Times New Roman"/>
                <w:sz w:val="24"/>
                <w:szCs w:val="24"/>
                <w:lang w:eastAsia="zh-CN"/>
              </w:rPr>
              <w:t>）相关要求</w:t>
            </w:r>
            <w:r>
              <w:rPr>
                <w:rFonts w:ascii="Times New Roman" w:hAnsi="Times New Roman" w:cs="Times New Roman"/>
                <w:sz w:val="24"/>
                <w:szCs w:val="24"/>
                <w:lang w:eastAsia="zh-CN"/>
              </w:rPr>
              <w:t>：环境影响评价（试行）通知，进行建设项目与</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三线一单</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生态环境分区管控符合性分析，采用一图、一表、一说明的形式表达。</w:t>
            </w:r>
          </w:p>
          <w:p w14:paraId="4625BF14">
            <w:pPr>
              <w:pStyle w:val="68"/>
              <w:widowControl/>
              <w:adjustRightInd w:val="0"/>
              <w:snapToGrid w:val="0"/>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⑴</w:t>
            </w:r>
            <w:r>
              <w:rPr>
                <w:rFonts w:ascii="Times New Roman" w:hAnsi="Times New Roman" w:cs="Times New Roman"/>
                <w:sz w:val="24"/>
                <w:szCs w:val="24"/>
                <w:lang w:eastAsia="zh-CN"/>
              </w:rPr>
              <w:t>建设项目与环境管控单元对照分析示意图</w:t>
            </w:r>
          </w:p>
          <w:p w14:paraId="6BEDB9C6">
            <w:pPr>
              <w:pStyle w:val="68"/>
              <w:widowControl/>
              <w:adjustRightInd w:val="0"/>
              <w:snapToGrid w:val="0"/>
              <w:spacing w:line="360" w:lineRule="auto"/>
              <w:ind w:firstLine="480" w:firstLineChars="200"/>
              <w:jc w:val="both"/>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①“一图”：</w:t>
            </w:r>
            <w:r>
              <w:rPr>
                <w:rFonts w:ascii="Times New Roman" w:hAnsi="Times New Roman" w:cs="Times New Roman"/>
                <w:sz w:val="24"/>
                <w:szCs w:val="24"/>
                <w:lang w:eastAsia="zh-CN"/>
              </w:rPr>
              <w:t>本项目通过陕西省“三线一单”数据应用分析平台（V1.0）冲突分析，形成对照分析示意图，由图可知项目建设范围全部位于生态环境管控的重点管控单元。</w:t>
            </w:r>
          </w:p>
          <w:p w14:paraId="4646BBF5">
            <w:pPr>
              <w:pStyle w:val="68"/>
              <w:keepNext w:val="0"/>
              <w:keepLines w:val="0"/>
              <w:pageBreakBefore w:val="0"/>
              <w:widowControl/>
              <w:tabs>
                <w:tab w:val="left" w:pos="337"/>
              </w:tabs>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sz w:val="24"/>
                <w:szCs w:val="24"/>
                <w:lang w:eastAsia="zh-CN"/>
              </w:rPr>
            </w:pPr>
            <w:r>
              <w:rPr>
                <w:color w:val="auto"/>
                <w:sz w:val="21"/>
              </w:rPr>
              <w:pict>
                <v:line id="直线 8" o:spid="_x0000_s1026" o:spt="20" style="position:absolute;left:0pt;margin-left:168.65pt;margin-top:211.35pt;height:0.05pt;width:23.85pt;z-index:251660288;mso-width-relative:page;mso-height-relative:page;" stroked="t" coordsize="21600,21600">
                  <v:path arrowok="t"/>
                  <v:fill focussize="0,0"/>
                  <v:stroke weight="1.5pt" color="#2FD7B6"/>
                  <v:imagedata o:title=""/>
                  <o:lock v:ext="edit"/>
                </v:line>
              </w:pict>
            </w:r>
            <w:r>
              <w:rPr>
                <w:color w:val="auto"/>
                <w:sz w:val="21"/>
              </w:rPr>
              <w:pict>
                <v:rect id="矩形 7" o:spid="_x0000_s1027" o:spt="1" style="position:absolute;left:0pt;margin-left:192.15pt;margin-top:188.55pt;height:12.3pt;width:24.5pt;z-index:251660288;mso-width-relative:page;mso-height-relative:page;" fillcolor="#FFFF00" filled="t" stroked="t" coordsize="21600,21600">
                  <v:path/>
                  <v:fill on="t" color2="#FFFFFF" focussize="0,0"/>
                  <v:stroke joinstyle="miter"/>
                  <v:imagedata o:title=""/>
                  <o:lock v:ext="edit"/>
                </v:rect>
              </w:pict>
            </w:r>
            <w:r>
              <w:rPr>
                <w:color w:val="auto"/>
                <w:sz w:val="21"/>
              </w:rPr>
              <w:pict>
                <v:rect id="矩形 6" o:spid="_x0000_s1028" o:spt="1" style="position:absolute;left:0pt;margin-left:191.55pt;margin-top:173pt;height:12.3pt;width:24.5pt;z-index:251660288;mso-width-relative:page;mso-height-relative:page;" fillcolor="#D87673" filled="t" stroked="t" coordsize="21600,21600">
                  <v:path/>
                  <v:fill on="t" color2="#FFFFFF" focussize="0,0"/>
                  <v:stroke joinstyle="miter"/>
                  <v:imagedata o:title=""/>
                  <o:lock v:ext="edit"/>
                </v:rect>
              </w:pict>
            </w:r>
            <w:r>
              <w:pict>
                <v:shape id="矩形 34" o:spid="_x0000_s1029" o:spt="202" type="#_x0000_t202" style="position:absolute;left:0pt;margin-left:129.8pt;margin-top:153.5pt;height:65.45pt;width:89.35pt;z-index:251660288;mso-width-relative:page;mso-height-relative:page;" fillcolor="#FFFFFF" filled="t" stroked="t" coordsize="21600,21600">
                  <v:path/>
                  <v:fill on="t" color2="#FFFFFF" focussize="0,0"/>
                  <v:stroke joinstyle="miter"/>
                  <v:imagedata o:title=""/>
                  <o:lock v:ext="edit"/>
                  <v:textbox>
                    <w:txbxContent>
                      <w:p w14:paraId="48C67B85">
                        <w:pPr>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textAlignment w:val="auto"/>
                          <w:rPr>
                            <w:rFonts w:hint="eastAsia" w:eastAsia="宋体"/>
                            <w:sz w:val="16"/>
                            <w:szCs w:val="20"/>
                            <w:lang w:eastAsia="zh-CN"/>
                          </w:rPr>
                        </w:pPr>
                        <w:r>
                          <w:rPr>
                            <w:rFonts w:hint="eastAsia"/>
                            <w:sz w:val="16"/>
                            <w:szCs w:val="20"/>
                            <w:lang w:eastAsia="zh-CN"/>
                          </w:rPr>
                          <w:t>图例</w:t>
                        </w:r>
                      </w:p>
                      <w:p w14:paraId="01EAC1ED">
                        <w:pPr>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textAlignment w:val="auto"/>
                          <w:rPr>
                            <w:rFonts w:hint="eastAsia"/>
                            <w:sz w:val="16"/>
                            <w:szCs w:val="20"/>
                            <w:lang w:eastAsia="zh-CN"/>
                          </w:rPr>
                        </w:pPr>
                        <w:r>
                          <w:rPr>
                            <w:rFonts w:hint="eastAsia"/>
                            <w:sz w:val="16"/>
                            <w:szCs w:val="20"/>
                            <w:lang w:eastAsia="zh-CN"/>
                          </w:rPr>
                          <w:t>重点保护单元：</w:t>
                        </w:r>
                      </w:p>
                      <w:p w14:paraId="5B4BEEC1">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textAlignment w:val="auto"/>
                          <w:rPr>
                            <w:rFonts w:hint="eastAsia"/>
                            <w:sz w:val="16"/>
                            <w:szCs w:val="20"/>
                            <w:lang w:eastAsia="zh-CN"/>
                          </w:rPr>
                        </w:pPr>
                        <w:r>
                          <w:rPr>
                            <w:rFonts w:hint="eastAsia"/>
                            <w:sz w:val="16"/>
                            <w:szCs w:val="20"/>
                            <w:lang w:eastAsia="zh-CN"/>
                          </w:rPr>
                          <w:t>一般管控单元：</w:t>
                        </w:r>
                      </w:p>
                      <w:p w14:paraId="76CDEE53">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textAlignment w:val="auto"/>
                          <w:rPr>
                            <w:rFonts w:hint="eastAsia"/>
                            <w:sz w:val="16"/>
                            <w:szCs w:val="20"/>
                            <w:lang w:eastAsia="zh-CN"/>
                          </w:rPr>
                        </w:pPr>
                        <w:r>
                          <w:rPr>
                            <w:rFonts w:hint="eastAsia"/>
                            <w:sz w:val="16"/>
                            <w:szCs w:val="20"/>
                            <w:lang w:eastAsia="zh-CN"/>
                          </w:rPr>
                          <w:t>项目地：</w:t>
                        </w:r>
                      </w:p>
                    </w:txbxContent>
                  </v:textbox>
                </v:shape>
              </w:pict>
            </w:r>
            <w:r>
              <w:pict>
                <v:shape id="_x0000_s1030" o:spid="_x0000_s1030" o:spt="202" type="#_x0000_t202" style="position:absolute;left:0pt;margin-left:52.35pt;margin-top:192.25pt;height:28.05pt;width:77pt;z-index:251660288;mso-width-relative:page;mso-height-relative:page;" fillcolor="#FFFFFF" filled="t" stroked="t" coordsize="21600,21600">
                  <v:path/>
                  <v:fill on="t" color2="#FFFFFF" focussize="0,0"/>
                  <v:stroke joinstyle="miter"/>
                  <v:imagedata o:title=""/>
                  <o:lock v:ext="edit"/>
                  <v:textbox>
                    <w:txbxContent>
                      <w:p w14:paraId="1206C23D">
                        <w:pPr>
                          <w:rPr>
                            <w:rFonts w:hint="eastAsia"/>
                            <w:sz w:val="16"/>
                            <w:szCs w:val="20"/>
                          </w:rPr>
                        </w:pPr>
                        <w:r>
                          <w:rPr>
                            <w:rFonts w:hint="eastAsia"/>
                            <w:sz w:val="16"/>
                            <w:szCs w:val="20"/>
                          </w:rPr>
                          <w:t>成图日期</w:t>
                        </w:r>
                      </w:p>
                      <w:p w14:paraId="69B2EAB5">
                        <w:pPr>
                          <w:pStyle w:val="10"/>
                          <w:ind w:firstLine="0" w:firstLineChars="0"/>
                        </w:pPr>
                        <w:r>
                          <w:rPr>
                            <w:rFonts w:hint="eastAsia"/>
                            <w:sz w:val="16"/>
                            <w:szCs w:val="20"/>
                          </w:rPr>
                          <w:t>202</w:t>
                        </w:r>
                        <w:r>
                          <w:rPr>
                            <w:rFonts w:hint="eastAsia"/>
                            <w:sz w:val="16"/>
                            <w:szCs w:val="20"/>
                            <w:lang w:val="en-US" w:eastAsia="zh-CN"/>
                          </w:rPr>
                          <w:t>5</w:t>
                        </w:r>
                        <w:r>
                          <w:rPr>
                            <w:rFonts w:hint="eastAsia"/>
                            <w:sz w:val="16"/>
                            <w:szCs w:val="20"/>
                          </w:rPr>
                          <w:t>年</w:t>
                        </w:r>
                        <w:r>
                          <w:rPr>
                            <w:rFonts w:hint="eastAsia"/>
                            <w:sz w:val="16"/>
                            <w:szCs w:val="20"/>
                            <w:lang w:val="en-US" w:eastAsia="zh-CN"/>
                          </w:rPr>
                          <w:t>4</w:t>
                        </w:r>
                        <w:r>
                          <w:rPr>
                            <w:rFonts w:hint="eastAsia"/>
                            <w:sz w:val="16"/>
                            <w:szCs w:val="20"/>
                          </w:rPr>
                          <w:t>月</w:t>
                        </w:r>
                        <w:r>
                          <w:rPr>
                            <w:rFonts w:hint="eastAsia"/>
                            <w:sz w:val="16"/>
                            <w:szCs w:val="20"/>
                            <w:lang w:val="en-US" w:eastAsia="zh-CN"/>
                          </w:rPr>
                          <w:t>22</w:t>
                        </w:r>
                        <w:r>
                          <w:rPr>
                            <w:rFonts w:hint="eastAsia"/>
                            <w:sz w:val="16"/>
                            <w:szCs w:val="20"/>
                          </w:rPr>
                          <w:t>日</w:t>
                        </w:r>
                      </w:p>
                    </w:txbxContent>
                  </v:textbox>
                </v:shape>
              </w:pict>
            </w:r>
            <w:r>
              <w:rPr>
                <w:rFonts w:ascii="Times New Roman" w:hAnsi="Times New Roman"/>
                <w:color w:val="000000"/>
              </w:rPr>
              <w:pict>
                <v:shape id="矩形标注 9" o:spid="_x0000_s1031" o:spt="61" type="#_x0000_t61" style="position:absolute;left:0pt;margin-left:226.05pt;margin-top:28.1pt;height:21pt;width:80.25pt;z-index:251659264;mso-width-relative:page;mso-height-relative:page;" fillcolor="#FFFFFF" filled="t" stroked="t" coordsize="21600,21600" adj="13916,52869">
                  <v:path/>
                  <v:fill on="t" color2="#FFFFFF" opacity="32768f" focussize="0,0"/>
                  <v:stroke joinstyle="miter"/>
                  <v:imagedata o:title=""/>
                  <o:lock v:ext="edit"/>
                  <v:textbox>
                    <w:txbxContent>
                      <w:p w14:paraId="28142520">
                        <w:pPr>
                          <w:rPr>
                            <w:b/>
                            <w:bCs/>
                          </w:rPr>
                        </w:pPr>
                        <w:r>
                          <w:rPr>
                            <w:rFonts w:hint="eastAsia"/>
                            <w:b/>
                            <w:bCs/>
                          </w:rPr>
                          <w:t>本项目拟建地</w:t>
                        </w:r>
                      </w:p>
                    </w:txbxContent>
                  </v:textbox>
                </v:shape>
              </w:pict>
            </w:r>
            <w:r>
              <w:rPr>
                <w:rFonts w:hint="eastAsia" w:ascii="Times New Roman" w:hAnsi="Times New Roman" w:eastAsia="宋体" w:cs="Times New Roman"/>
                <w:color w:val="auto"/>
                <w:sz w:val="24"/>
                <w:highlight w:val="none"/>
                <w:lang w:val="en-US" w:eastAsia="zh-CN"/>
              </w:rPr>
              <w:pict>
                <v:shape id="图片 10" o:spid="_x0000_s1032" o:spt="75" alt="指北针" type="#_x0000_t75" style="position:absolute;left:0pt;margin-left:332.35pt;margin-top:0.3pt;height:23.15pt;width:20.05pt;z-index:251660288;mso-width-relative:page;mso-height-relative:page;" filled="f" o:preferrelative="t" stroked="f" coordsize="21600,21600">
                  <v:path/>
                  <v:fill on="f" focussize="0,0"/>
                  <v:stroke on="f"/>
                  <v:imagedata r:id="rId8" o:title="指北针"/>
                  <o:lock v:ext="edit" aspectratio="t"/>
                </v:shape>
              </w:pict>
            </w:r>
            <w:r>
              <w:pict>
                <v:shape id="_x0000_i1025" o:spt="75" type="#_x0000_t75" style="height:218.45pt;width:351.65pt;" filled="f" o:preferrelative="t" stroked="t" coordsize="21600,21600">
                  <v:path/>
                  <v:fill on="f" focussize="0,0"/>
                  <v:stroke joinstyle="miter"/>
                  <v:imagedata r:id="rId9" o:title=""/>
                  <o:lock v:ext="edit" aspectratio="t"/>
                  <w10:wrap type="none"/>
                  <w10:anchorlock/>
                </v:shape>
              </w:pict>
            </w:r>
          </w:p>
          <w:p w14:paraId="313B6E4F">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sz w:val="24"/>
              </w:rPr>
            </w:pPr>
            <w:r>
              <w:rPr>
                <w:rFonts w:hint="eastAsia"/>
                <w:bCs/>
                <w:sz w:val="24"/>
              </w:rPr>
              <w:t>图1-1 项目地和陕西省“三线一单”数据应用平台生态环境分区管控分布图</w:t>
            </w:r>
          </w:p>
          <w:p w14:paraId="4990E687">
            <w:pPr>
              <w:pStyle w:val="38"/>
              <w:spacing w:after="0" w:line="360" w:lineRule="auto"/>
              <w:ind w:firstLine="480" w:firstLineChars="200"/>
              <w:rPr>
                <w:sz w:val="24"/>
                <w:szCs w:val="32"/>
              </w:rPr>
            </w:pPr>
            <w:r>
              <w:rPr>
                <w:rFonts w:hint="eastAsia"/>
                <w:sz w:val="24"/>
              </w:rPr>
              <w:t>②“一表”：</w:t>
            </w:r>
            <w:r>
              <w:rPr>
                <w:sz w:val="24"/>
              </w:rPr>
              <w:t>根据陕西省“三线一单”数据应用管理平台数据分析，项目涉及环境管控单元管控要求分析如下。</w:t>
            </w:r>
          </w:p>
          <w:p w14:paraId="4F7BC85E">
            <w:pPr>
              <w:pStyle w:val="62"/>
              <w:adjustRightInd w:val="0"/>
              <w:spacing w:before="0" w:after="0"/>
              <w:ind w:right="0"/>
              <w:rPr>
                <w:b w:val="0"/>
                <w:bCs w:val="0"/>
                <w:sz w:val="24"/>
                <w:szCs w:val="24"/>
              </w:rPr>
            </w:pPr>
            <w:r>
              <w:rPr>
                <w:rFonts w:hint="eastAsia"/>
                <w:b w:val="0"/>
                <w:bCs w:val="0"/>
                <w:sz w:val="24"/>
                <w:szCs w:val="24"/>
              </w:rPr>
              <w:t>表1-</w:t>
            </w:r>
            <w:r>
              <w:rPr>
                <w:rFonts w:hint="eastAsia"/>
                <w:b w:val="0"/>
                <w:bCs w:val="0"/>
                <w:sz w:val="24"/>
                <w:szCs w:val="24"/>
                <w:lang w:val="en-US" w:eastAsia="zh-CN"/>
              </w:rPr>
              <w:t>2</w:t>
            </w:r>
            <w:r>
              <w:rPr>
                <w:rFonts w:hint="eastAsia"/>
                <w:b w:val="0"/>
                <w:bCs w:val="0"/>
                <w:sz w:val="24"/>
                <w:szCs w:val="24"/>
              </w:rPr>
              <w:t xml:space="preserve">  本项目与“三线一单”符合性分析一览表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6"/>
              <w:gridCol w:w="554"/>
              <w:gridCol w:w="602"/>
              <w:gridCol w:w="537"/>
              <w:gridCol w:w="829"/>
              <w:gridCol w:w="1564"/>
              <w:gridCol w:w="1747"/>
              <w:gridCol w:w="715"/>
            </w:tblGrid>
            <w:tr w14:paraId="534F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7" w:hRule="atLeast"/>
                <w:jc w:val="center"/>
              </w:trPr>
              <w:tc>
                <w:tcPr>
                  <w:tcW w:w="364" w:type="pct"/>
                  <w:shd w:val="clear" w:color="auto" w:fill="auto"/>
                  <w:noWrap w:val="0"/>
                  <w:vAlign w:val="center"/>
                </w:tcPr>
                <w:p w14:paraId="5FB93800">
                  <w:pPr>
                    <w:autoSpaceDE w:val="0"/>
                    <w:autoSpaceDN w:val="0"/>
                    <w:jc w:val="center"/>
                    <w:rPr>
                      <w:rFonts w:ascii="Times New Roman" w:hAnsi="Times New Roman"/>
                      <w:color w:val="000000"/>
                      <w:szCs w:val="21"/>
                    </w:rPr>
                  </w:pPr>
                  <w:r>
                    <w:rPr>
                      <w:rFonts w:ascii="Times New Roman" w:hAnsi="Times New Roman"/>
                      <w:color w:val="000000"/>
                      <w:szCs w:val="21"/>
                    </w:rPr>
                    <w:t>序号</w:t>
                  </w:r>
                </w:p>
              </w:tc>
              <w:tc>
                <w:tcPr>
                  <w:tcW w:w="392" w:type="pct"/>
                  <w:shd w:val="clear" w:color="auto" w:fill="auto"/>
                  <w:noWrap w:val="0"/>
                  <w:vAlign w:val="center"/>
                </w:tcPr>
                <w:p w14:paraId="4252B2E2">
                  <w:pPr>
                    <w:autoSpaceDE w:val="0"/>
                    <w:autoSpaceDN w:val="0"/>
                    <w:jc w:val="center"/>
                    <w:rPr>
                      <w:rFonts w:ascii="Times New Roman" w:hAnsi="Times New Roman"/>
                      <w:color w:val="000000"/>
                      <w:szCs w:val="21"/>
                    </w:rPr>
                  </w:pPr>
                  <w:r>
                    <w:rPr>
                      <w:rFonts w:ascii="Times New Roman" w:hAnsi="Times New Roman"/>
                      <w:color w:val="000000"/>
                      <w:szCs w:val="21"/>
                    </w:rPr>
                    <w:t>区县</w:t>
                  </w:r>
                </w:p>
              </w:tc>
              <w:tc>
                <w:tcPr>
                  <w:tcW w:w="426" w:type="pct"/>
                  <w:shd w:val="clear" w:color="auto" w:fill="auto"/>
                  <w:noWrap w:val="0"/>
                  <w:vAlign w:val="center"/>
                </w:tcPr>
                <w:p w14:paraId="60A94DEF">
                  <w:pPr>
                    <w:autoSpaceDE w:val="0"/>
                    <w:autoSpaceDN w:val="0"/>
                    <w:jc w:val="center"/>
                    <w:rPr>
                      <w:rFonts w:ascii="Times New Roman" w:hAnsi="Times New Roman"/>
                      <w:color w:val="000000"/>
                      <w:szCs w:val="21"/>
                    </w:rPr>
                  </w:pPr>
                  <w:r>
                    <w:rPr>
                      <w:rFonts w:ascii="Times New Roman" w:hAnsi="Times New Roman"/>
                      <w:color w:val="000000"/>
                      <w:szCs w:val="21"/>
                    </w:rPr>
                    <w:t>环境管控单元名称</w:t>
                  </w:r>
                </w:p>
              </w:tc>
              <w:tc>
                <w:tcPr>
                  <w:tcW w:w="380" w:type="pct"/>
                  <w:shd w:val="clear" w:color="auto" w:fill="auto"/>
                  <w:noWrap w:val="0"/>
                  <w:vAlign w:val="center"/>
                </w:tcPr>
                <w:p w14:paraId="2CEB06A2">
                  <w:pPr>
                    <w:autoSpaceDE w:val="0"/>
                    <w:autoSpaceDN w:val="0"/>
                    <w:jc w:val="center"/>
                    <w:rPr>
                      <w:rFonts w:ascii="Times New Roman" w:hAnsi="Times New Roman"/>
                      <w:color w:val="000000"/>
                      <w:szCs w:val="21"/>
                    </w:rPr>
                  </w:pPr>
                  <w:r>
                    <w:rPr>
                      <w:rFonts w:ascii="Times New Roman" w:hAnsi="Times New Roman"/>
                      <w:color w:val="000000"/>
                      <w:szCs w:val="21"/>
                    </w:rPr>
                    <w:t>单元要素属性</w:t>
                  </w:r>
                </w:p>
              </w:tc>
              <w:tc>
                <w:tcPr>
                  <w:tcW w:w="587" w:type="pct"/>
                  <w:shd w:val="clear" w:color="auto" w:fill="auto"/>
                  <w:noWrap w:val="0"/>
                  <w:vAlign w:val="center"/>
                </w:tcPr>
                <w:p w14:paraId="4079CB59">
                  <w:pPr>
                    <w:autoSpaceDE w:val="0"/>
                    <w:autoSpaceDN w:val="0"/>
                    <w:jc w:val="center"/>
                    <w:rPr>
                      <w:rFonts w:ascii="Times New Roman" w:hAnsi="Times New Roman"/>
                      <w:color w:val="000000"/>
                      <w:szCs w:val="21"/>
                    </w:rPr>
                  </w:pPr>
                  <w:r>
                    <w:rPr>
                      <w:rFonts w:ascii="Times New Roman" w:hAnsi="Times New Roman"/>
                      <w:color w:val="000000"/>
                      <w:szCs w:val="21"/>
                    </w:rPr>
                    <w:t>管控要求分类</w:t>
                  </w:r>
                </w:p>
              </w:tc>
              <w:tc>
                <w:tcPr>
                  <w:tcW w:w="1106" w:type="pct"/>
                  <w:shd w:val="clear" w:color="auto" w:fill="auto"/>
                  <w:noWrap w:val="0"/>
                  <w:vAlign w:val="center"/>
                </w:tcPr>
                <w:p w14:paraId="20BB0093">
                  <w:pPr>
                    <w:autoSpaceDE w:val="0"/>
                    <w:autoSpaceDN w:val="0"/>
                    <w:jc w:val="center"/>
                    <w:rPr>
                      <w:rFonts w:ascii="Times New Roman" w:hAnsi="Times New Roman"/>
                      <w:color w:val="000000"/>
                      <w:szCs w:val="21"/>
                    </w:rPr>
                  </w:pPr>
                  <w:r>
                    <w:rPr>
                      <w:rFonts w:ascii="Times New Roman" w:hAnsi="Times New Roman"/>
                      <w:color w:val="000000"/>
                      <w:szCs w:val="21"/>
                    </w:rPr>
                    <w:t>管控要求</w:t>
                  </w:r>
                </w:p>
              </w:tc>
              <w:tc>
                <w:tcPr>
                  <w:tcW w:w="1236" w:type="pct"/>
                  <w:shd w:val="clear" w:color="auto" w:fill="auto"/>
                  <w:noWrap w:val="0"/>
                  <w:vAlign w:val="center"/>
                </w:tcPr>
                <w:p w14:paraId="433BA953">
                  <w:pPr>
                    <w:autoSpaceDE w:val="0"/>
                    <w:autoSpaceDN w:val="0"/>
                    <w:jc w:val="center"/>
                    <w:rPr>
                      <w:rFonts w:ascii="Times New Roman" w:hAnsi="Times New Roman"/>
                      <w:color w:val="000000"/>
                      <w:szCs w:val="21"/>
                    </w:rPr>
                  </w:pPr>
                  <w:r>
                    <w:rPr>
                      <w:rFonts w:ascii="Times New Roman" w:hAnsi="Times New Roman"/>
                      <w:color w:val="000000"/>
                      <w:szCs w:val="21"/>
                    </w:rPr>
                    <w:t>符合性分析</w:t>
                  </w:r>
                </w:p>
              </w:tc>
              <w:tc>
                <w:tcPr>
                  <w:tcW w:w="506" w:type="pct"/>
                  <w:shd w:val="clear" w:color="auto" w:fill="auto"/>
                  <w:noWrap w:val="0"/>
                  <w:vAlign w:val="center"/>
                </w:tcPr>
                <w:p w14:paraId="76ACF9EE">
                  <w:pPr>
                    <w:autoSpaceDE w:val="0"/>
                    <w:autoSpaceDN w:val="0"/>
                    <w:jc w:val="center"/>
                    <w:rPr>
                      <w:rFonts w:ascii="Times New Roman" w:hAnsi="Times New Roman"/>
                      <w:color w:val="000000"/>
                      <w:szCs w:val="21"/>
                    </w:rPr>
                  </w:pPr>
                  <w:r>
                    <w:rPr>
                      <w:rFonts w:ascii="Times New Roman" w:hAnsi="Times New Roman"/>
                      <w:color w:val="000000"/>
                      <w:szCs w:val="21"/>
                    </w:rPr>
                    <w:t>是否符合政策要求</w:t>
                  </w:r>
                </w:p>
              </w:tc>
            </w:tr>
            <w:tr w14:paraId="413E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noWrap w:val="0"/>
                  <w:vAlign w:val="center"/>
                </w:tcPr>
                <w:p w14:paraId="5E6D0248">
                  <w:pPr>
                    <w:autoSpaceDE w:val="0"/>
                    <w:autoSpaceDN w:val="0"/>
                    <w:jc w:val="center"/>
                    <w:rPr>
                      <w:rFonts w:ascii="Times New Roman" w:hAnsi="Times New Roman"/>
                      <w:color w:val="000000"/>
                      <w:szCs w:val="21"/>
                    </w:rPr>
                  </w:pPr>
                  <w:r>
                    <w:rPr>
                      <w:rFonts w:ascii="Times New Roman" w:hAnsi="Times New Roman"/>
                      <w:color w:val="000000"/>
                      <w:szCs w:val="21"/>
                    </w:rPr>
                    <w:t>1</w:t>
                  </w:r>
                </w:p>
              </w:tc>
              <w:tc>
                <w:tcPr>
                  <w:tcW w:w="392" w:type="pct"/>
                  <w:vMerge w:val="restart"/>
                  <w:shd w:val="clear" w:color="auto" w:fill="auto"/>
                  <w:noWrap w:val="0"/>
                  <w:vAlign w:val="center"/>
                </w:tcPr>
                <w:p w14:paraId="7F5D16A6">
                  <w:pPr>
                    <w:autoSpaceDE w:val="0"/>
                    <w:autoSpaceDN w:val="0"/>
                    <w:jc w:val="center"/>
                    <w:rPr>
                      <w:rFonts w:ascii="Times New Roman" w:hAnsi="Times New Roman"/>
                      <w:color w:val="000000"/>
                      <w:szCs w:val="21"/>
                    </w:rPr>
                  </w:pPr>
                  <w:r>
                    <w:rPr>
                      <w:rFonts w:ascii="Times New Roman" w:hAnsi="Times New Roman"/>
                      <w:color w:val="000000"/>
                      <w:szCs w:val="21"/>
                    </w:rPr>
                    <w:t>凤翔区</w:t>
                  </w:r>
                </w:p>
              </w:tc>
              <w:tc>
                <w:tcPr>
                  <w:tcW w:w="426" w:type="pct"/>
                  <w:vMerge w:val="restart"/>
                  <w:shd w:val="clear" w:color="auto" w:fill="auto"/>
                  <w:noWrap w:val="0"/>
                  <w:vAlign w:val="center"/>
                </w:tcPr>
                <w:p w14:paraId="65146779">
                  <w:pPr>
                    <w:autoSpaceDE w:val="0"/>
                    <w:autoSpaceDN w:val="0"/>
                    <w:jc w:val="center"/>
                    <w:rPr>
                      <w:rFonts w:ascii="Times New Roman" w:hAnsi="Times New Roman"/>
                      <w:color w:val="000000"/>
                      <w:szCs w:val="21"/>
                    </w:rPr>
                  </w:pPr>
                  <w:r>
                    <w:rPr>
                      <w:rFonts w:ascii="Times New Roman" w:hAnsi="Times New Roman"/>
                      <w:color w:val="000000"/>
                      <w:szCs w:val="21"/>
                    </w:rPr>
                    <w:t>凤翔区重点管控单元4</w:t>
                  </w:r>
                </w:p>
              </w:tc>
              <w:tc>
                <w:tcPr>
                  <w:tcW w:w="380" w:type="pct"/>
                  <w:vMerge w:val="restart"/>
                  <w:shd w:val="clear" w:color="auto" w:fill="auto"/>
                  <w:noWrap w:val="0"/>
                  <w:vAlign w:val="center"/>
                </w:tcPr>
                <w:p w14:paraId="46ADE205">
                  <w:pPr>
                    <w:autoSpaceDE w:val="0"/>
                    <w:autoSpaceDN w:val="0"/>
                    <w:jc w:val="center"/>
                    <w:rPr>
                      <w:rFonts w:ascii="Times New Roman" w:hAnsi="Times New Roman"/>
                      <w:color w:val="000000"/>
                      <w:szCs w:val="21"/>
                    </w:rPr>
                  </w:pPr>
                  <w:r>
                    <w:rPr>
                      <w:rFonts w:ascii="Times New Roman" w:hAnsi="Times New Roman"/>
                      <w:color w:val="000000"/>
                      <w:szCs w:val="21"/>
                    </w:rPr>
                    <w:t>水环境工业污染重点管控区</w:t>
                  </w:r>
                </w:p>
              </w:tc>
              <w:tc>
                <w:tcPr>
                  <w:tcW w:w="587" w:type="pct"/>
                  <w:shd w:val="clear" w:color="auto" w:fill="auto"/>
                  <w:noWrap w:val="0"/>
                  <w:vAlign w:val="center"/>
                </w:tcPr>
                <w:p w14:paraId="7FA052F8">
                  <w:pPr>
                    <w:autoSpaceDE w:val="0"/>
                    <w:autoSpaceDN w:val="0"/>
                    <w:jc w:val="center"/>
                    <w:rPr>
                      <w:rFonts w:ascii="Times New Roman" w:hAnsi="Times New Roman"/>
                      <w:color w:val="000000"/>
                      <w:szCs w:val="21"/>
                    </w:rPr>
                  </w:pPr>
                  <w:r>
                    <w:rPr>
                      <w:rFonts w:ascii="Times New Roman" w:hAnsi="Times New Roman"/>
                      <w:color w:val="000000"/>
                      <w:szCs w:val="21"/>
                    </w:rPr>
                    <w:t>空间布局约束</w:t>
                  </w:r>
                </w:p>
              </w:tc>
              <w:tc>
                <w:tcPr>
                  <w:tcW w:w="1106" w:type="pct"/>
                  <w:shd w:val="clear" w:color="auto" w:fill="auto"/>
                  <w:noWrap w:val="0"/>
                  <w:vAlign w:val="center"/>
                </w:tcPr>
                <w:p w14:paraId="61E876C0">
                  <w:pPr>
                    <w:autoSpaceDE w:val="0"/>
                    <w:autoSpaceDN w:val="0"/>
                    <w:rPr>
                      <w:rFonts w:ascii="Times New Roman" w:hAnsi="Times New Roman"/>
                      <w:color w:val="000000"/>
                      <w:szCs w:val="21"/>
                    </w:rPr>
                  </w:pPr>
                  <w:r>
                    <w:rPr>
                      <w:rFonts w:ascii="Times New Roman" w:hAnsi="Times New Roman"/>
                      <w:color w:val="000000"/>
                      <w:szCs w:val="21"/>
                    </w:rPr>
                    <w:t>严格控制新建、扩建化学制浆造纸、化工、印染、果汁和淀粉加工等高耗水、高污染项目。</w:t>
                  </w:r>
                </w:p>
              </w:tc>
              <w:tc>
                <w:tcPr>
                  <w:tcW w:w="1236" w:type="pct"/>
                  <w:shd w:val="clear" w:color="auto" w:fill="auto"/>
                  <w:noWrap w:val="0"/>
                  <w:vAlign w:val="center"/>
                </w:tcPr>
                <w:p w14:paraId="397418B4">
                  <w:pPr>
                    <w:autoSpaceDE w:val="0"/>
                    <w:autoSpaceDN w:val="0"/>
                    <w:rPr>
                      <w:rFonts w:hint="eastAsia" w:ascii="Times New Roman" w:hAnsi="Times New Roman"/>
                      <w:color w:val="000000"/>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要对萘系减水剂干燥车间及干燥系统进行技术改造，拆除现有生物质热风炉、干燥系统，利用现有甲醛回收系统产生的尾气，经加热炉燃烧后为萘系减水剂干燥提供热能，属于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w:t>
                  </w:r>
                  <w:r>
                    <w:rPr>
                      <w:rFonts w:hint="eastAsia" w:ascii="Times New Roman" w:hAnsi="Times New Roman"/>
                      <w:color w:val="000000"/>
                      <w:szCs w:val="21"/>
                    </w:rPr>
                    <w:t>，不属于</w:t>
                  </w:r>
                  <w:r>
                    <w:rPr>
                      <w:rFonts w:ascii="Times New Roman" w:hAnsi="Times New Roman"/>
                      <w:color w:val="000000"/>
                      <w:szCs w:val="21"/>
                    </w:rPr>
                    <w:t>化学制浆造纸、化工、印染、果汁和淀粉加工等高耗水、高污染项目</w:t>
                  </w:r>
                  <w:r>
                    <w:rPr>
                      <w:rFonts w:hint="eastAsia" w:ascii="Times New Roman" w:hAnsi="Times New Roman"/>
                      <w:color w:val="000000"/>
                      <w:szCs w:val="21"/>
                    </w:rPr>
                    <w:t>。</w:t>
                  </w:r>
                </w:p>
              </w:tc>
              <w:tc>
                <w:tcPr>
                  <w:tcW w:w="506" w:type="pct"/>
                  <w:shd w:val="clear" w:color="auto" w:fill="auto"/>
                  <w:noWrap w:val="0"/>
                  <w:vAlign w:val="center"/>
                </w:tcPr>
                <w:p w14:paraId="5DE5585A">
                  <w:pPr>
                    <w:autoSpaceDE w:val="0"/>
                    <w:autoSpaceDN w:val="0"/>
                    <w:jc w:val="center"/>
                    <w:rPr>
                      <w:rFonts w:ascii="Times New Roman" w:hAnsi="Times New Roman"/>
                      <w:color w:val="000000"/>
                      <w:szCs w:val="21"/>
                    </w:rPr>
                  </w:pPr>
                  <w:r>
                    <w:rPr>
                      <w:rFonts w:ascii="Times New Roman" w:hAnsi="Times New Roman"/>
                      <w:color w:val="000000"/>
                      <w:szCs w:val="21"/>
                    </w:rPr>
                    <w:t>符合</w:t>
                  </w:r>
                </w:p>
              </w:tc>
            </w:tr>
            <w:tr w14:paraId="2D7F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noWrap w:val="0"/>
                  <w:vAlign w:val="center"/>
                </w:tcPr>
                <w:p w14:paraId="2E5C84AC">
                  <w:pPr>
                    <w:autoSpaceDE w:val="0"/>
                    <w:autoSpaceDN w:val="0"/>
                    <w:jc w:val="center"/>
                    <w:rPr>
                      <w:rFonts w:ascii="Times New Roman" w:hAnsi="Times New Roman"/>
                      <w:color w:val="000000"/>
                      <w:szCs w:val="21"/>
                    </w:rPr>
                  </w:pPr>
                  <w:r>
                    <w:rPr>
                      <w:rFonts w:ascii="Times New Roman" w:hAnsi="Times New Roman"/>
                      <w:color w:val="000000"/>
                      <w:szCs w:val="21"/>
                    </w:rPr>
                    <w:t>2</w:t>
                  </w:r>
                </w:p>
              </w:tc>
              <w:tc>
                <w:tcPr>
                  <w:tcW w:w="392" w:type="pct"/>
                  <w:vMerge w:val="continue"/>
                  <w:shd w:val="clear" w:color="auto" w:fill="auto"/>
                  <w:noWrap w:val="0"/>
                  <w:vAlign w:val="center"/>
                </w:tcPr>
                <w:p w14:paraId="4B2B25AA">
                  <w:pPr>
                    <w:autoSpaceDE w:val="0"/>
                    <w:autoSpaceDN w:val="0"/>
                    <w:jc w:val="center"/>
                    <w:rPr>
                      <w:rFonts w:ascii="Times New Roman" w:hAnsi="Times New Roman"/>
                      <w:color w:val="000000"/>
                      <w:szCs w:val="21"/>
                    </w:rPr>
                  </w:pPr>
                </w:p>
              </w:tc>
              <w:tc>
                <w:tcPr>
                  <w:tcW w:w="426" w:type="pct"/>
                  <w:vMerge w:val="continue"/>
                  <w:shd w:val="clear" w:color="auto" w:fill="auto"/>
                  <w:noWrap w:val="0"/>
                  <w:vAlign w:val="center"/>
                </w:tcPr>
                <w:p w14:paraId="6C964FFC">
                  <w:pPr>
                    <w:autoSpaceDE w:val="0"/>
                    <w:autoSpaceDN w:val="0"/>
                    <w:jc w:val="center"/>
                    <w:rPr>
                      <w:rFonts w:ascii="Times New Roman" w:hAnsi="Times New Roman"/>
                      <w:color w:val="000000"/>
                      <w:szCs w:val="21"/>
                    </w:rPr>
                  </w:pPr>
                </w:p>
              </w:tc>
              <w:tc>
                <w:tcPr>
                  <w:tcW w:w="380" w:type="pct"/>
                  <w:vMerge w:val="continue"/>
                  <w:shd w:val="clear" w:color="auto" w:fill="auto"/>
                  <w:noWrap w:val="0"/>
                  <w:vAlign w:val="center"/>
                </w:tcPr>
                <w:p w14:paraId="01390C97">
                  <w:pPr>
                    <w:autoSpaceDE w:val="0"/>
                    <w:autoSpaceDN w:val="0"/>
                    <w:jc w:val="center"/>
                    <w:rPr>
                      <w:rFonts w:ascii="Times New Roman" w:hAnsi="Times New Roman"/>
                      <w:color w:val="000000"/>
                      <w:szCs w:val="21"/>
                    </w:rPr>
                  </w:pPr>
                </w:p>
              </w:tc>
              <w:tc>
                <w:tcPr>
                  <w:tcW w:w="587" w:type="pct"/>
                  <w:shd w:val="clear" w:color="auto" w:fill="auto"/>
                  <w:noWrap w:val="0"/>
                  <w:vAlign w:val="center"/>
                </w:tcPr>
                <w:p w14:paraId="7B1F305B">
                  <w:pPr>
                    <w:autoSpaceDE w:val="0"/>
                    <w:autoSpaceDN w:val="0"/>
                    <w:jc w:val="center"/>
                    <w:rPr>
                      <w:rFonts w:ascii="Times New Roman" w:hAnsi="Times New Roman"/>
                      <w:color w:val="000000"/>
                      <w:szCs w:val="21"/>
                    </w:rPr>
                  </w:pPr>
                  <w:r>
                    <w:rPr>
                      <w:rFonts w:ascii="Times New Roman" w:hAnsi="Times New Roman"/>
                      <w:color w:val="000000"/>
                      <w:szCs w:val="21"/>
                    </w:rPr>
                    <w:t>污染物排放管控</w:t>
                  </w:r>
                </w:p>
              </w:tc>
              <w:tc>
                <w:tcPr>
                  <w:tcW w:w="1106" w:type="pct"/>
                  <w:shd w:val="clear" w:color="auto" w:fill="auto"/>
                  <w:noWrap w:val="0"/>
                  <w:vAlign w:val="center"/>
                </w:tcPr>
                <w:p w14:paraId="52D5DEEC">
                  <w:pPr>
                    <w:autoSpaceDE w:val="0"/>
                    <w:autoSpaceDN w:val="0"/>
                    <w:rPr>
                      <w:rFonts w:ascii="Times New Roman" w:hAnsi="Times New Roman"/>
                      <w:color w:val="000000"/>
                      <w:szCs w:val="21"/>
                    </w:rPr>
                  </w:pPr>
                  <w:r>
                    <w:rPr>
                      <w:rFonts w:ascii="Times New Roman" w:hAnsi="Times New Roman"/>
                      <w:color w:val="000000"/>
                      <w:szCs w:val="21"/>
                    </w:rPr>
                    <w:t>鼓励有色、化工等产业园区配套建设危险废物集中贮存、预处理和处置设施。全面推行清洁生产，依法对</w:t>
                  </w:r>
                  <w:r>
                    <w:rPr>
                      <w:rFonts w:hint="eastAsia" w:ascii="宋体" w:hAnsi="宋体" w:eastAsia="宋体" w:cs="宋体"/>
                      <w:color w:val="000000"/>
                      <w:szCs w:val="21"/>
                    </w:rPr>
                    <w:t>“双超双有高耗能”</w:t>
                  </w:r>
                  <w:r>
                    <w:rPr>
                      <w:rFonts w:ascii="Times New Roman" w:hAnsi="Times New Roman"/>
                      <w:color w:val="000000"/>
                      <w:szCs w:val="21"/>
                    </w:rPr>
                    <w:t>行业实施强制性清洁生产审核。</w:t>
                  </w:r>
                </w:p>
              </w:tc>
              <w:tc>
                <w:tcPr>
                  <w:tcW w:w="1236" w:type="pct"/>
                  <w:shd w:val="clear" w:color="auto" w:fill="auto"/>
                  <w:noWrap w:val="0"/>
                  <w:vAlign w:val="center"/>
                </w:tcPr>
                <w:p w14:paraId="47437817">
                  <w:pPr>
                    <w:autoSpaceDE w:val="0"/>
                    <w:autoSpaceDN w:val="0"/>
                    <w:rPr>
                      <w:rFonts w:hint="eastAsia" w:ascii="Times New Roman" w:hAnsi="Times New Roman"/>
                      <w:color w:val="000000"/>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要对萘系减水剂干燥车间及干燥系统进行技术改造，拆除现有生物质热风炉、干燥系统，利用现有甲醛回收系统产生的尾气，经加热炉燃烧后为萘系减水剂干燥提供热能，属于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w:t>
                  </w:r>
                  <w:r>
                    <w:rPr>
                      <w:rFonts w:hint="eastAsia"/>
                      <w:color w:val="000000"/>
                      <w:szCs w:val="21"/>
                      <w:lang w:eastAsia="zh-CN"/>
                    </w:rPr>
                    <w:t>，</w:t>
                  </w:r>
                  <w:r>
                    <w:rPr>
                      <w:rFonts w:hint="eastAsia" w:ascii="Times New Roman" w:hAnsi="Times New Roman"/>
                      <w:color w:val="000000"/>
                      <w:szCs w:val="21"/>
                    </w:rPr>
                    <w:t>不属于</w:t>
                  </w:r>
                  <w:r>
                    <w:rPr>
                      <w:rFonts w:ascii="Times New Roman" w:hAnsi="Times New Roman"/>
                      <w:color w:val="000000"/>
                      <w:szCs w:val="21"/>
                    </w:rPr>
                    <w:t>“双超双有高耗能”行业</w:t>
                  </w:r>
                  <w:r>
                    <w:rPr>
                      <w:rFonts w:hint="eastAsia" w:ascii="Times New Roman" w:hAnsi="Times New Roman"/>
                      <w:color w:val="000000"/>
                      <w:szCs w:val="21"/>
                    </w:rPr>
                    <w:t>。</w:t>
                  </w:r>
                </w:p>
              </w:tc>
              <w:tc>
                <w:tcPr>
                  <w:tcW w:w="506" w:type="pct"/>
                  <w:shd w:val="clear" w:color="auto" w:fill="auto"/>
                  <w:noWrap w:val="0"/>
                  <w:vAlign w:val="center"/>
                </w:tcPr>
                <w:p w14:paraId="450C2F30">
                  <w:pPr>
                    <w:autoSpaceDE w:val="0"/>
                    <w:autoSpaceDN w:val="0"/>
                    <w:jc w:val="center"/>
                    <w:rPr>
                      <w:rFonts w:ascii="Times New Roman" w:hAnsi="Times New Roman"/>
                      <w:color w:val="000000"/>
                      <w:szCs w:val="21"/>
                    </w:rPr>
                  </w:pPr>
                  <w:r>
                    <w:rPr>
                      <w:rFonts w:ascii="Times New Roman" w:hAnsi="Times New Roman"/>
                      <w:color w:val="000000"/>
                      <w:szCs w:val="21"/>
                    </w:rPr>
                    <w:t>符合</w:t>
                  </w:r>
                </w:p>
              </w:tc>
            </w:tr>
            <w:tr w14:paraId="43BB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noWrap w:val="0"/>
                  <w:vAlign w:val="center"/>
                </w:tcPr>
                <w:p w14:paraId="69C03479">
                  <w:pPr>
                    <w:autoSpaceDE w:val="0"/>
                    <w:autoSpaceDN w:val="0"/>
                    <w:jc w:val="center"/>
                    <w:rPr>
                      <w:rFonts w:ascii="Times New Roman" w:hAnsi="Times New Roman"/>
                      <w:color w:val="000000"/>
                      <w:szCs w:val="21"/>
                    </w:rPr>
                  </w:pPr>
                  <w:r>
                    <w:rPr>
                      <w:rFonts w:ascii="Times New Roman" w:hAnsi="Times New Roman"/>
                      <w:color w:val="000000"/>
                      <w:szCs w:val="21"/>
                    </w:rPr>
                    <w:t>3</w:t>
                  </w:r>
                </w:p>
              </w:tc>
              <w:tc>
                <w:tcPr>
                  <w:tcW w:w="392" w:type="pct"/>
                  <w:vMerge w:val="continue"/>
                  <w:shd w:val="clear" w:color="auto" w:fill="auto"/>
                  <w:noWrap w:val="0"/>
                  <w:vAlign w:val="center"/>
                </w:tcPr>
                <w:p w14:paraId="05CEF803">
                  <w:pPr>
                    <w:autoSpaceDE w:val="0"/>
                    <w:autoSpaceDN w:val="0"/>
                    <w:jc w:val="center"/>
                    <w:rPr>
                      <w:rFonts w:ascii="Times New Roman" w:hAnsi="Times New Roman"/>
                      <w:color w:val="000000"/>
                      <w:szCs w:val="21"/>
                    </w:rPr>
                  </w:pPr>
                </w:p>
              </w:tc>
              <w:tc>
                <w:tcPr>
                  <w:tcW w:w="426" w:type="pct"/>
                  <w:vMerge w:val="continue"/>
                  <w:shd w:val="clear" w:color="auto" w:fill="auto"/>
                  <w:noWrap w:val="0"/>
                  <w:vAlign w:val="center"/>
                </w:tcPr>
                <w:p w14:paraId="432C277E">
                  <w:pPr>
                    <w:autoSpaceDE w:val="0"/>
                    <w:autoSpaceDN w:val="0"/>
                    <w:jc w:val="center"/>
                    <w:rPr>
                      <w:rFonts w:ascii="Times New Roman" w:hAnsi="Times New Roman"/>
                      <w:color w:val="000000"/>
                      <w:szCs w:val="21"/>
                    </w:rPr>
                  </w:pPr>
                </w:p>
              </w:tc>
              <w:tc>
                <w:tcPr>
                  <w:tcW w:w="380" w:type="pct"/>
                  <w:vMerge w:val="continue"/>
                  <w:shd w:val="clear" w:color="auto" w:fill="auto"/>
                  <w:noWrap w:val="0"/>
                  <w:vAlign w:val="center"/>
                </w:tcPr>
                <w:p w14:paraId="2181F544">
                  <w:pPr>
                    <w:rPr>
                      <w:rFonts w:ascii="Times New Roman" w:hAnsi="Times New Roman"/>
                      <w:color w:val="000000"/>
                      <w:szCs w:val="21"/>
                    </w:rPr>
                  </w:pPr>
                </w:p>
              </w:tc>
              <w:tc>
                <w:tcPr>
                  <w:tcW w:w="587" w:type="pct"/>
                  <w:shd w:val="clear" w:color="auto" w:fill="auto"/>
                  <w:noWrap w:val="0"/>
                  <w:vAlign w:val="center"/>
                </w:tcPr>
                <w:p w14:paraId="03862DB4">
                  <w:pPr>
                    <w:autoSpaceDE w:val="0"/>
                    <w:autoSpaceDN w:val="0"/>
                    <w:jc w:val="center"/>
                    <w:rPr>
                      <w:rFonts w:ascii="Times New Roman" w:hAnsi="Times New Roman"/>
                      <w:color w:val="000000"/>
                      <w:szCs w:val="21"/>
                    </w:rPr>
                  </w:pPr>
                  <w:r>
                    <w:rPr>
                      <w:rFonts w:ascii="Times New Roman" w:hAnsi="Times New Roman"/>
                      <w:color w:val="000000"/>
                      <w:szCs w:val="21"/>
                    </w:rPr>
                    <w:t>环境风险防控</w:t>
                  </w:r>
                </w:p>
              </w:tc>
              <w:tc>
                <w:tcPr>
                  <w:tcW w:w="1106" w:type="pct"/>
                  <w:shd w:val="clear" w:color="auto" w:fill="auto"/>
                  <w:noWrap w:val="0"/>
                  <w:vAlign w:val="center"/>
                </w:tcPr>
                <w:p w14:paraId="4E9EA963">
                  <w:pPr>
                    <w:autoSpaceDE w:val="0"/>
                    <w:autoSpaceDN w:val="0"/>
                    <w:rPr>
                      <w:rFonts w:ascii="Times New Roman" w:hAnsi="Times New Roman"/>
                      <w:color w:val="000000"/>
                      <w:szCs w:val="21"/>
                    </w:rPr>
                  </w:pPr>
                  <w:r>
                    <w:rPr>
                      <w:rFonts w:ascii="Times New Roman" w:hAnsi="Times New Roman"/>
                      <w:color w:val="000000"/>
                      <w:szCs w:val="21"/>
                    </w:rPr>
                    <w:t>推行环境风险分类分级管理，深入推进跨区域、跨部门的突发环境事件应急协调机制。继续推进城市建成区内污染较重的企业有序搬迁改造或依法关闭。</w:t>
                  </w:r>
                </w:p>
              </w:tc>
              <w:tc>
                <w:tcPr>
                  <w:tcW w:w="1236" w:type="pct"/>
                  <w:shd w:val="clear" w:color="auto" w:fill="auto"/>
                  <w:noWrap w:val="0"/>
                  <w:vAlign w:val="center"/>
                </w:tcPr>
                <w:p w14:paraId="7459B6AE">
                  <w:pPr>
                    <w:autoSpaceDE w:val="0"/>
                    <w:autoSpaceDN w:val="0"/>
                    <w:rPr>
                      <w:rFonts w:hint="eastAsia" w:ascii="Times New Roman" w:hAnsi="Times New Roman"/>
                      <w:color w:val="000000"/>
                      <w:szCs w:val="21"/>
                    </w:rPr>
                  </w:pPr>
                  <w:r>
                    <w:rPr>
                      <w:rFonts w:hint="eastAsia" w:ascii="Times New Roman" w:hAnsi="Times New Roman"/>
                      <w:color w:val="000000"/>
                      <w:szCs w:val="21"/>
                    </w:rPr>
                    <w:t>建设单位已制定企业突发环境事件应急预案。本项目位于凤翔高新区长青工业园内。</w:t>
                  </w:r>
                </w:p>
              </w:tc>
              <w:tc>
                <w:tcPr>
                  <w:tcW w:w="506" w:type="pct"/>
                  <w:shd w:val="clear" w:color="auto" w:fill="auto"/>
                  <w:noWrap w:val="0"/>
                  <w:vAlign w:val="center"/>
                </w:tcPr>
                <w:p w14:paraId="5E7B3B2F">
                  <w:pPr>
                    <w:autoSpaceDE w:val="0"/>
                    <w:autoSpaceDN w:val="0"/>
                    <w:jc w:val="center"/>
                    <w:rPr>
                      <w:rFonts w:ascii="Times New Roman" w:hAnsi="Times New Roman"/>
                      <w:color w:val="000000"/>
                      <w:szCs w:val="21"/>
                    </w:rPr>
                  </w:pPr>
                  <w:r>
                    <w:rPr>
                      <w:rFonts w:ascii="Times New Roman" w:hAnsi="Times New Roman"/>
                      <w:color w:val="000000"/>
                      <w:szCs w:val="21"/>
                    </w:rPr>
                    <w:t>符合</w:t>
                  </w:r>
                </w:p>
              </w:tc>
            </w:tr>
            <w:tr w14:paraId="64F6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noWrap w:val="0"/>
                  <w:vAlign w:val="center"/>
                </w:tcPr>
                <w:p w14:paraId="68055C72">
                  <w:pPr>
                    <w:autoSpaceDE w:val="0"/>
                    <w:autoSpaceDN w:val="0"/>
                    <w:jc w:val="center"/>
                    <w:rPr>
                      <w:rFonts w:ascii="Times New Roman" w:hAnsi="Times New Roman"/>
                      <w:color w:val="000000"/>
                      <w:szCs w:val="21"/>
                    </w:rPr>
                  </w:pPr>
                  <w:r>
                    <w:rPr>
                      <w:rFonts w:ascii="Times New Roman" w:hAnsi="Times New Roman"/>
                      <w:color w:val="000000"/>
                      <w:szCs w:val="21"/>
                    </w:rPr>
                    <w:t>4</w:t>
                  </w:r>
                </w:p>
              </w:tc>
              <w:tc>
                <w:tcPr>
                  <w:tcW w:w="392" w:type="pct"/>
                  <w:vMerge w:val="continue"/>
                  <w:shd w:val="clear" w:color="auto" w:fill="auto"/>
                  <w:noWrap w:val="0"/>
                  <w:vAlign w:val="center"/>
                </w:tcPr>
                <w:p w14:paraId="18D5D0A4">
                  <w:pPr>
                    <w:autoSpaceDE w:val="0"/>
                    <w:autoSpaceDN w:val="0"/>
                    <w:jc w:val="center"/>
                    <w:rPr>
                      <w:rFonts w:ascii="Times New Roman" w:hAnsi="Times New Roman"/>
                      <w:color w:val="000000"/>
                      <w:szCs w:val="21"/>
                    </w:rPr>
                  </w:pPr>
                </w:p>
              </w:tc>
              <w:tc>
                <w:tcPr>
                  <w:tcW w:w="426" w:type="pct"/>
                  <w:vMerge w:val="continue"/>
                  <w:shd w:val="clear" w:color="auto" w:fill="auto"/>
                  <w:noWrap w:val="0"/>
                  <w:vAlign w:val="center"/>
                </w:tcPr>
                <w:p w14:paraId="4E4066C5">
                  <w:pPr>
                    <w:autoSpaceDE w:val="0"/>
                    <w:autoSpaceDN w:val="0"/>
                    <w:jc w:val="center"/>
                    <w:rPr>
                      <w:rFonts w:ascii="Times New Roman" w:hAnsi="Times New Roman"/>
                      <w:color w:val="000000"/>
                      <w:szCs w:val="21"/>
                    </w:rPr>
                  </w:pPr>
                </w:p>
              </w:tc>
              <w:tc>
                <w:tcPr>
                  <w:tcW w:w="380" w:type="pct"/>
                  <w:vMerge w:val="continue"/>
                  <w:shd w:val="clear" w:color="auto" w:fill="auto"/>
                  <w:noWrap w:val="0"/>
                  <w:vAlign w:val="center"/>
                </w:tcPr>
                <w:p w14:paraId="5D55B596">
                  <w:pPr>
                    <w:rPr>
                      <w:rFonts w:ascii="Times New Roman" w:hAnsi="Times New Roman"/>
                      <w:color w:val="000000"/>
                      <w:szCs w:val="21"/>
                    </w:rPr>
                  </w:pPr>
                </w:p>
              </w:tc>
              <w:tc>
                <w:tcPr>
                  <w:tcW w:w="587" w:type="pct"/>
                  <w:shd w:val="clear" w:color="auto" w:fill="auto"/>
                  <w:noWrap w:val="0"/>
                  <w:vAlign w:val="center"/>
                </w:tcPr>
                <w:p w14:paraId="52C86D5C">
                  <w:pPr>
                    <w:autoSpaceDE w:val="0"/>
                    <w:autoSpaceDN w:val="0"/>
                    <w:jc w:val="center"/>
                    <w:rPr>
                      <w:rFonts w:ascii="Times New Roman" w:hAnsi="Times New Roman"/>
                      <w:color w:val="000000"/>
                      <w:szCs w:val="21"/>
                    </w:rPr>
                  </w:pPr>
                  <w:r>
                    <w:rPr>
                      <w:rFonts w:ascii="Times New Roman" w:hAnsi="Times New Roman"/>
                      <w:color w:val="000000"/>
                      <w:szCs w:val="21"/>
                    </w:rPr>
                    <w:t>资源开发利用要求</w:t>
                  </w:r>
                </w:p>
              </w:tc>
              <w:tc>
                <w:tcPr>
                  <w:tcW w:w="1106" w:type="pct"/>
                  <w:shd w:val="clear" w:color="auto" w:fill="auto"/>
                  <w:noWrap w:val="0"/>
                  <w:vAlign w:val="center"/>
                </w:tcPr>
                <w:p w14:paraId="3C5ED75B">
                  <w:pPr>
                    <w:autoSpaceDE w:val="0"/>
                    <w:autoSpaceDN w:val="0"/>
                    <w:rPr>
                      <w:rFonts w:ascii="Times New Roman" w:hAnsi="Times New Roman"/>
                      <w:color w:val="auto"/>
                      <w:szCs w:val="21"/>
                    </w:rPr>
                  </w:pPr>
                  <w:r>
                    <w:rPr>
                      <w:rFonts w:ascii="Times New Roman" w:hAnsi="Times New Roman"/>
                      <w:color w:val="auto"/>
                      <w:szCs w:val="21"/>
                    </w:rPr>
                    <w:t>提高用水效率，建立万元国内生产总值水耗指标等用水效率评估体系。抓好工业节水，加强工业水循环利用。</w:t>
                  </w:r>
                </w:p>
              </w:tc>
              <w:tc>
                <w:tcPr>
                  <w:tcW w:w="1236" w:type="pct"/>
                  <w:shd w:val="clear" w:color="auto" w:fill="auto"/>
                  <w:noWrap w:val="0"/>
                  <w:vAlign w:val="center"/>
                </w:tcPr>
                <w:p w14:paraId="0F03AC85">
                  <w:pPr>
                    <w:autoSpaceDE w:val="0"/>
                    <w:autoSpaceDN w:val="0"/>
                    <w:rPr>
                      <w:rFonts w:ascii="Times New Roman" w:hAnsi="Times New Roman"/>
                      <w:color w:val="auto"/>
                      <w:szCs w:val="21"/>
                    </w:rPr>
                  </w:pPr>
                  <w:r>
                    <w:rPr>
                      <w:rFonts w:ascii="Times New Roman" w:hAnsi="Times New Roman"/>
                      <w:color w:val="auto"/>
                      <w:szCs w:val="21"/>
                    </w:rPr>
                    <w:t>本项目不新增劳动定员，</w:t>
                  </w:r>
                  <w:r>
                    <w:rPr>
                      <w:rFonts w:hint="eastAsia" w:ascii="Times New Roman" w:hAnsi="Times New Roman"/>
                      <w:color w:val="auto"/>
                      <w:szCs w:val="21"/>
                      <w:lang w:eastAsia="zh-CN"/>
                    </w:rPr>
                    <w:t>不新增生活用水，生产用水全部不外排</w:t>
                  </w:r>
                  <w:r>
                    <w:rPr>
                      <w:rFonts w:hint="eastAsia" w:ascii="Times New Roman" w:hAnsi="Times New Roman"/>
                      <w:color w:val="auto"/>
                      <w:szCs w:val="21"/>
                    </w:rPr>
                    <w:t>。</w:t>
                  </w:r>
                </w:p>
              </w:tc>
              <w:tc>
                <w:tcPr>
                  <w:tcW w:w="506" w:type="pct"/>
                  <w:shd w:val="clear" w:color="auto" w:fill="auto"/>
                  <w:noWrap w:val="0"/>
                  <w:vAlign w:val="center"/>
                </w:tcPr>
                <w:p w14:paraId="13327ABD">
                  <w:pPr>
                    <w:autoSpaceDE w:val="0"/>
                    <w:autoSpaceDN w:val="0"/>
                    <w:jc w:val="center"/>
                    <w:rPr>
                      <w:rFonts w:ascii="Times New Roman" w:hAnsi="Times New Roman"/>
                      <w:color w:val="auto"/>
                      <w:szCs w:val="21"/>
                    </w:rPr>
                  </w:pPr>
                  <w:r>
                    <w:rPr>
                      <w:rFonts w:ascii="Times New Roman" w:hAnsi="Times New Roman"/>
                      <w:color w:val="auto"/>
                      <w:szCs w:val="21"/>
                    </w:rPr>
                    <w:t>符合</w:t>
                  </w:r>
                </w:p>
              </w:tc>
            </w:tr>
            <w:tr w14:paraId="0926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noWrap w:val="0"/>
                  <w:vAlign w:val="center"/>
                </w:tcPr>
                <w:p w14:paraId="027C94C3">
                  <w:pPr>
                    <w:autoSpaceDE w:val="0"/>
                    <w:autoSpaceDN w:val="0"/>
                    <w:jc w:val="center"/>
                    <w:rPr>
                      <w:rFonts w:ascii="Times New Roman" w:hAnsi="Times New Roman"/>
                      <w:color w:val="000000"/>
                      <w:szCs w:val="21"/>
                    </w:rPr>
                  </w:pPr>
                  <w:r>
                    <w:rPr>
                      <w:rFonts w:ascii="Times New Roman" w:hAnsi="Times New Roman"/>
                      <w:color w:val="000000"/>
                      <w:szCs w:val="21"/>
                    </w:rPr>
                    <w:t>5</w:t>
                  </w:r>
                </w:p>
              </w:tc>
              <w:tc>
                <w:tcPr>
                  <w:tcW w:w="392" w:type="pct"/>
                  <w:vMerge w:val="continue"/>
                  <w:shd w:val="clear" w:color="auto" w:fill="auto"/>
                  <w:noWrap w:val="0"/>
                  <w:vAlign w:val="center"/>
                </w:tcPr>
                <w:p w14:paraId="0A1BD84B">
                  <w:pPr>
                    <w:autoSpaceDE w:val="0"/>
                    <w:autoSpaceDN w:val="0"/>
                    <w:jc w:val="center"/>
                    <w:rPr>
                      <w:rFonts w:ascii="Times New Roman" w:hAnsi="Times New Roman"/>
                      <w:color w:val="000000"/>
                      <w:szCs w:val="21"/>
                    </w:rPr>
                  </w:pPr>
                </w:p>
              </w:tc>
              <w:tc>
                <w:tcPr>
                  <w:tcW w:w="426" w:type="pct"/>
                  <w:vMerge w:val="continue"/>
                  <w:shd w:val="clear" w:color="auto" w:fill="auto"/>
                  <w:noWrap w:val="0"/>
                  <w:vAlign w:val="center"/>
                </w:tcPr>
                <w:p w14:paraId="32B89B2F">
                  <w:pPr>
                    <w:autoSpaceDE w:val="0"/>
                    <w:autoSpaceDN w:val="0"/>
                    <w:jc w:val="center"/>
                    <w:rPr>
                      <w:rFonts w:ascii="Times New Roman" w:hAnsi="Times New Roman"/>
                      <w:color w:val="000000"/>
                      <w:szCs w:val="21"/>
                    </w:rPr>
                  </w:pPr>
                </w:p>
              </w:tc>
              <w:tc>
                <w:tcPr>
                  <w:tcW w:w="380" w:type="pct"/>
                  <w:vMerge w:val="restart"/>
                  <w:shd w:val="clear" w:color="auto" w:fill="auto"/>
                  <w:noWrap w:val="0"/>
                  <w:vAlign w:val="center"/>
                </w:tcPr>
                <w:p w14:paraId="17E3B274">
                  <w:pPr>
                    <w:jc w:val="center"/>
                    <w:rPr>
                      <w:rFonts w:ascii="Times New Roman" w:hAnsi="Times New Roman"/>
                      <w:color w:val="000000"/>
                      <w:szCs w:val="21"/>
                    </w:rPr>
                  </w:pPr>
                  <w:r>
                    <w:rPr>
                      <w:rFonts w:hint="eastAsia" w:ascii="Times New Roman" w:hAnsi="Times New Roman"/>
                      <w:color w:val="000000"/>
                      <w:szCs w:val="21"/>
                    </w:rPr>
                    <w:t>大气环境高排放重点管控区</w:t>
                  </w:r>
                </w:p>
              </w:tc>
              <w:tc>
                <w:tcPr>
                  <w:tcW w:w="587" w:type="pct"/>
                  <w:shd w:val="clear" w:color="auto" w:fill="auto"/>
                  <w:noWrap w:val="0"/>
                  <w:vAlign w:val="center"/>
                </w:tcPr>
                <w:p w14:paraId="471F1884">
                  <w:pPr>
                    <w:autoSpaceDE w:val="0"/>
                    <w:autoSpaceDN w:val="0"/>
                    <w:jc w:val="center"/>
                    <w:rPr>
                      <w:rFonts w:ascii="Times New Roman" w:hAnsi="Times New Roman"/>
                      <w:color w:val="000000"/>
                      <w:szCs w:val="21"/>
                    </w:rPr>
                  </w:pPr>
                  <w:r>
                    <w:rPr>
                      <w:rFonts w:hint="eastAsia" w:ascii="Times New Roman" w:hAnsi="Times New Roman"/>
                      <w:color w:val="000000"/>
                      <w:szCs w:val="21"/>
                    </w:rPr>
                    <w:t>空间布局约束</w:t>
                  </w:r>
                </w:p>
              </w:tc>
              <w:tc>
                <w:tcPr>
                  <w:tcW w:w="1106" w:type="pct"/>
                  <w:shd w:val="clear" w:color="auto" w:fill="auto"/>
                  <w:noWrap w:val="0"/>
                  <w:vAlign w:val="center"/>
                </w:tcPr>
                <w:p w14:paraId="4069EF81">
                  <w:pPr>
                    <w:autoSpaceDE w:val="0"/>
                    <w:autoSpaceDN w:val="0"/>
                    <w:rPr>
                      <w:rFonts w:ascii="Times New Roman" w:hAnsi="Times New Roman"/>
                      <w:color w:val="000000"/>
                      <w:szCs w:val="21"/>
                    </w:rPr>
                  </w:pPr>
                  <w:r>
                    <w:rPr>
                      <w:rFonts w:ascii="Times New Roman" w:hAnsi="Times New Roman"/>
                      <w:color w:val="000000"/>
                      <w:szCs w:val="21"/>
                    </w:rPr>
                    <w:t>1.利用新工艺、新技术积极发展高端装备制造业。2.加大新技术、新工艺、新设备的研发推广应用力度。3.推动产业集群升级改造，产业集群转型升级。</w:t>
                  </w:r>
                </w:p>
              </w:tc>
              <w:tc>
                <w:tcPr>
                  <w:tcW w:w="1236" w:type="pct"/>
                  <w:vMerge w:val="restart"/>
                  <w:shd w:val="clear" w:color="auto" w:fill="auto"/>
                  <w:noWrap w:val="0"/>
                  <w:vAlign w:val="center"/>
                </w:tcPr>
                <w:p w14:paraId="1ED94863">
                  <w:pPr>
                    <w:autoSpaceDE w:val="0"/>
                    <w:autoSpaceDN w:val="0"/>
                    <w:rPr>
                      <w:rFonts w:ascii="Times New Roman" w:hAnsi="Times New Roman"/>
                      <w:color w:val="000000"/>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要对萘系减水剂干燥车间及干燥系统进行技术改造，拆除现有生物质热风炉、干燥系统，利用现有甲醛回收系统产生的尾气，经加热炉燃烧后为萘系减水剂干燥提供热能，属于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热工程。此技术改造通过优化热源利用、减少热损失，可降低能源消耗量。</w:t>
                  </w:r>
                </w:p>
              </w:tc>
              <w:tc>
                <w:tcPr>
                  <w:tcW w:w="506" w:type="pct"/>
                  <w:shd w:val="clear" w:color="auto" w:fill="auto"/>
                  <w:noWrap w:val="0"/>
                  <w:vAlign w:val="center"/>
                </w:tcPr>
                <w:p w14:paraId="68698E84">
                  <w:pPr>
                    <w:autoSpaceDE w:val="0"/>
                    <w:autoSpaceDN w:val="0"/>
                    <w:jc w:val="center"/>
                    <w:rPr>
                      <w:rFonts w:ascii="Times New Roman" w:hAnsi="Times New Roman"/>
                      <w:color w:val="000000"/>
                      <w:szCs w:val="21"/>
                    </w:rPr>
                  </w:pPr>
                  <w:r>
                    <w:rPr>
                      <w:rFonts w:ascii="Times New Roman" w:hAnsi="Times New Roman"/>
                      <w:color w:val="000000"/>
                      <w:szCs w:val="21"/>
                    </w:rPr>
                    <w:t>符合</w:t>
                  </w:r>
                </w:p>
              </w:tc>
            </w:tr>
            <w:tr w14:paraId="6FFA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noWrap w:val="0"/>
                  <w:vAlign w:val="center"/>
                </w:tcPr>
                <w:p w14:paraId="5E63AFB2">
                  <w:pPr>
                    <w:autoSpaceDE w:val="0"/>
                    <w:autoSpaceDN w:val="0"/>
                    <w:jc w:val="center"/>
                    <w:rPr>
                      <w:rFonts w:ascii="Times New Roman" w:hAnsi="Times New Roman"/>
                      <w:color w:val="000000"/>
                      <w:szCs w:val="21"/>
                    </w:rPr>
                  </w:pPr>
                  <w:r>
                    <w:rPr>
                      <w:rFonts w:ascii="Times New Roman" w:hAnsi="Times New Roman"/>
                      <w:color w:val="000000"/>
                      <w:szCs w:val="21"/>
                    </w:rPr>
                    <w:t>6</w:t>
                  </w:r>
                </w:p>
              </w:tc>
              <w:tc>
                <w:tcPr>
                  <w:tcW w:w="392" w:type="pct"/>
                  <w:vMerge w:val="continue"/>
                  <w:shd w:val="clear" w:color="auto" w:fill="auto"/>
                  <w:noWrap w:val="0"/>
                  <w:vAlign w:val="center"/>
                </w:tcPr>
                <w:p w14:paraId="63A18AB2">
                  <w:pPr>
                    <w:autoSpaceDE w:val="0"/>
                    <w:autoSpaceDN w:val="0"/>
                    <w:jc w:val="center"/>
                    <w:rPr>
                      <w:rFonts w:ascii="Times New Roman" w:hAnsi="Times New Roman"/>
                      <w:color w:val="000000"/>
                      <w:szCs w:val="21"/>
                    </w:rPr>
                  </w:pPr>
                </w:p>
              </w:tc>
              <w:tc>
                <w:tcPr>
                  <w:tcW w:w="426" w:type="pct"/>
                  <w:vMerge w:val="continue"/>
                  <w:shd w:val="clear" w:color="auto" w:fill="auto"/>
                  <w:noWrap w:val="0"/>
                  <w:vAlign w:val="center"/>
                </w:tcPr>
                <w:p w14:paraId="6FEF95EF">
                  <w:pPr>
                    <w:autoSpaceDE w:val="0"/>
                    <w:autoSpaceDN w:val="0"/>
                    <w:jc w:val="center"/>
                    <w:rPr>
                      <w:rFonts w:ascii="Times New Roman" w:hAnsi="Times New Roman"/>
                      <w:color w:val="000000"/>
                      <w:szCs w:val="21"/>
                    </w:rPr>
                  </w:pPr>
                </w:p>
              </w:tc>
              <w:tc>
                <w:tcPr>
                  <w:tcW w:w="380" w:type="pct"/>
                  <w:vMerge w:val="continue"/>
                  <w:shd w:val="clear" w:color="auto" w:fill="auto"/>
                  <w:noWrap w:val="0"/>
                  <w:vAlign w:val="center"/>
                </w:tcPr>
                <w:p w14:paraId="742B7A03">
                  <w:pPr>
                    <w:jc w:val="center"/>
                    <w:rPr>
                      <w:rFonts w:ascii="Times New Roman" w:hAnsi="Times New Roman"/>
                      <w:color w:val="000000"/>
                      <w:szCs w:val="21"/>
                    </w:rPr>
                  </w:pPr>
                </w:p>
              </w:tc>
              <w:tc>
                <w:tcPr>
                  <w:tcW w:w="587" w:type="pct"/>
                  <w:shd w:val="clear" w:color="auto" w:fill="auto"/>
                  <w:noWrap w:val="0"/>
                  <w:vAlign w:val="center"/>
                </w:tcPr>
                <w:p w14:paraId="434F4751">
                  <w:pPr>
                    <w:autoSpaceDE w:val="0"/>
                    <w:autoSpaceDN w:val="0"/>
                    <w:jc w:val="center"/>
                    <w:rPr>
                      <w:rFonts w:ascii="Times New Roman" w:hAnsi="Times New Roman"/>
                      <w:color w:val="000000"/>
                      <w:szCs w:val="21"/>
                    </w:rPr>
                  </w:pPr>
                  <w:r>
                    <w:rPr>
                      <w:rFonts w:hint="eastAsia" w:ascii="Times New Roman" w:hAnsi="Times New Roman"/>
                      <w:color w:val="000000"/>
                      <w:szCs w:val="21"/>
                    </w:rPr>
                    <w:t>污染物排放管控</w:t>
                  </w:r>
                </w:p>
              </w:tc>
              <w:tc>
                <w:tcPr>
                  <w:tcW w:w="1106" w:type="pct"/>
                  <w:shd w:val="clear" w:color="auto" w:fill="auto"/>
                  <w:noWrap w:val="0"/>
                  <w:vAlign w:val="center"/>
                </w:tcPr>
                <w:p w14:paraId="58B2896A">
                  <w:pPr>
                    <w:autoSpaceDE w:val="0"/>
                    <w:autoSpaceDN w:val="0"/>
                    <w:rPr>
                      <w:rFonts w:ascii="Times New Roman" w:hAnsi="Times New Roman"/>
                      <w:color w:val="000000"/>
                      <w:szCs w:val="21"/>
                    </w:rPr>
                  </w:pPr>
                  <w:r>
                    <w:rPr>
                      <w:rFonts w:ascii="Times New Roman" w:hAnsi="Times New Roman"/>
                      <w:color w:val="000000"/>
                      <w:szCs w:val="21"/>
                    </w:rPr>
                    <w:t>1.控制</w:t>
                  </w:r>
                  <w:r>
                    <w:rPr>
                      <w:rFonts w:hint="eastAsia" w:ascii="Times New Roman" w:hAnsi="Times New Roman"/>
                      <w:color w:val="000000"/>
                      <w:szCs w:val="21"/>
                      <w:lang w:eastAsia="zh-CN"/>
                    </w:rPr>
                    <w:t>氮氧化物</w:t>
                  </w:r>
                  <w:r>
                    <w:rPr>
                      <w:rFonts w:ascii="Times New Roman" w:hAnsi="Times New Roman"/>
                      <w:color w:val="000000"/>
                      <w:szCs w:val="21"/>
                    </w:rPr>
                    <w:t>、颗粒物、挥发性有机物的排放，特别是挥发性有机物的排放。2.对高能耗高污染行业企业采用更加先进高效的污染控制措施。</w:t>
                  </w:r>
                </w:p>
              </w:tc>
              <w:tc>
                <w:tcPr>
                  <w:tcW w:w="1236" w:type="pct"/>
                  <w:vMerge w:val="continue"/>
                  <w:shd w:val="clear" w:color="auto" w:fill="auto"/>
                  <w:noWrap w:val="0"/>
                  <w:vAlign w:val="center"/>
                </w:tcPr>
                <w:p w14:paraId="4B17058F">
                  <w:pPr>
                    <w:autoSpaceDE w:val="0"/>
                    <w:autoSpaceDN w:val="0"/>
                    <w:rPr>
                      <w:rFonts w:ascii="Times New Roman" w:hAnsi="Times New Roman"/>
                      <w:color w:val="000000"/>
                      <w:szCs w:val="21"/>
                    </w:rPr>
                  </w:pPr>
                </w:p>
              </w:tc>
              <w:tc>
                <w:tcPr>
                  <w:tcW w:w="506" w:type="pct"/>
                  <w:shd w:val="clear" w:color="auto" w:fill="auto"/>
                  <w:noWrap w:val="0"/>
                  <w:vAlign w:val="center"/>
                </w:tcPr>
                <w:p w14:paraId="3BD258F5">
                  <w:pPr>
                    <w:autoSpaceDE w:val="0"/>
                    <w:autoSpaceDN w:val="0"/>
                    <w:jc w:val="center"/>
                    <w:rPr>
                      <w:rFonts w:ascii="Times New Roman" w:hAnsi="Times New Roman"/>
                      <w:color w:val="000000"/>
                      <w:szCs w:val="21"/>
                    </w:rPr>
                  </w:pPr>
                  <w:r>
                    <w:rPr>
                      <w:rFonts w:ascii="Times New Roman" w:hAnsi="Times New Roman"/>
                      <w:color w:val="000000"/>
                      <w:szCs w:val="21"/>
                    </w:rPr>
                    <w:t>符合</w:t>
                  </w:r>
                </w:p>
              </w:tc>
            </w:tr>
          </w:tbl>
          <w:p w14:paraId="6E4637EA">
            <w:pPr>
              <w:spacing w:line="500" w:lineRule="exact"/>
              <w:ind w:firstLine="480" w:firstLineChars="200"/>
              <w:jc w:val="left"/>
              <w:rPr>
                <w:sz w:val="24"/>
                <w:szCs w:val="24"/>
              </w:rPr>
            </w:pPr>
            <w:r>
              <w:rPr>
                <w:rFonts w:hint="eastAsia"/>
                <w:sz w:val="24"/>
                <w:szCs w:val="24"/>
              </w:rPr>
              <w:t>③“一说明”：</w:t>
            </w:r>
            <w:r>
              <w:rPr>
                <w:sz w:val="24"/>
                <w:szCs w:val="24"/>
              </w:rPr>
              <w:t>根据上文</w:t>
            </w:r>
            <w:r>
              <w:rPr>
                <w:rFonts w:hint="eastAsia"/>
                <w:sz w:val="24"/>
                <w:szCs w:val="24"/>
              </w:rPr>
              <w:t>“</w:t>
            </w:r>
            <w:r>
              <w:rPr>
                <w:sz w:val="24"/>
                <w:szCs w:val="24"/>
              </w:rPr>
              <w:t>一图</w:t>
            </w:r>
            <w:r>
              <w:rPr>
                <w:rFonts w:hint="eastAsia"/>
                <w:sz w:val="24"/>
                <w:szCs w:val="24"/>
              </w:rPr>
              <w:t>”“</w:t>
            </w:r>
            <w:r>
              <w:rPr>
                <w:sz w:val="24"/>
                <w:szCs w:val="24"/>
              </w:rPr>
              <w:t>一表</w:t>
            </w:r>
            <w:r>
              <w:rPr>
                <w:rFonts w:hint="eastAsia"/>
                <w:sz w:val="24"/>
                <w:szCs w:val="24"/>
              </w:rPr>
              <w:t>”</w:t>
            </w:r>
            <w:r>
              <w:rPr>
                <w:sz w:val="24"/>
                <w:szCs w:val="24"/>
              </w:rPr>
              <w:t>的分析，项目位于环境管控重点管控单元，项目所在地不涉及生态红线。本项目属于</w:t>
            </w:r>
            <w:r>
              <w:rPr>
                <w:rFonts w:hint="eastAsia"/>
                <w:sz w:val="24"/>
                <w:szCs w:val="24"/>
              </w:rPr>
              <w:t>技改</w:t>
            </w:r>
            <w:r>
              <w:rPr>
                <w:sz w:val="24"/>
                <w:szCs w:val="24"/>
              </w:rPr>
              <w:t>项目，符合</w:t>
            </w:r>
            <w:r>
              <w:rPr>
                <w:rFonts w:hint="eastAsia" w:ascii="Times New Roman" w:hAnsi="Times New Roman"/>
                <w:color w:val="000000"/>
                <w:sz w:val="24"/>
                <w:szCs w:val="24"/>
              </w:rPr>
              <w:t>凤翔区高新区长青工业园区</w:t>
            </w:r>
            <w:r>
              <w:rPr>
                <w:rFonts w:hint="eastAsia"/>
                <w:sz w:val="24"/>
                <w:szCs w:val="24"/>
              </w:rPr>
              <w:t>相关要求，</w:t>
            </w:r>
            <w:r>
              <w:rPr>
                <w:sz w:val="24"/>
                <w:szCs w:val="24"/>
              </w:rPr>
              <w:t>建设项目符合陕西省“三线一单”管控要求。</w:t>
            </w:r>
          </w:p>
          <w:p w14:paraId="6626691C">
            <w:pPr>
              <w:pStyle w:val="9"/>
              <w:spacing w:line="500" w:lineRule="exact"/>
              <w:ind w:firstLine="482" w:firstLineChars="200"/>
              <w:rPr>
                <w:b/>
                <w:bCs/>
                <w:kern w:val="0"/>
                <w:sz w:val="24"/>
              </w:rPr>
            </w:pPr>
            <w:r>
              <w:rPr>
                <w:rFonts w:hint="eastAsia"/>
                <w:b/>
                <w:bCs/>
                <w:kern w:val="0"/>
                <w:sz w:val="24"/>
              </w:rPr>
              <w:t>2</w:t>
            </w:r>
            <w:r>
              <w:rPr>
                <w:rFonts w:hint="eastAsia"/>
                <w:b/>
                <w:bCs/>
                <w:kern w:val="0"/>
                <w:sz w:val="24"/>
                <w:lang w:val="en-US" w:eastAsia="zh-CN"/>
              </w:rPr>
              <w:t>.</w:t>
            </w:r>
            <w:r>
              <w:rPr>
                <w:b/>
                <w:bCs/>
                <w:sz w:val="24"/>
              </w:rPr>
              <w:t>相关政策符合性分析</w:t>
            </w:r>
          </w:p>
          <w:p w14:paraId="0587062E">
            <w:pPr>
              <w:spacing w:line="500" w:lineRule="exact"/>
              <w:ind w:firstLine="480" w:firstLineChars="200"/>
              <w:rPr>
                <w:sz w:val="24"/>
              </w:rPr>
            </w:pPr>
            <w:r>
              <w:rPr>
                <w:sz w:val="24"/>
              </w:rPr>
              <w:t>本</w:t>
            </w:r>
            <w:r>
              <w:rPr>
                <w:rFonts w:hint="eastAsia"/>
                <w:sz w:val="24"/>
              </w:rPr>
              <w:t>项目</w:t>
            </w:r>
            <w:r>
              <w:rPr>
                <w:sz w:val="24"/>
              </w:rPr>
              <w:t>与相关政策符合性分析见下表。</w:t>
            </w:r>
          </w:p>
          <w:p w14:paraId="1E4B86A9">
            <w:pPr>
              <w:spacing w:line="500" w:lineRule="exact"/>
              <w:jc w:val="center"/>
            </w:pPr>
            <w:r>
              <w:rPr>
                <w:bCs/>
                <w:sz w:val="24"/>
              </w:rPr>
              <w:t>表1-</w:t>
            </w:r>
            <w:r>
              <w:rPr>
                <w:rFonts w:hint="eastAsia"/>
                <w:bCs/>
                <w:sz w:val="24"/>
                <w:lang w:val="en-US" w:eastAsia="zh-CN"/>
              </w:rPr>
              <w:t>3</w:t>
            </w:r>
            <w:r>
              <w:rPr>
                <w:bCs/>
                <w:sz w:val="24"/>
              </w:rPr>
              <w:t xml:space="preserve">  项目与相关政策相符性分析一览表</w:t>
            </w:r>
          </w:p>
          <w:tbl>
            <w:tblPr>
              <w:tblStyle w:val="1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05"/>
              <w:gridCol w:w="2761"/>
              <w:gridCol w:w="2277"/>
              <w:gridCol w:w="723"/>
            </w:tblGrid>
            <w:tr w14:paraId="085B3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c>
                <w:tcPr>
                  <w:tcW w:w="923" w:type="pct"/>
                  <w:shd w:val="clear" w:color="auto" w:fill="auto"/>
                  <w:noWrap w:val="0"/>
                  <w:vAlign w:val="center"/>
                </w:tcPr>
                <w:p w14:paraId="281DB47C">
                  <w:pPr>
                    <w:jc w:val="center"/>
                  </w:pPr>
                  <w:r>
                    <w:t>政策名称</w:t>
                  </w:r>
                </w:p>
              </w:tc>
              <w:tc>
                <w:tcPr>
                  <w:tcW w:w="1953" w:type="pct"/>
                  <w:shd w:val="clear" w:color="auto" w:fill="auto"/>
                  <w:noWrap w:val="0"/>
                  <w:vAlign w:val="center"/>
                </w:tcPr>
                <w:p w14:paraId="788FA756">
                  <w:pPr>
                    <w:jc w:val="center"/>
                  </w:pPr>
                  <w:r>
                    <w:t>相关要求</w:t>
                  </w:r>
                </w:p>
              </w:tc>
              <w:tc>
                <w:tcPr>
                  <w:tcW w:w="1611" w:type="pct"/>
                  <w:shd w:val="clear" w:color="auto" w:fill="auto"/>
                  <w:noWrap w:val="0"/>
                  <w:vAlign w:val="center"/>
                </w:tcPr>
                <w:p w14:paraId="0E58E299">
                  <w:pPr>
                    <w:jc w:val="center"/>
                  </w:pPr>
                  <w:r>
                    <w:t>本项目情况</w:t>
                  </w:r>
                </w:p>
              </w:tc>
              <w:tc>
                <w:tcPr>
                  <w:tcW w:w="511" w:type="pct"/>
                  <w:shd w:val="clear" w:color="auto" w:fill="auto"/>
                  <w:noWrap w:val="0"/>
                  <w:vAlign w:val="center"/>
                </w:tcPr>
                <w:p w14:paraId="4563F991">
                  <w:pPr>
                    <w:jc w:val="center"/>
                  </w:pPr>
                  <w:r>
                    <w:t>符合性</w:t>
                  </w:r>
                </w:p>
              </w:tc>
            </w:tr>
            <w:tr w14:paraId="25C9F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shd w:val="clear" w:color="auto" w:fill="auto"/>
                  <w:noWrap w:val="0"/>
                  <w:vAlign w:val="center"/>
                </w:tcPr>
                <w:p w14:paraId="627CB863">
                  <w:pPr>
                    <w:jc w:val="center"/>
                  </w:pPr>
                  <w:r>
                    <w:rPr>
                      <w:rFonts w:hint="eastAsia"/>
                      <w:kern w:val="24"/>
                      <w:szCs w:val="21"/>
                    </w:rPr>
                    <w:t>《空气质量持续改善行动计划》（国发〔2023〕24号）</w:t>
                  </w:r>
                </w:p>
              </w:tc>
              <w:tc>
                <w:tcPr>
                  <w:tcW w:w="1953" w:type="pct"/>
                  <w:shd w:val="clear" w:color="auto" w:fill="auto"/>
                  <w:noWrap w:val="0"/>
                  <w:vAlign w:val="center"/>
                </w:tcPr>
                <w:p w14:paraId="44C41ED9">
                  <w:pPr>
                    <w:adjustRightInd w:val="0"/>
                    <w:snapToGrid w:val="0"/>
                    <w:rPr>
                      <w:szCs w:val="21"/>
                    </w:rPr>
                  </w:pPr>
                  <w:r>
                    <w:rPr>
                      <w:rFonts w:hint="eastAsia"/>
                      <w:szCs w:val="21"/>
                      <w:shd w:val="clear" w:color="auto" w:fill="FFFFFF"/>
                    </w:rPr>
                    <w:t>坚决遏制高耗能、高排放、低水平项目盲目上马。新改扩建项目严格落实国家产业规划、产业政策、生态环境分区管控方案、规划环评、项目环评等相关要求。</w:t>
                  </w:r>
                </w:p>
              </w:tc>
              <w:tc>
                <w:tcPr>
                  <w:tcW w:w="1611" w:type="pct"/>
                  <w:shd w:val="clear" w:color="auto" w:fill="auto"/>
                  <w:noWrap w:val="0"/>
                  <w:vAlign w:val="center"/>
                </w:tcPr>
                <w:p w14:paraId="4C5B077A">
                  <w:pPr>
                    <w:adjustRightInd w:val="0"/>
                    <w:snapToGrid w:val="0"/>
                    <w:rPr>
                      <w:kern w:val="24"/>
                      <w:szCs w:val="21"/>
                    </w:rPr>
                  </w:pPr>
                  <w:r>
                    <w:rPr>
                      <w:rFonts w:hint="eastAsia"/>
                      <w:szCs w:val="21"/>
                    </w:rPr>
                    <w:t>本项目建成后</w:t>
                  </w:r>
                  <w:r>
                    <w:rPr>
                      <w:rFonts w:hint="eastAsia"/>
                      <w:szCs w:val="21"/>
                      <w:lang w:eastAsia="zh-CN"/>
                    </w:rPr>
                    <w:t>生物质燃料</w:t>
                  </w:r>
                  <w:r>
                    <w:rPr>
                      <w:rFonts w:hint="eastAsia"/>
                      <w:szCs w:val="21"/>
                    </w:rPr>
                    <w:t>用量减少，且污染物排放量降低，本项目</w:t>
                  </w:r>
                  <w:r>
                    <w:rPr>
                      <w:rFonts w:hint="eastAsia"/>
                      <w:szCs w:val="21"/>
                      <w:shd w:val="clear" w:color="auto" w:fill="FFFFFF"/>
                    </w:rPr>
                    <w:t>严格落实国家产业规划、产业政策、生态环境分区管控方案、规划环评、项目环评等相关要求。</w:t>
                  </w:r>
                </w:p>
              </w:tc>
              <w:tc>
                <w:tcPr>
                  <w:tcW w:w="511" w:type="pct"/>
                  <w:shd w:val="clear" w:color="auto" w:fill="auto"/>
                  <w:noWrap w:val="0"/>
                  <w:vAlign w:val="center"/>
                </w:tcPr>
                <w:p w14:paraId="456CE2EE">
                  <w:pPr>
                    <w:autoSpaceDE w:val="0"/>
                    <w:autoSpaceDN w:val="0"/>
                    <w:adjustRightInd w:val="0"/>
                    <w:snapToGrid w:val="0"/>
                    <w:jc w:val="center"/>
                    <w:rPr>
                      <w:kern w:val="24"/>
                      <w:szCs w:val="21"/>
                    </w:rPr>
                  </w:pPr>
                  <w:r>
                    <w:rPr>
                      <w:rFonts w:hint="eastAsia"/>
                      <w:kern w:val="24"/>
                      <w:szCs w:val="21"/>
                    </w:rPr>
                    <w:t>符合</w:t>
                  </w:r>
                </w:p>
              </w:tc>
            </w:tr>
            <w:tr w14:paraId="015ED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shd w:val="clear" w:color="auto" w:fill="auto"/>
                  <w:noWrap w:val="0"/>
                  <w:vAlign w:val="center"/>
                </w:tcPr>
                <w:p w14:paraId="361F4945">
                  <w:pPr>
                    <w:jc w:val="center"/>
                  </w:pPr>
                  <w:r>
                    <w:rPr>
                      <w:rFonts w:hint="eastAsia"/>
                      <w:szCs w:val="21"/>
                    </w:rPr>
                    <w:t>《“十四五”噪声污染防治行动计划》</w:t>
                  </w:r>
                </w:p>
              </w:tc>
              <w:tc>
                <w:tcPr>
                  <w:tcW w:w="1953" w:type="pct"/>
                  <w:shd w:val="clear" w:color="auto" w:fill="auto"/>
                  <w:noWrap w:val="0"/>
                  <w:vAlign w:val="center"/>
                </w:tcPr>
                <w:p w14:paraId="4A33FB72">
                  <w:pPr>
                    <w:pStyle w:val="64"/>
                    <w:jc w:val="left"/>
                    <w:rPr>
                      <w:szCs w:val="21"/>
                    </w:rPr>
                  </w:pPr>
                  <w:r>
                    <w:rPr>
                      <w:rFonts w:hint="eastAsia"/>
                      <w:szCs w:val="21"/>
                      <w:shd w:val="clear" w:color="auto" w:fill="FFFFFF"/>
                    </w:rPr>
                    <w:t>排放噪声的工业企业应切实采取减振降噪措施，加强厂区内固定设备、运输工具、货物装卸等噪声源管理，同时避免突发噪声扰民。</w:t>
                  </w:r>
                </w:p>
              </w:tc>
              <w:tc>
                <w:tcPr>
                  <w:tcW w:w="1611" w:type="pct"/>
                  <w:shd w:val="clear" w:color="auto" w:fill="auto"/>
                  <w:noWrap w:val="0"/>
                  <w:vAlign w:val="center"/>
                </w:tcPr>
                <w:p w14:paraId="377A75D8">
                  <w:pPr>
                    <w:pStyle w:val="64"/>
                    <w:jc w:val="left"/>
                    <w:rPr>
                      <w:szCs w:val="21"/>
                    </w:rPr>
                  </w:pPr>
                  <w:r>
                    <w:rPr>
                      <w:rFonts w:hint="eastAsia"/>
                      <w:szCs w:val="21"/>
                    </w:rPr>
                    <w:t>本项目优先购买低噪声设备，设备采取隔声降噪措施，确保噪声达标排放。</w:t>
                  </w:r>
                </w:p>
              </w:tc>
              <w:tc>
                <w:tcPr>
                  <w:tcW w:w="511" w:type="pct"/>
                  <w:shd w:val="clear" w:color="auto" w:fill="auto"/>
                  <w:noWrap w:val="0"/>
                  <w:vAlign w:val="center"/>
                </w:tcPr>
                <w:p w14:paraId="5B883A85">
                  <w:pPr>
                    <w:jc w:val="center"/>
                    <w:rPr>
                      <w:szCs w:val="21"/>
                    </w:rPr>
                  </w:pPr>
                  <w:r>
                    <w:rPr>
                      <w:rFonts w:hint="eastAsia"/>
                      <w:szCs w:val="21"/>
                    </w:rPr>
                    <w:t>符合</w:t>
                  </w:r>
                </w:p>
              </w:tc>
            </w:tr>
            <w:tr w14:paraId="4A24E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vMerge w:val="restart"/>
                  <w:shd w:val="clear" w:color="auto" w:fill="auto"/>
                  <w:noWrap w:val="0"/>
                  <w:vAlign w:val="center"/>
                </w:tcPr>
                <w:p w14:paraId="7E08C8A1">
                  <w:pPr>
                    <w:jc w:val="center"/>
                  </w:pPr>
                  <w:r>
                    <w:rPr>
                      <w:rFonts w:hAnsi="宋体"/>
                    </w:rPr>
                    <w:t>《工业炉窑大气污染综合治理方案》（生态环境部</w:t>
                  </w:r>
                  <w:r>
                    <w:t>2019</w:t>
                  </w:r>
                  <w:r>
                    <w:rPr>
                      <w:rFonts w:hAnsi="宋体"/>
                    </w:rPr>
                    <w:t>年</w:t>
                  </w:r>
                  <w:r>
                    <w:t>7</w:t>
                  </w:r>
                  <w:r>
                    <w:rPr>
                      <w:rFonts w:hAnsi="宋体"/>
                    </w:rPr>
                    <w:t>月</w:t>
                  </w:r>
                  <w:r>
                    <w:t>1</w:t>
                  </w:r>
                  <w:r>
                    <w:rPr>
                      <w:rFonts w:hAnsi="宋体"/>
                    </w:rPr>
                    <w:t>日）</w:t>
                  </w:r>
                </w:p>
              </w:tc>
              <w:tc>
                <w:tcPr>
                  <w:tcW w:w="1953" w:type="pct"/>
                  <w:shd w:val="clear" w:color="auto" w:fill="auto"/>
                  <w:noWrap w:val="0"/>
                  <w:vAlign w:val="center"/>
                </w:tcPr>
                <w:p w14:paraId="4F3463FE">
                  <w:pPr>
                    <w:jc w:val="left"/>
                    <w:rPr>
                      <w:szCs w:val="21"/>
                    </w:rPr>
                  </w:pPr>
                  <w:r>
                    <w:rPr>
                      <w:rFonts w:hAnsi="宋体"/>
                    </w:rPr>
                    <w:t>重点区域原则上按照颗粒物、二氧化硫、氮氧化物排放限值分别不高于</w:t>
                  </w:r>
                  <w:r>
                    <w:t>30</w:t>
                  </w:r>
                  <w:r>
                    <w:rPr>
                      <w:rFonts w:hAnsi="宋体"/>
                    </w:rPr>
                    <w:t>、</w:t>
                  </w:r>
                  <w:r>
                    <w:t>200</w:t>
                  </w:r>
                  <w:r>
                    <w:rPr>
                      <w:rFonts w:hAnsi="宋体"/>
                    </w:rPr>
                    <w:t>、</w:t>
                  </w:r>
                  <w:r>
                    <w:t>300mg/m</w:t>
                  </w:r>
                  <w:r>
                    <w:rPr>
                      <w:vertAlign w:val="superscript"/>
                    </w:rPr>
                    <w:t>3</w:t>
                  </w:r>
                  <w:r>
                    <w:rPr>
                      <w:rFonts w:hAnsi="宋体"/>
                    </w:rPr>
                    <w:t>实施改造。</w:t>
                  </w:r>
                </w:p>
              </w:tc>
              <w:tc>
                <w:tcPr>
                  <w:tcW w:w="1611" w:type="pct"/>
                  <w:shd w:val="clear" w:color="auto" w:fill="auto"/>
                  <w:noWrap w:val="0"/>
                  <w:vAlign w:val="center"/>
                </w:tcPr>
                <w:p w14:paraId="0A4FF1BD">
                  <w:pPr>
                    <w:jc w:val="left"/>
                    <w:rPr>
                      <w:szCs w:val="21"/>
                    </w:rPr>
                  </w:pPr>
                  <w:r>
                    <w:rPr>
                      <w:rFonts w:hAnsi="宋体"/>
                    </w:rPr>
                    <w:t>本项目废气经</w:t>
                  </w:r>
                  <w:r>
                    <w:rPr>
                      <w:rFonts w:hint="eastAsia" w:hAnsi="宋体"/>
                      <w:lang w:eastAsia="zh-CN"/>
                    </w:rPr>
                    <w:t>旋风除尘器</w:t>
                  </w:r>
                  <w:r>
                    <w:rPr>
                      <w:rFonts w:hint="eastAsia" w:hAnsi="宋体"/>
                      <w:lang w:val="en-US" w:eastAsia="zh-CN"/>
                    </w:rPr>
                    <w:t>+</w:t>
                  </w:r>
                  <w:r>
                    <w:rPr>
                      <w:rFonts w:hint="eastAsia" w:hAnsi="宋体"/>
                      <w:lang w:eastAsia="zh-CN"/>
                    </w:rPr>
                    <w:t>二级水膜</w:t>
                  </w:r>
                  <w:r>
                    <w:rPr>
                      <w:rFonts w:hint="eastAsia" w:hAnsi="宋体"/>
                    </w:rPr>
                    <w:t>治理后达标排放</w:t>
                  </w:r>
                  <w:r>
                    <w:rPr>
                      <w:rFonts w:hAnsi="宋体"/>
                    </w:rPr>
                    <w:t>。</w:t>
                  </w:r>
                </w:p>
              </w:tc>
              <w:tc>
                <w:tcPr>
                  <w:tcW w:w="511" w:type="pct"/>
                  <w:shd w:val="clear" w:color="auto" w:fill="auto"/>
                  <w:noWrap w:val="0"/>
                  <w:vAlign w:val="center"/>
                </w:tcPr>
                <w:p w14:paraId="28D50A73">
                  <w:pPr>
                    <w:jc w:val="center"/>
                    <w:rPr>
                      <w:szCs w:val="21"/>
                    </w:rPr>
                  </w:pPr>
                  <w:r>
                    <w:rPr>
                      <w:rFonts w:hAnsi="宋体"/>
                    </w:rPr>
                    <w:t>符合</w:t>
                  </w:r>
                </w:p>
              </w:tc>
            </w:tr>
            <w:tr w14:paraId="0AB36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vMerge w:val="continue"/>
                  <w:shd w:val="clear" w:color="auto" w:fill="auto"/>
                  <w:noWrap w:val="0"/>
                  <w:vAlign w:val="center"/>
                </w:tcPr>
                <w:p w14:paraId="53C659D5">
                  <w:pPr>
                    <w:jc w:val="center"/>
                  </w:pPr>
                </w:p>
              </w:tc>
              <w:tc>
                <w:tcPr>
                  <w:tcW w:w="1953" w:type="pct"/>
                  <w:shd w:val="clear" w:color="auto" w:fill="auto"/>
                  <w:noWrap w:val="0"/>
                  <w:vAlign w:val="center"/>
                </w:tcPr>
                <w:p w14:paraId="4A6E0B2B">
                  <w:pPr>
                    <w:jc w:val="left"/>
                    <w:rPr>
                      <w:rFonts w:hAnsi="宋体"/>
                    </w:rPr>
                  </w:pPr>
                  <w:r>
                    <w:rPr>
                      <w:rFonts w:hint="eastAsia" w:hAnsi="宋体"/>
                    </w:rPr>
                    <w:t>加大产业结构调整力度。严格建设项目环境准入。新建涉工业炉窑的建设项目，原则上要入园区，配套建设高效环保治理设施。</w:t>
                  </w:r>
                </w:p>
              </w:tc>
              <w:tc>
                <w:tcPr>
                  <w:tcW w:w="1611" w:type="pct"/>
                  <w:shd w:val="clear" w:color="auto" w:fill="auto"/>
                  <w:noWrap w:val="0"/>
                  <w:vAlign w:val="center"/>
                </w:tcPr>
                <w:p w14:paraId="0BD0619B">
                  <w:pPr>
                    <w:jc w:val="left"/>
                    <w:rPr>
                      <w:rFonts w:hAnsi="宋体"/>
                    </w:rPr>
                  </w:pPr>
                  <w:r>
                    <w:rPr>
                      <w:rFonts w:hint="eastAsia" w:hAnsi="宋体"/>
                    </w:rPr>
                    <w:t>本项目位于</w:t>
                  </w:r>
                  <w:r>
                    <w:rPr>
                      <w:rFonts w:hint="eastAsia" w:hAnsi="宋体"/>
                      <w:lang w:eastAsia="zh-CN"/>
                    </w:rPr>
                    <w:t>凤翔区高新区长青工业园区</w:t>
                  </w:r>
                  <w:r>
                    <w:rPr>
                      <w:rFonts w:hint="eastAsia" w:hAnsi="宋体"/>
                    </w:rPr>
                    <w:t>，并配套了</w:t>
                  </w:r>
                  <w:r>
                    <w:rPr>
                      <w:rFonts w:hint="eastAsia" w:hAnsi="宋体"/>
                      <w:lang w:eastAsia="zh-CN"/>
                    </w:rPr>
                    <w:t>旋风除尘器</w:t>
                  </w:r>
                  <w:r>
                    <w:rPr>
                      <w:rFonts w:hint="eastAsia" w:hAnsi="宋体"/>
                      <w:lang w:val="en-US" w:eastAsia="zh-CN"/>
                    </w:rPr>
                    <w:t>+</w:t>
                  </w:r>
                  <w:r>
                    <w:rPr>
                      <w:rFonts w:hint="eastAsia" w:hAnsi="宋体"/>
                      <w:lang w:eastAsia="zh-CN"/>
                    </w:rPr>
                    <w:t>二级水膜</w:t>
                  </w:r>
                  <w:r>
                    <w:rPr>
                      <w:rFonts w:hint="eastAsia" w:hAnsi="宋体"/>
                    </w:rPr>
                    <w:t>环保治理设施。</w:t>
                  </w:r>
                </w:p>
              </w:tc>
              <w:tc>
                <w:tcPr>
                  <w:tcW w:w="511" w:type="pct"/>
                  <w:shd w:val="clear" w:color="auto" w:fill="auto"/>
                  <w:noWrap w:val="0"/>
                  <w:vAlign w:val="center"/>
                </w:tcPr>
                <w:p w14:paraId="3B0623C4">
                  <w:pPr>
                    <w:jc w:val="center"/>
                    <w:rPr>
                      <w:szCs w:val="21"/>
                    </w:rPr>
                  </w:pPr>
                  <w:r>
                    <w:rPr>
                      <w:rFonts w:hAnsi="宋体"/>
                    </w:rPr>
                    <w:t>符合</w:t>
                  </w:r>
                </w:p>
              </w:tc>
            </w:tr>
            <w:tr w14:paraId="5F0DC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23" w:type="pct"/>
                  <w:vMerge w:val="restart"/>
                  <w:shd w:val="clear" w:color="auto" w:fill="auto"/>
                  <w:noWrap w:val="0"/>
                  <w:vAlign w:val="center"/>
                </w:tcPr>
                <w:p w14:paraId="5E9571F1">
                  <w:pPr>
                    <w:jc w:val="center"/>
                  </w:pPr>
                  <w:r>
                    <w:rPr>
                      <w:rFonts w:hint="default" w:ascii="Times New Roman" w:hAnsi="宋体" w:eastAsia="宋体" w:cs="Times New Roman"/>
                      <w:lang w:val="en-US" w:eastAsia="zh-CN"/>
                    </w:rPr>
                    <w:t>《宝鸡市工业炉窑大气污染综合治理实施方案》的通知（宝治霾办发</w:t>
                  </w:r>
                  <w:r>
                    <w:rPr>
                      <w:rFonts w:hint="eastAsia"/>
                      <w:kern w:val="24"/>
                      <w:szCs w:val="21"/>
                    </w:rPr>
                    <w:t>〔20</w:t>
                  </w:r>
                  <w:r>
                    <w:rPr>
                      <w:rFonts w:hint="eastAsia"/>
                      <w:kern w:val="24"/>
                      <w:szCs w:val="21"/>
                      <w:lang w:val="en-US" w:eastAsia="zh-CN"/>
                    </w:rPr>
                    <w:t>19</w:t>
                  </w:r>
                  <w:r>
                    <w:rPr>
                      <w:rFonts w:hint="eastAsia"/>
                      <w:kern w:val="24"/>
                      <w:szCs w:val="21"/>
                    </w:rPr>
                    <w:t>〕</w:t>
                  </w:r>
                  <w:r>
                    <w:rPr>
                      <w:rFonts w:hint="default" w:ascii="Times New Roman" w:hAnsi="宋体" w:eastAsia="宋体" w:cs="Times New Roman"/>
                      <w:lang w:val="en-US" w:eastAsia="zh-CN"/>
                    </w:rPr>
                    <w:t>26号）</w:t>
                  </w:r>
                </w:p>
              </w:tc>
              <w:tc>
                <w:tcPr>
                  <w:tcW w:w="1953" w:type="pct"/>
                  <w:tcBorders>
                    <w:bottom w:val="single" w:color="auto" w:sz="4" w:space="0"/>
                  </w:tcBorders>
                  <w:shd w:val="clear" w:color="auto" w:fill="auto"/>
                  <w:noWrap w:val="0"/>
                  <w:vAlign w:val="center"/>
                </w:tcPr>
                <w:p w14:paraId="3C39A461">
                  <w:pPr>
                    <w:jc w:val="center"/>
                    <w:rPr>
                      <w:rFonts w:hint="eastAsia" w:ascii="Times New Roman" w:hAnsi="Times New Roman" w:eastAsia="TimesNewRomanPSMT" w:cs="Times New Roman"/>
                      <w:color w:val="auto"/>
                      <w:kern w:val="2"/>
                      <w:sz w:val="21"/>
                      <w:szCs w:val="24"/>
                      <w:lang w:val="en-US" w:eastAsia="zh-CN" w:bidi="ar-SA"/>
                    </w:rPr>
                  </w:pPr>
                  <w:r>
                    <w:rPr>
                      <w:rFonts w:hint="default" w:ascii="Times New Roman" w:hAnsi="Times New Roman" w:cs="Times New Roman"/>
                      <w:color w:val="auto"/>
                    </w:rPr>
                    <w:t>加快燃料清洁低碳化替代；加快淘汰燃煤工业炉窑</w:t>
                  </w:r>
                </w:p>
              </w:tc>
              <w:tc>
                <w:tcPr>
                  <w:tcW w:w="1611" w:type="pct"/>
                  <w:tcBorders>
                    <w:bottom w:val="single" w:color="auto" w:sz="4" w:space="0"/>
                  </w:tcBorders>
                  <w:shd w:val="clear" w:color="auto" w:fill="auto"/>
                  <w:noWrap w:val="0"/>
                  <w:vAlign w:val="center"/>
                </w:tcPr>
                <w:p w14:paraId="107C7F34">
                  <w:pPr>
                    <w:jc w:val="center"/>
                    <w:rPr>
                      <w:rFonts w:hint="eastAsia" w:ascii="Times New Roman" w:hAnsi="Times New Roman" w:cs="Times New Roman"/>
                      <w:b/>
                      <w:bCs/>
                      <w:color w:val="auto"/>
                      <w:kern w:val="24"/>
                      <w:sz w:val="21"/>
                      <w:szCs w:val="21"/>
                      <w:lang w:val="en-US" w:eastAsia="zh-CN" w:bidi="ar-SA"/>
                    </w:rPr>
                  </w:pPr>
                  <w:r>
                    <w:rPr>
                      <w:rFonts w:hint="default" w:ascii="Times New Roman" w:hAnsi="Times New Roman" w:cs="Times New Roman"/>
                      <w:color w:val="auto"/>
                    </w:rPr>
                    <w:t>本项目</w:t>
                  </w:r>
                  <w:r>
                    <w:rPr>
                      <w:rFonts w:hint="eastAsia" w:ascii="Times New Roman" w:hAnsi="Times New Roman" w:cs="Times New Roman"/>
                      <w:color w:val="auto"/>
                      <w:lang w:eastAsia="zh-CN"/>
                    </w:rPr>
                    <w:t>热风炉采用企业自产的甲醛尾气作为热源，</w:t>
                  </w:r>
                  <w:r>
                    <w:rPr>
                      <w:rFonts w:hint="default" w:ascii="Times New Roman" w:hAnsi="Times New Roman" w:cs="Times New Roman"/>
                      <w:color w:val="auto"/>
                    </w:rPr>
                    <w:t>属于</w:t>
                  </w:r>
                  <w:r>
                    <w:rPr>
                      <w:rFonts w:hint="eastAsia" w:ascii="Times New Roman" w:hAnsi="Times New Roman" w:cs="Times New Roman"/>
                      <w:color w:val="auto"/>
                      <w:lang w:eastAsia="zh-CN"/>
                    </w:rPr>
                    <w:t>资源再利用</w:t>
                  </w:r>
                  <w:r>
                    <w:rPr>
                      <w:rFonts w:hint="default" w:ascii="Times New Roman" w:hAnsi="Times New Roman" w:cs="Times New Roman"/>
                      <w:color w:val="auto"/>
                    </w:rPr>
                    <w:t>。</w:t>
                  </w:r>
                </w:p>
              </w:tc>
              <w:tc>
                <w:tcPr>
                  <w:tcW w:w="511" w:type="pct"/>
                  <w:tcBorders>
                    <w:bottom w:val="single" w:color="auto" w:sz="4" w:space="0"/>
                  </w:tcBorders>
                  <w:shd w:val="clear" w:color="auto" w:fill="auto"/>
                  <w:noWrap w:val="0"/>
                  <w:vAlign w:val="center"/>
                </w:tcPr>
                <w:p w14:paraId="2F306CC2">
                  <w:pPr>
                    <w:autoSpaceDE w:val="0"/>
                    <w:autoSpaceDN w:val="0"/>
                    <w:adjustRightInd w:val="0"/>
                    <w:snapToGrid w:val="0"/>
                    <w:jc w:val="center"/>
                    <w:rPr>
                      <w:rFonts w:hint="default" w:ascii="Times New Roman" w:hAnsi="Times New Roman" w:cs="Times New Roman"/>
                      <w:color w:val="auto"/>
                      <w:kern w:val="24"/>
                      <w:sz w:val="21"/>
                      <w:szCs w:val="21"/>
                      <w:lang w:val="en-US" w:eastAsia="zh-CN" w:bidi="ar-SA"/>
                    </w:rPr>
                  </w:pPr>
                  <w:r>
                    <w:rPr>
                      <w:rFonts w:hint="default" w:ascii="Times New Roman" w:hAnsi="Times New Roman" w:cs="Times New Roman"/>
                      <w:color w:val="auto"/>
                      <w:kern w:val="24"/>
                      <w:szCs w:val="21"/>
                    </w:rPr>
                    <w:t>符合</w:t>
                  </w:r>
                </w:p>
              </w:tc>
            </w:tr>
            <w:tr w14:paraId="50111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923" w:type="pct"/>
                  <w:vMerge w:val="continue"/>
                  <w:shd w:val="clear" w:color="auto" w:fill="auto"/>
                  <w:noWrap w:val="0"/>
                  <w:vAlign w:val="center"/>
                </w:tcPr>
                <w:p w14:paraId="30D0EACB">
                  <w:pPr>
                    <w:jc w:val="center"/>
                    <w:rPr>
                      <w:rFonts w:hint="default" w:ascii="Times New Roman" w:hAnsi="宋体" w:eastAsia="宋体" w:cs="Times New Roman"/>
                      <w:lang w:val="en-US" w:eastAsia="zh-CN"/>
                    </w:rPr>
                  </w:pPr>
                </w:p>
              </w:tc>
              <w:tc>
                <w:tcPr>
                  <w:tcW w:w="1953" w:type="pct"/>
                  <w:tcBorders>
                    <w:top w:val="single" w:color="auto" w:sz="4" w:space="0"/>
                    <w:bottom w:val="single" w:color="auto" w:sz="4" w:space="0"/>
                  </w:tcBorders>
                  <w:shd w:val="clear" w:color="auto" w:fill="auto"/>
                  <w:noWrap w:val="0"/>
                  <w:vAlign w:val="center"/>
                </w:tcPr>
                <w:p w14:paraId="3C78AA20">
                  <w:pPr>
                    <w:jc w:val="center"/>
                    <w:rPr>
                      <w:rFonts w:hint="eastAsia" w:ascii="Times New Roman" w:hAnsi="Times New Roman" w:eastAsia="TimesNewRomanPSMT" w:cs="Times New Roman"/>
                      <w:color w:val="auto"/>
                      <w:kern w:val="2"/>
                      <w:sz w:val="21"/>
                      <w:szCs w:val="24"/>
                      <w:lang w:val="en-US" w:eastAsia="zh-CN" w:bidi="ar-SA"/>
                    </w:rPr>
                  </w:pPr>
                  <w:r>
                    <w:rPr>
                      <w:rFonts w:hint="default" w:ascii="Times New Roman" w:hAnsi="Times New Roman" w:cs="Times New Roman"/>
                      <w:color w:val="auto"/>
                    </w:rPr>
                    <w:t>新建涉工业炉窑的建设项目，原则上要入园区，配套建设高效环保治理设施</w:t>
                  </w:r>
                </w:p>
              </w:tc>
              <w:tc>
                <w:tcPr>
                  <w:tcW w:w="1611" w:type="pct"/>
                  <w:tcBorders>
                    <w:top w:val="single" w:color="auto" w:sz="4" w:space="0"/>
                    <w:bottom w:val="single" w:color="auto" w:sz="4" w:space="0"/>
                  </w:tcBorders>
                  <w:shd w:val="clear" w:color="auto" w:fill="auto"/>
                  <w:noWrap w:val="0"/>
                  <w:vAlign w:val="center"/>
                </w:tcPr>
                <w:p w14:paraId="16A3B6FD">
                  <w:pPr>
                    <w:jc w:val="center"/>
                    <w:rPr>
                      <w:rFonts w:hint="eastAsia" w:ascii="Times New Roman" w:hAnsi="Times New Roman" w:cs="Times New Roman"/>
                      <w:b/>
                      <w:bCs/>
                      <w:color w:val="auto"/>
                      <w:kern w:val="24"/>
                      <w:sz w:val="21"/>
                      <w:szCs w:val="21"/>
                      <w:lang w:val="en-US" w:eastAsia="zh-CN" w:bidi="ar-SA"/>
                    </w:rPr>
                  </w:pPr>
                  <w:r>
                    <w:rPr>
                      <w:rFonts w:hint="default" w:ascii="Times New Roman" w:hAnsi="Times New Roman" w:cs="Times New Roman"/>
                      <w:color w:val="auto"/>
                    </w:rPr>
                    <w:t>本项目位于</w:t>
                  </w:r>
                  <w:r>
                    <w:rPr>
                      <w:rFonts w:hint="eastAsia"/>
                      <w:color w:val="000000"/>
                      <w:sz w:val="21"/>
                      <w:szCs w:val="21"/>
                    </w:rPr>
                    <w:t>凤翔区高新区长青工业园区</w:t>
                  </w:r>
                  <w:r>
                    <w:rPr>
                      <w:rFonts w:hint="default" w:ascii="Times New Roman" w:hAnsi="Times New Roman" w:cs="Times New Roman"/>
                      <w:color w:val="auto"/>
                    </w:rPr>
                    <w:t>，生产过程中采用热风炉</w:t>
                  </w:r>
                  <w:r>
                    <w:rPr>
                      <w:rFonts w:hint="eastAsia" w:ascii="Times New Roman" w:hAnsi="Times New Roman" w:cs="Times New Roman"/>
                      <w:color w:val="auto"/>
                      <w:lang w:eastAsia="zh-CN"/>
                    </w:rPr>
                    <w:t>采用企业自产的甲醛尾气作为热源</w:t>
                  </w:r>
                  <w:r>
                    <w:rPr>
                      <w:rFonts w:hint="eastAsia" w:hAnsi="宋体"/>
                    </w:rPr>
                    <w:t>，并配套了</w:t>
                  </w:r>
                  <w:r>
                    <w:rPr>
                      <w:rFonts w:hint="eastAsia" w:hAnsi="宋体"/>
                      <w:lang w:eastAsia="zh-CN"/>
                    </w:rPr>
                    <w:t>旋风除尘器</w:t>
                  </w:r>
                  <w:r>
                    <w:rPr>
                      <w:rFonts w:hint="eastAsia" w:hAnsi="宋体"/>
                      <w:lang w:val="en-US" w:eastAsia="zh-CN"/>
                    </w:rPr>
                    <w:t>+</w:t>
                  </w:r>
                  <w:r>
                    <w:rPr>
                      <w:rFonts w:hint="eastAsia" w:hAnsi="宋体"/>
                      <w:lang w:eastAsia="zh-CN"/>
                    </w:rPr>
                    <w:t>二级水膜</w:t>
                  </w:r>
                  <w:r>
                    <w:rPr>
                      <w:rFonts w:hint="eastAsia" w:hAnsi="宋体"/>
                    </w:rPr>
                    <w:t>环保治理设施</w:t>
                  </w:r>
                  <w:r>
                    <w:rPr>
                      <w:rFonts w:hint="default" w:ascii="Times New Roman" w:hAnsi="Times New Roman" w:cs="Times New Roman"/>
                      <w:color w:val="auto"/>
                    </w:rPr>
                    <w:t>。</w:t>
                  </w:r>
                </w:p>
              </w:tc>
              <w:tc>
                <w:tcPr>
                  <w:tcW w:w="511" w:type="pct"/>
                  <w:tcBorders>
                    <w:top w:val="single" w:color="auto" w:sz="4" w:space="0"/>
                    <w:bottom w:val="single" w:color="auto" w:sz="4" w:space="0"/>
                  </w:tcBorders>
                  <w:shd w:val="clear" w:color="auto" w:fill="auto"/>
                  <w:noWrap w:val="0"/>
                  <w:vAlign w:val="center"/>
                </w:tcPr>
                <w:p w14:paraId="01CD24DF">
                  <w:pPr>
                    <w:autoSpaceDE w:val="0"/>
                    <w:autoSpaceDN w:val="0"/>
                    <w:adjustRightInd w:val="0"/>
                    <w:snapToGrid w:val="0"/>
                    <w:jc w:val="center"/>
                    <w:rPr>
                      <w:rFonts w:hint="default" w:ascii="Times New Roman" w:hAnsi="Times New Roman" w:cs="Times New Roman"/>
                      <w:color w:val="auto"/>
                      <w:kern w:val="24"/>
                      <w:sz w:val="21"/>
                      <w:szCs w:val="21"/>
                      <w:lang w:val="en-US" w:eastAsia="zh-CN" w:bidi="ar-SA"/>
                    </w:rPr>
                  </w:pPr>
                  <w:r>
                    <w:rPr>
                      <w:rFonts w:hint="default" w:ascii="Times New Roman" w:hAnsi="Times New Roman" w:cs="Times New Roman"/>
                      <w:color w:val="auto"/>
                      <w:kern w:val="24"/>
                      <w:szCs w:val="21"/>
                    </w:rPr>
                    <w:t>符合</w:t>
                  </w:r>
                </w:p>
              </w:tc>
            </w:tr>
            <w:tr w14:paraId="08DF9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923" w:type="pct"/>
                  <w:vMerge w:val="continue"/>
                  <w:shd w:val="clear" w:color="auto" w:fill="auto"/>
                  <w:noWrap w:val="0"/>
                  <w:vAlign w:val="center"/>
                </w:tcPr>
                <w:p w14:paraId="4A3D9ED9">
                  <w:pPr>
                    <w:jc w:val="center"/>
                    <w:rPr>
                      <w:rFonts w:hint="default" w:ascii="Times New Roman" w:hAnsi="宋体" w:eastAsia="宋体" w:cs="Times New Roman"/>
                      <w:lang w:val="en-US" w:eastAsia="zh-CN"/>
                    </w:rPr>
                  </w:pPr>
                </w:p>
              </w:tc>
              <w:tc>
                <w:tcPr>
                  <w:tcW w:w="1953" w:type="pct"/>
                  <w:tcBorders>
                    <w:top w:val="single" w:color="auto" w:sz="4" w:space="0"/>
                    <w:bottom w:val="single" w:color="auto" w:sz="4" w:space="0"/>
                  </w:tcBorders>
                  <w:shd w:val="clear" w:color="auto" w:fill="auto"/>
                  <w:noWrap w:val="0"/>
                  <w:vAlign w:val="center"/>
                </w:tcPr>
                <w:p w14:paraId="6B06DAF3">
                  <w:pPr>
                    <w:jc w:val="center"/>
                    <w:rPr>
                      <w:rFonts w:hint="eastAsia"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重点区域严格控制涉工业炉窑建设项目，严禁新增钢铁、焦化、电解铝、铸造、水泥和平板玻璃等产能</w:t>
                  </w:r>
                </w:p>
              </w:tc>
              <w:tc>
                <w:tcPr>
                  <w:tcW w:w="1611" w:type="pct"/>
                  <w:tcBorders>
                    <w:top w:val="single" w:color="auto" w:sz="4" w:space="0"/>
                    <w:bottom w:val="single" w:color="auto" w:sz="4" w:space="0"/>
                  </w:tcBorders>
                  <w:shd w:val="clear" w:color="auto" w:fill="auto"/>
                  <w:noWrap w:val="0"/>
                  <w:vAlign w:val="center"/>
                </w:tcPr>
                <w:p w14:paraId="5D9FD966">
                  <w:pPr>
                    <w:jc w:val="center"/>
                    <w:rPr>
                      <w:rFonts w:hint="eastAsia" w:ascii="Times New Roman" w:hAnsi="Times New Roman" w:cs="Times New Roman"/>
                      <w:color w:val="auto"/>
                      <w:kern w:val="2"/>
                      <w:sz w:val="21"/>
                      <w:szCs w:val="24"/>
                      <w:lang w:val="en-US" w:eastAsia="zh-CN" w:bidi="ar-SA"/>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要对萘系减水剂干燥车间及干燥系统进行技术改造，拆除现有生物质热风炉、干燥系统，利用现有甲醛回收系统产生的尾气，经加热炉燃烧后为萘系减水剂干燥提供热能，属于</w:t>
                  </w:r>
                  <w:r>
                    <w:rPr>
                      <w:rFonts w:hAnsi="宋体"/>
                      <w:kern w:val="0"/>
                      <w:sz w:val="21"/>
                      <w:szCs w:val="21"/>
                      <w:shd w:val="clear" w:color="auto" w:fill="FFFFFF"/>
                    </w:rPr>
                    <w:t>供热工程</w:t>
                  </w:r>
                  <w:r>
                    <w:rPr>
                      <w:rFonts w:hint="default" w:ascii="Times New Roman" w:hAnsi="Times New Roman" w:cs="Times New Roman"/>
                      <w:color w:val="auto"/>
                      <w:highlight w:val="none"/>
                    </w:rPr>
                    <w:t>，不</w:t>
                  </w:r>
                  <w:r>
                    <w:rPr>
                      <w:rFonts w:hint="default" w:ascii="Times New Roman" w:hAnsi="Times New Roman" w:cs="Times New Roman"/>
                      <w:color w:val="auto"/>
                    </w:rPr>
                    <w:t>属于钢铁、焦化、电解铝、铸造、水泥和平板玻璃等行业。</w:t>
                  </w:r>
                </w:p>
              </w:tc>
              <w:tc>
                <w:tcPr>
                  <w:tcW w:w="511" w:type="pct"/>
                  <w:tcBorders>
                    <w:top w:val="single" w:color="auto" w:sz="4" w:space="0"/>
                    <w:bottom w:val="single" w:color="auto" w:sz="4" w:space="0"/>
                  </w:tcBorders>
                  <w:shd w:val="clear" w:color="auto" w:fill="auto"/>
                  <w:noWrap w:val="0"/>
                  <w:vAlign w:val="center"/>
                </w:tcPr>
                <w:p w14:paraId="3AE984D8">
                  <w:pPr>
                    <w:autoSpaceDE w:val="0"/>
                    <w:autoSpaceDN w:val="0"/>
                    <w:adjustRightInd w:val="0"/>
                    <w:snapToGrid w:val="0"/>
                    <w:jc w:val="center"/>
                    <w:rPr>
                      <w:rFonts w:hint="default" w:ascii="Times New Roman" w:hAnsi="Times New Roman" w:cs="Times New Roman"/>
                      <w:color w:val="auto"/>
                      <w:kern w:val="24"/>
                      <w:sz w:val="21"/>
                      <w:szCs w:val="21"/>
                      <w:lang w:val="en-US" w:eastAsia="zh-CN" w:bidi="ar-SA"/>
                    </w:rPr>
                  </w:pPr>
                  <w:r>
                    <w:rPr>
                      <w:rFonts w:hint="default" w:ascii="Times New Roman" w:hAnsi="Times New Roman" w:cs="Times New Roman"/>
                      <w:color w:val="auto"/>
                      <w:kern w:val="24"/>
                      <w:szCs w:val="21"/>
                    </w:rPr>
                    <w:t>符合</w:t>
                  </w:r>
                </w:p>
              </w:tc>
            </w:tr>
            <w:tr w14:paraId="2A23C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shd w:val="clear" w:color="auto" w:fill="auto"/>
                  <w:noWrap w:val="0"/>
                  <w:vAlign w:val="center"/>
                </w:tcPr>
                <w:p w14:paraId="161E0E3D">
                  <w:pPr>
                    <w:jc w:val="center"/>
                  </w:pPr>
                  <w:r>
                    <w:rPr>
                      <w:szCs w:val="21"/>
                    </w:rPr>
                    <w:t>《陕西省水污染防治工作方案》</w:t>
                  </w:r>
                </w:p>
              </w:tc>
              <w:tc>
                <w:tcPr>
                  <w:tcW w:w="1953" w:type="pct"/>
                  <w:shd w:val="clear" w:color="auto" w:fill="auto"/>
                  <w:noWrap w:val="0"/>
                  <w:vAlign w:val="center"/>
                </w:tcPr>
                <w:p w14:paraId="4514BE8A">
                  <w:pPr>
                    <w:jc w:val="center"/>
                    <w:rPr>
                      <w:szCs w:val="21"/>
                    </w:rPr>
                  </w:pPr>
                  <w:r>
                    <w:rPr>
                      <w:szCs w:val="21"/>
                    </w:rPr>
                    <w:t>优化空间布局。合理确定发展布局、结构和规模。充分考虑水资源、水环境承载能力，以水定城、以水定地、以水定人、以水定产。在符合城乡规划和土地利用总体规划的前提下，重大项目原则上布局在优化开发区和重点开发区。鼓励发展节水高效现代农业、低耗水高新技术产业以及生态保护型旅游业，严格控制高耗水、高污染行业发展，新建、改建、扩建重点行业建设项目实行主要污染物排放减量置换。渭河、延河、无定河、汉江、丹江、嘉陵江等六条主要河流干流沿岸，要严格控制石油加工、化学原料和化学制品制造、医药制造、化学纤维制造、有色金属冶炼、纺织印染等项目，合理布局生产装置及危险化学品仓储等设施，防范环境风险。</w:t>
                  </w:r>
                </w:p>
              </w:tc>
              <w:tc>
                <w:tcPr>
                  <w:tcW w:w="1611" w:type="pct"/>
                  <w:shd w:val="clear" w:color="auto" w:fill="auto"/>
                  <w:noWrap w:val="0"/>
                  <w:vAlign w:val="center"/>
                </w:tcPr>
                <w:p w14:paraId="657A2001">
                  <w:pPr>
                    <w:widowControl/>
                    <w:jc w:val="left"/>
                    <w:rPr>
                      <w:kern w:val="24"/>
                      <w:szCs w:val="21"/>
                    </w:rPr>
                  </w:pPr>
                  <w:r>
                    <w:rPr>
                      <w:szCs w:val="21"/>
                    </w:rPr>
                    <w:t>项目不属于石油加工、化学原料和化学制品制造、医药制造、化学纤维制造、有色金属冶炼、纺织印染等项目范畴。</w:t>
                  </w:r>
                  <w:r>
                    <w:rPr>
                      <w:rFonts w:hint="eastAsia"/>
                      <w:szCs w:val="21"/>
                    </w:rPr>
                    <w:t>本项目不新增生产废水及生活污水</w:t>
                  </w:r>
                  <w:r>
                    <w:rPr>
                      <w:szCs w:val="21"/>
                    </w:rPr>
                    <w:t>。</w:t>
                  </w:r>
                </w:p>
              </w:tc>
              <w:tc>
                <w:tcPr>
                  <w:tcW w:w="511" w:type="pct"/>
                  <w:shd w:val="clear" w:color="auto" w:fill="auto"/>
                  <w:noWrap w:val="0"/>
                  <w:vAlign w:val="center"/>
                </w:tcPr>
                <w:p w14:paraId="7136096D">
                  <w:pPr>
                    <w:pStyle w:val="65"/>
                    <w:rPr>
                      <w:kern w:val="24"/>
                      <w:szCs w:val="21"/>
                    </w:rPr>
                  </w:pPr>
                  <w:r>
                    <w:rPr>
                      <w:szCs w:val="21"/>
                    </w:rPr>
                    <w:t>符合</w:t>
                  </w:r>
                </w:p>
              </w:tc>
            </w:tr>
            <w:tr w14:paraId="20240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shd w:val="clear" w:color="auto" w:fill="auto"/>
                  <w:noWrap w:val="0"/>
                  <w:vAlign w:val="center"/>
                </w:tcPr>
                <w:p w14:paraId="46DF332F">
                  <w:pPr>
                    <w:jc w:val="center"/>
                  </w:pPr>
                  <w:r>
                    <w:rPr>
                      <w:rFonts w:hint="eastAsia"/>
                      <w:kern w:val="24"/>
                      <w:szCs w:val="21"/>
                    </w:rPr>
                    <w:t>《陕西省噪声污染防治行动计划（2023-2025年）》</w:t>
                  </w:r>
                </w:p>
              </w:tc>
              <w:tc>
                <w:tcPr>
                  <w:tcW w:w="1953" w:type="pct"/>
                  <w:shd w:val="clear" w:color="auto" w:fill="auto"/>
                  <w:noWrap w:val="0"/>
                  <w:vAlign w:val="center"/>
                </w:tcPr>
                <w:p w14:paraId="0390087C">
                  <w:pPr>
                    <w:adjustRightInd w:val="0"/>
                    <w:snapToGrid w:val="0"/>
                    <w:rPr>
                      <w:szCs w:val="21"/>
                    </w:rPr>
                  </w:pPr>
                  <w:r>
                    <w:rPr>
                      <w:rFonts w:hint="eastAsia"/>
                      <w:szCs w:val="21"/>
                      <w:shd w:val="clear" w:color="auto" w:fill="FFFFFF"/>
                    </w:rPr>
                    <w:t>推广使用低噪声施工设备。依据国家最新发布的房屋建筑和市政基础设施工程禁止和限制使用技术目录和低噪声施工设备指导目录，限制或禁用易产生噪声污染的落后施工设备。鼓励有条件的企业逐步使用低噪声施工设备。</w:t>
                  </w:r>
                </w:p>
              </w:tc>
              <w:tc>
                <w:tcPr>
                  <w:tcW w:w="1611" w:type="pct"/>
                  <w:shd w:val="clear" w:color="auto" w:fill="auto"/>
                  <w:noWrap w:val="0"/>
                  <w:vAlign w:val="center"/>
                </w:tcPr>
                <w:p w14:paraId="5A17B526">
                  <w:pPr>
                    <w:adjustRightInd w:val="0"/>
                    <w:snapToGrid w:val="0"/>
                    <w:rPr>
                      <w:kern w:val="24"/>
                      <w:szCs w:val="21"/>
                    </w:rPr>
                  </w:pPr>
                  <w:r>
                    <w:rPr>
                      <w:rFonts w:hint="eastAsia"/>
                      <w:szCs w:val="21"/>
                    </w:rPr>
                    <w:t>本项目优先购买低噪声设备，设备采取减振降噪措施，确保噪声达标排放。</w:t>
                  </w:r>
                </w:p>
              </w:tc>
              <w:tc>
                <w:tcPr>
                  <w:tcW w:w="511" w:type="pct"/>
                  <w:shd w:val="clear" w:color="auto" w:fill="auto"/>
                  <w:noWrap w:val="0"/>
                  <w:vAlign w:val="center"/>
                </w:tcPr>
                <w:p w14:paraId="257E2029">
                  <w:pPr>
                    <w:jc w:val="center"/>
                  </w:pPr>
                  <w:r>
                    <w:t>符合</w:t>
                  </w:r>
                </w:p>
              </w:tc>
            </w:tr>
            <w:tr w14:paraId="6BB52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shd w:val="clear" w:color="auto" w:fill="auto"/>
                  <w:noWrap w:val="0"/>
                  <w:vAlign w:val="center"/>
                </w:tcPr>
                <w:p w14:paraId="1617CB0A">
                  <w:pPr>
                    <w:jc w:val="center"/>
                    <w:rPr>
                      <w:kern w:val="24"/>
                      <w:szCs w:val="21"/>
                    </w:rPr>
                  </w:pPr>
                  <w:r>
                    <w:rPr>
                      <w:rFonts w:hAnsi="宋体"/>
                    </w:rPr>
                    <w:t>《宝鸡市大气污染防治条例》</w:t>
                  </w:r>
                </w:p>
              </w:tc>
              <w:tc>
                <w:tcPr>
                  <w:tcW w:w="1953" w:type="pct"/>
                  <w:shd w:val="clear" w:color="auto" w:fill="auto"/>
                  <w:noWrap w:val="0"/>
                  <w:vAlign w:val="center"/>
                </w:tcPr>
                <w:p w14:paraId="31A6609B">
                  <w:pPr>
                    <w:pStyle w:val="66"/>
                    <w:adjustRightInd w:val="0"/>
                    <w:snapToGrid w:val="0"/>
                    <w:spacing w:before="0" w:after="0" w:line="240" w:lineRule="auto"/>
                    <w:jc w:val="left"/>
                    <w:rPr>
                      <w:szCs w:val="21"/>
                    </w:rPr>
                  </w:pPr>
                  <w:r>
                    <w:rPr>
                      <w:rFonts w:ascii="Times New Roman" w:hAnsi="Times New Roman"/>
                      <w:b w:val="0"/>
                      <w:sz w:val="21"/>
                      <w:szCs w:val="21"/>
                    </w:rPr>
                    <w:t>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1611" w:type="pct"/>
                  <w:shd w:val="clear" w:color="auto" w:fill="auto"/>
                  <w:noWrap w:val="0"/>
                  <w:vAlign w:val="center"/>
                </w:tcPr>
                <w:p w14:paraId="4916BC1C">
                  <w:pPr>
                    <w:pStyle w:val="65"/>
                    <w:jc w:val="left"/>
                    <w:rPr>
                      <w:szCs w:val="21"/>
                    </w:rPr>
                  </w:pPr>
                  <w:r>
                    <w:rPr>
                      <w:rFonts w:hint="eastAsia"/>
                      <w:szCs w:val="21"/>
                    </w:rPr>
                    <w:t>本项目为</w:t>
                  </w:r>
                  <w:r>
                    <w:rPr>
                      <w:rFonts w:hint="eastAsia" w:hAnsi="宋体"/>
                      <w:kern w:val="0"/>
                      <w:szCs w:val="21"/>
                      <w:shd w:val="clear" w:color="auto" w:fill="FFFFFF"/>
                    </w:rPr>
                    <w:t>热力</w:t>
                  </w:r>
                  <w:r>
                    <w:rPr>
                      <w:rFonts w:hAnsi="宋体"/>
                      <w:kern w:val="0"/>
                      <w:szCs w:val="21"/>
                      <w:shd w:val="clear" w:color="auto" w:fill="FFFFFF"/>
                    </w:rPr>
                    <w:t>生产供应</w:t>
                  </w:r>
                  <w:r>
                    <w:rPr>
                      <w:rFonts w:hint="eastAsia"/>
                      <w:szCs w:val="21"/>
                    </w:rPr>
                    <w:t>，</w:t>
                  </w:r>
                  <w:r>
                    <w:rPr>
                      <w:szCs w:val="21"/>
                    </w:rPr>
                    <w:t>本项目生产设施布置紧凑，减少内部物料的堆存、传输、装卸等环节产生的粉尘。项目废气污染物采取了相应的治理措施，可确保废气污染物达标排放。</w:t>
                  </w:r>
                </w:p>
              </w:tc>
              <w:tc>
                <w:tcPr>
                  <w:tcW w:w="511" w:type="pct"/>
                  <w:shd w:val="clear" w:color="auto" w:fill="auto"/>
                  <w:noWrap w:val="0"/>
                  <w:vAlign w:val="center"/>
                </w:tcPr>
                <w:p w14:paraId="4B3BB517">
                  <w:pPr>
                    <w:autoSpaceDE w:val="0"/>
                    <w:autoSpaceDN w:val="0"/>
                    <w:adjustRightInd w:val="0"/>
                    <w:snapToGrid w:val="0"/>
                    <w:jc w:val="center"/>
                    <w:rPr>
                      <w:szCs w:val="21"/>
                    </w:rPr>
                  </w:pPr>
                  <w:r>
                    <w:rPr>
                      <w:kern w:val="24"/>
                      <w:szCs w:val="21"/>
                    </w:rPr>
                    <w:t>符合</w:t>
                  </w:r>
                </w:p>
              </w:tc>
            </w:tr>
            <w:tr w14:paraId="35BEE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shd w:val="clear" w:color="auto" w:fill="auto"/>
                  <w:noWrap w:val="0"/>
                  <w:vAlign w:val="center"/>
                </w:tcPr>
                <w:p w14:paraId="507E8EF0">
                  <w:pPr>
                    <w:jc w:val="center"/>
                    <w:rPr>
                      <w:kern w:val="24"/>
                      <w:szCs w:val="21"/>
                    </w:rPr>
                  </w:pPr>
                  <w:r>
                    <w:rPr>
                      <w:rFonts w:hint="eastAsia"/>
                      <w:kern w:val="24"/>
                      <w:szCs w:val="21"/>
                    </w:rPr>
                    <w:t>《宝鸡市环境空气质量限期达标规划（2023-2030年）》</w:t>
                  </w:r>
                </w:p>
              </w:tc>
              <w:tc>
                <w:tcPr>
                  <w:tcW w:w="1953" w:type="pct"/>
                  <w:shd w:val="clear" w:color="auto" w:fill="auto"/>
                  <w:noWrap w:val="0"/>
                  <w:vAlign w:val="center"/>
                </w:tcPr>
                <w:p w14:paraId="748BCF64">
                  <w:pPr>
                    <w:adjustRightInd w:val="0"/>
                    <w:snapToGrid w:val="0"/>
                    <w:rPr>
                      <w:szCs w:val="21"/>
                    </w:rPr>
                  </w:pPr>
                  <w:r>
                    <w:rPr>
                      <w:rFonts w:hint="eastAsia"/>
                      <w:szCs w:val="21"/>
                      <w:shd w:val="clear" w:color="auto" w:fill="FFFFFF"/>
                    </w:rPr>
                    <w:t>重点行业清洁能源替代工程。2024年底完成造纸行业燃煤锅炉清洁能源替代，2025年底完成玻璃、陶瓷、石灰、耐火材料、有色、无机化工、矿物棉、铸造、砖瓦窑等行业炉窑清洁能源替代。</w:t>
                  </w:r>
                </w:p>
              </w:tc>
              <w:tc>
                <w:tcPr>
                  <w:tcW w:w="1611" w:type="pct"/>
                  <w:vMerge w:val="restart"/>
                  <w:shd w:val="clear" w:color="auto" w:fill="auto"/>
                  <w:noWrap w:val="0"/>
                  <w:vAlign w:val="center"/>
                </w:tcPr>
                <w:p w14:paraId="2FF1E5D0">
                  <w:pPr>
                    <w:adjustRightInd w:val="0"/>
                    <w:snapToGrid w:val="0"/>
                    <w:rPr>
                      <w:kern w:val="24"/>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要将现有甲醛回收系统产生的尾气，经加热炉燃烧后为萘系减水剂干燥提供热能，属于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热工程。此技术改造通过优化热源利用、减少热损失，可降低能源消耗量。</w:t>
                  </w:r>
                </w:p>
              </w:tc>
              <w:tc>
                <w:tcPr>
                  <w:tcW w:w="511" w:type="pct"/>
                  <w:shd w:val="clear" w:color="auto" w:fill="auto"/>
                  <w:noWrap w:val="0"/>
                  <w:vAlign w:val="center"/>
                </w:tcPr>
                <w:p w14:paraId="59D4B5EA">
                  <w:pPr>
                    <w:jc w:val="center"/>
                  </w:pPr>
                  <w:r>
                    <w:t>符合</w:t>
                  </w:r>
                </w:p>
              </w:tc>
            </w:tr>
            <w:tr w14:paraId="664B5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vMerge w:val="restart"/>
                  <w:shd w:val="clear" w:color="auto" w:fill="auto"/>
                  <w:noWrap w:val="0"/>
                  <w:vAlign w:val="center"/>
                </w:tcPr>
                <w:p w14:paraId="3D0A2074">
                  <w:pPr>
                    <w:jc w:val="center"/>
                    <w:rPr>
                      <w:kern w:val="24"/>
                      <w:szCs w:val="21"/>
                    </w:rPr>
                  </w:pPr>
                  <w:r>
                    <w:rPr>
                      <w:rFonts w:hint="eastAsia"/>
                      <w:kern w:val="24"/>
                      <w:szCs w:val="21"/>
                    </w:rPr>
                    <w:t>《宝鸡市大气污染治理专项行动方案（2023-2027年）》</w:t>
                  </w:r>
                </w:p>
              </w:tc>
              <w:tc>
                <w:tcPr>
                  <w:tcW w:w="1953" w:type="pct"/>
                  <w:shd w:val="clear" w:color="auto" w:fill="auto"/>
                  <w:noWrap w:val="0"/>
                  <w:vAlign w:val="center"/>
                </w:tcPr>
                <w:p w14:paraId="7BE92C39">
                  <w:pPr>
                    <w:adjustRightInd w:val="0"/>
                    <w:snapToGrid w:val="0"/>
                    <w:rPr>
                      <w:szCs w:val="21"/>
                    </w:rPr>
                  </w:pPr>
                  <w:r>
                    <w:rPr>
                      <w:rFonts w:hint="eastAsia"/>
                      <w:szCs w:val="21"/>
                      <w:shd w:val="clear" w:color="auto" w:fill="FFFFFF"/>
                    </w:rPr>
                    <w:t>2024年底完成造纸行业燃煤锅炉清洁能源替代，2025年底完成玻璃、陶瓷、石灰、耐火材料、有色、无机化工、矿物棉、铸造、砖瓦窑等行业炉窑清洁能源替代。</w:t>
                  </w:r>
                </w:p>
              </w:tc>
              <w:tc>
                <w:tcPr>
                  <w:tcW w:w="1611" w:type="pct"/>
                  <w:vMerge w:val="continue"/>
                  <w:shd w:val="clear" w:color="auto" w:fill="auto"/>
                  <w:noWrap w:val="0"/>
                  <w:vAlign w:val="center"/>
                </w:tcPr>
                <w:p w14:paraId="20F1F3A7">
                  <w:pPr>
                    <w:adjustRightInd w:val="0"/>
                    <w:snapToGrid w:val="0"/>
                    <w:rPr>
                      <w:szCs w:val="21"/>
                    </w:rPr>
                  </w:pPr>
                </w:p>
              </w:tc>
              <w:tc>
                <w:tcPr>
                  <w:tcW w:w="511" w:type="pct"/>
                  <w:shd w:val="clear" w:color="auto" w:fill="auto"/>
                  <w:noWrap w:val="0"/>
                  <w:vAlign w:val="center"/>
                </w:tcPr>
                <w:p w14:paraId="7D30E059">
                  <w:pPr>
                    <w:jc w:val="center"/>
                  </w:pPr>
                  <w:r>
                    <w:t>符合</w:t>
                  </w:r>
                </w:p>
              </w:tc>
            </w:tr>
            <w:tr w14:paraId="2395C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3" w:type="pct"/>
                  <w:vMerge w:val="continue"/>
                  <w:shd w:val="clear" w:color="auto" w:fill="auto"/>
                  <w:noWrap w:val="0"/>
                  <w:vAlign w:val="center"/>
                </w:tcPr>
                <w:p w14:paraId="731BBFBF">
                  <w:pPr>
                    <w:jc w:val="center"/>
                    <w:rPr>
                      <w:kern w:val="24"/>
                      <w:szCs w:val="21"/>
                    </w:rPr>
                  </w:pPr>
                </w:p>
              </w:tc>
              <w:tc>
                <w:tcPr>
                  <w:tcW w:w="1953" w:type="pct"/>
                  <w:shd w:val="clear" w:color="auto" w:fill="auto"/>
                  <w:noWrap w:val="0"/>
                  <w:vAlign w:val="center"/>
                </w:tcPr>
                <w:p w14:paraId="2D8F2A84">
                  <w:pPr>
                    <w:adjustRightInd w:val="0"/>
                    <w:snapToGrid w:val="0"/>
                    <w:rPr>
                      <w:kern w:val="24"/>
                      <w:szCs w:val="21"/>
                    </w:rPr>
                  </w:pPr>
                  <w:r>
                    <w:rPr>
                      <w:rFonts w:hint="eastAsia"/>
                      <w:szCs w:val="21"/>
                      <w:shd w:val="clear" w:color="auto" w:fill="FFFFFF"/>
                    </w:rPr>
                    <w:t>2023年完成重污染天气应急预案修订。秋冬季期间，水泥行业企业实施错峰生产，铸造、陶瓷、砖瓦、石灰、再生铝等行业企业实施轮流停产减排。</w:t>
                  </w:r>
                </w:p>
              </w:tc>
              <w:tc>
                <w:tcPr>
                  <w:tcW w:w="1611" w:type="pct"/>
                  <w:shd w:val="clear" w:color="auto" w:fill="auto"/>
                  <w:noWrap w:val="0"/>
                  <w:vAlign w:val="center"/>
                </w:tcPr>
                <w:p w14:paraId="54275407">
                  <w:pPr>
                    <w:adjustRightInd w:val="0"/>
                    <w:snapToGrid w:val="0"/>
                    <w:rPr>
                      <w:kern w:val="24"/>
                      <w:szCs w:val="21"/>
                    </w:rPr>
                  </w:pPr>
                  <w:r>
                    <w:rPr>
                      <w:rFonts w:hint="eastAsia"/>
                      <w:kern w:val="24"/>
                      <w:szCs w:val="21"/>
                    </w:rPr>
                    <w:t>本企业已完成</w:t>
                  </w:r>
                  <w:r>
                    <w:rPr>
                      <w:rFonts w:hint="eastAsia"/>
                      <w:szCs w:val="21"/>
                      <w:shd w:val="clear" w:color="auto" w:fill="FFFFFF"/>
                    </w:rPr>
                    <w:t>重污染天气应急预案修订。</w:t>
                  </w:r>
                </w:p>
              </w:tc>
              <w:tc>
                <w:tcPr>
                  <w:tcW w:w="511" w:type="pct"/>
                  <w:shd w:val="clear" w:color="auto" w:fill="auto"/>
                  <w:noWrap w:val="0"/>
                  <w:vAlign w:val="center"/>
                </w:tcPr>
                <w:p w14:paraId="314BE9F2">
                  <w:pPr>
                    <w:autoSpaceDE w:val="0"/>
                    <w:autoSpaceDN w:val="0"/>
                    <w:adjustRightInd w:val="0"/>
                    <w:snapToGrid w:val="0"/>
                    <w:jc w:val="center"/>
                    <w:rPr>
                      <w:kern w:val="24"/>
                      <w:szCs w:val="21"/>
                    </w:rPr>
                  </w:pPr>
                  <w:r>
                    <w:rPr>
                      <w:rFonts w:hint="eastAsia"/>
                      <w:kern w:val="24"/>
                      <w:szCs w:val="21"/>
                    </w:rPr>
                    <w:t>符合</w:t>
                  </w:r>
                </w:p>
              </w:tc>
            </w:tr>
            <w:tr w14:paraId="5744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8" w:hRule="atLeast"/>
              </w:trPr>
              <w:tc>
                <w:tcPr>
                  <w:tcW w:w="923" w:type="pct"/>
                  <w:vMerge w:val="restart"/>
                  <w:shd w:val="clear" w:color="auto" w:fill="auto"/>
                  <w:noWrap w:val="0"/>
                  <w:vAlign w:val="center"/>
                </w:tcPr>
                <w:p w14:paraId="6C985A88">
                  <w:pPr>
                    <w:jc w:val="center"/>
                    <w:rPr>
                      <w:kern w:val="24"/>
                      <w:szCs w:val="21"/>
                    </w:rPr>
                  </w:pPr>
                  <w:r>
                    <w:rPr>
                      <w:rFonts w:ascii="Times New Roman" w:hAnsi="Times New Roman"/>
                      <w:color w:val="000000"/>
                      <w:szCs w:val="21"/>
                      <w:lang w:eastAsia="zh-HK"/>
                    </w:rPr>
                    <w:t>《</w:t>
                  </w:r>
                  <w:r>
                    <w:rPr>
                      <w:rFonts w:hint="eastAsia" w:ascii="Times New Roman" w:hAnsi="Times New Roman"/>
                      <w:color w:val="000000"/>
                      <w:szCs w:val="21"/>
                    </w:rPr>
                    <w:t>凤翔区大气污染治理专项行动方案（202</w:t>
                  </w:r>
                  <w:r>
                    <w:rPr>
                      <w:rFonts w:ascii="Times New Roman" w:hAnsi="Times New Roman"/>
                      <w:color w:val="000000"/>
                      <w:szCs w:val="21"/>
                    </w:rPr>
                    <w:t>3-2027年）</w:t>
                  </w:r>
                  <w:r>
                    <w:rPr>
                      <w:rFonts w:ascii="Times New Roman" w:hAnsi="Times New Roman"/>
                      <w:color w:val="000000"/>
                      <w:szCs w:val="21"/>
                      <w:lang w:eastAsia="zh-HK"/>
                    </w:rPr>
                    <w:t>》</w:t>
                  </w:r>
                </w:p>
              </w:tc>
              <w:tc>
                <w:tcPr>
                  <w:tcW w:w="1953" w:type="pct"/>
                  <w:tcBorders>
                    <w:bottom w:val="single" w:color="auto" w:sz="4" w:space="0"/>
                  </w:tcBorders>
                  <w:shd w:val="clear" w:color="auto" w:fill="auto"/>
                  <w:noWrap w:val="0"/>
                  <w:vAlign w:val="center"/>
                </w:tcPr>
                <w:p w14:paraId="23E60272">
                  <w:pPr>
                    <w:contextualSpacing/>
                    <w:rPr>
                      <w:rFonts w:hint="eastAsia"/>
                      <w:szCs w:val="21"/>
                    </w:rPr>
                  </w:pPr>
                  <w:r>
                    <w:rPr>
                      <w:rFonts w:hint="eastAsia" w:ascii="Times New Roman" w:hAnsi="Times New Roman"/>
                      <w:color w:val="000000"/>
                      <w:szCs w:val="21"/>
                    </w:rPr>
                    <w:t>严禁新增钢铁、焦化、水泥熟料、平板玻璃、电解铝、氧化铝、煤化工产能，合理控制煤制油气产能规模，严控新增炼油产能。</w:t>
                  </w:r>
                </w:p>
              </w:tc>
              <w:tc>
                <w:tcPr>
                  <w:tcW w:w="1611" w:type="pct"/>
                  <w:tcBorders>
                    <w:bottom w:val="single" w:color="auto" w:sz="4" w:space="0"/>
                  </w:tcBorders>
                  <w:shd w:val="clear" w:color="auto" w:fill="auto"/>
                  <w:noWrap w:val="0"/>
                  <w:vAlign w:val="center"/>
                </w:tcPr>
                <w:p w14:paraId="3A3E3C0E">
                  <w:pPr>
                    <w:contextualSpacing/>
                    <w:rPr>
                      <w:rFonts w:hint="eastAsia" w:eastAsia="宋体"/>
                      <w:kern w:val="24"/>
                      <w:szCs w:val="21"/>
                      <w:lang w:eastAsia="zh-CN"/>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要将现有甲醛回收系统产生的尾气，经加热炉燃烧后为萘系减水剂干燥提供热能，属于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w:t>
                  </w:r>
                  <w:r>
                    <w:rPr>
                      <w:rFonts w:hint="eastAsia" w:ascii="Times New Roman" w:hAnsi="Times New Roman"/>
                      <w:color w:val="000000"/>
                      <w:szCs w:val="21"/>
                    </w:rPr>
                    <w:t>本项目不属于钢铁、焦化、水泥熟料、平板玻璃、电解铝、氧化铝、煤化工、炼油业</w:t>
                  </w:r>
                  <w:r>
                    <w:rPr>
                      <w:rFonts w:hint="eastAsia" w:ascii="Times New Roman" w:hAnsi="Times New Roman"/>
                      <w:color w:val="000000"/>
                      <w:szCs w:val="21"/>
                      <w:lang w:eastAsia="zh-CN"/>
                    </w:rPr>
                    <w:t>。</w:t>
                  </w:r>
                </w:p>
              </w:tc>
              <w:tc>
                <w:tcPr>
                  <w:tcW w:w="511" w:type="pct"/>
                  <w:tcBorders>
                    <w:bottom w:val="single" w:color="auto" w:sz="4" w:space="0"/>
                  </w:tcBorders>
                  <w:shd w:val="clear" w:color="auto" w:fill="auto"/>
                  <w:noWrap w:val="0"/>
                  <w:vAlign w:val="center"/>
                </w:tcPr>
                <w:p w14:paraId="7E3A1E63">
                  <w:pPr>
                    <w:autoSpaceDE w:val="0"/>
                    <w:autoSpaceDN w:val="0"/>
                    <w:adjustRightInd w:val="0"/>
                    <w:snapToGrid w:val="0"/>
                    <w:jc w:val="center"/>
                    <w:rPr>
                      <w:rFonts w:hint="eastAsia"/>
                      <w:kern w:val="24"/>
                      <w:szCs w:val="21"/>
                    </w:rPr>
                  </w:pPr>
                  <w:r>
                    <w:rPr>
                      <w:rFonts w:hint="eastAsia"/>
                      <w:kern w:val="24"/>
                      <w:szCs w:val="21"/>
                    </w:rPr>
                    <w:t>符合</w:t>
                  </w:r>
                </w:p>
              </w:tc>
            </w:tr>
            <w:tr w14:paraId="6F10C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 w:hRule="atLeast"/>
              </w:trPr>
              <w:tc>
                <w:tcPr>
                  <w:tcW w:w="923" w:type="pct"/>
                  <w:vMerge w:val="continue"/>
                  <w:shd w:val="clear" w:color="auto" w:fill="auto"/>
                  <w:noWrap w:val="0"/>
                  <w:vAlign w:val="center"/>
                </w:tcPr>
                <w:p w14:paraId="3380DBC5">
                  <w:pPr>
                    <w:jc w:val="center"/>
                    <w:rPr>
                      <w:rFonts w:ascii="Times New Roman" w:hAnsi="Times New Roman"/>
                      <w:color w:val="000000"/>
                      <w:szCs w:val="21"/>
                      <w:lang w:eastAsia="zh-HK"/>
                    </w:rPr>
                  </w:pPr>
                </w:p>
              </w:tc>
              <w:tc>
                <w:tcPr>
                  <w:tcW w:w="1953" w:type="pct"/>
                  <w:tcBorders>
                    <w:top w:val="single" w:color="auto" w:sz="4" w:space="0"/>
                    <w:bottom w:val="single" w:color="auto" w:sz="4" w:space="0"/>
                  </w:tcBorders>
                  <w:shd w:val="clear" w:color="auto" w:fill="auto"/>
                  <w:noWrap w:val="0"/>
                  <w:vAlign w:val="center"/>
                </w:tcPr>
                <w:p w14:paraId="09ACAC84">
                  <w:pPr>
                    <w:contextualSpacing/>
                    <w:rPr>
                      <w:rFonts w:hint="eastAsia"/>
                      <w:szCs w:val="21"/>
                    </w:rPr>
                  </w:pPr>
                  <w:r>
                    <w:rPr>
                      <w:rFonts w:hint="eastAsia"/>
                      <w:color w:val="000000"/>
                      <w:szCs w:val="21"/>
                    </w:rPr>
                    <w:t>严格执行《产业结构调整指导目录》，坚决遏制“两高”项目盲目发展。</w:t>
                  </w:r>
                </w:p>
              </w:tc>
              <w:tc>
                <w:tcPr>
                  <w:tcW w:w="1611" w:type="pct"/>
                  <w:tcBorders>
                    <w:top w:val="single" w:color="auto" w:sz="4" w:space="0"/>
                    <w:bottom w:val="single" w:color="auto" w:sz="4" w:space="0"/>
                  </w:tcBorders>
                  <w:shd w:val="clear" w:color="auto" w:fill="auto"/>
                  <w:noWrap w:val="0"/>
                  <w:vAlign w:val="center"/>
                </w:tcPr>
                <w:p w14:paraId="62D525A2">
                  <w:pPr>
                    <w:contextualSpacing/>
                    <w:rPr>
                      <w:rFonts w:hint="eastAsia"/>
                      <w:kern w:val="24"/>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要将现有甲醛回收系统产生的尾气，经加热炉燃烧后为萘系减水剂干燥提供热能，属于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w:t>
                  </w:r>
                  <w:r>
                    <w:rPr>
                      <w:rFonts w:hint="eastAsia" w:ascii="Times New Roman" w:hAnsi="Times New Roman"/>
                      <w:color w:val="000000"/>
                      <w:szCs w:val="21"/>
                    </w:rPr>
                    <w:t>，不属于</w:t>
                  </w:r>
                  <w:r>
                    <w:rPr>
                      <w:rFonts w:hint="eastAsia"/>
                      <w:color w:val="000000"/>
                      <w:szCs w:val="21"/>
                    </w:rPr>
                    <w:t>“两高”项目。</w:t>
                  </w:r>
                </w:p>
              </w:tc>
              <w:tc>
                <w:tcPr>
                  <w:tcW w:w="511" w:type="pct"/>
                  <w:tcBorders>
                    <w:top w:val="single" w:color="auto" w:sz="4" w:space="0"/>
                    <w:bottom w:val="single" w:color="auto" w:sz="4" w:space="0"/>
                  </w:tcBorders>
                  <w:shd w:val="clear" w:color="auto" w:fill="auto"/>
                  <w:noWrap w:val="0"/>
                  <w:vAlign w:val="center"/>
                </w:tcPr>
                <w:p w14:paraId="4EC10EBE">
                  <w:pPr>
                    <w:autoSpaceDE w:val="0"/>
                    <w:autoSpaceDN w:val="0"/>
                    <w:adjustRightInd w:val="0"/>
                    <w:snapToGrid w:val="0"/>
                    <w:jc w:val="center"/>
                    <w:rPr>
                      <w:rFonts w:hint="eastAsia"/>
                      <w:kern w:val="24"/>
                      <w:szCs w:val="21"/>
                    </w:rPr>
                  </w:pPr>
                  <w:r>
                    <w:rPr>
                      <w:rFonts w:hint="eastAsia"/>
                      <w:kern w:val="24"/>
                      <w:szCs w:val="21"/>
                    </w:rPr>
                    <w:t>符合</w:t>
                  </w:r>
                </w:p>
              </w:tc>
            </w:tr>
            <w:tr w14:paraId="37185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trPr>
              <w:tc>
                <w:tcPr>
                  <w:tcW w:w="923" w:type="pct"/>
                  <w:vMerge w:val="continue"/>
                  <w:shd w:val="clear" w:color="auto" w:fill="auto"/>
                  <w:noWrap w:val="0"/>
                  <w:vAlign w:val="center"/>
                </w:tcPr>
                <w:p w14:paraId="7788F589">
                  <w:pPr>
                    <w:jc w:val="center"/>
                    <w:rPr>
                      <w:rFonts w:ascii="Times New Roman" w:hAnsi="Times New Roman"/>
                      <w:color w:val="000000"/>
                      <w:szCs w:val="21"/>
                      <w:lang w:eastAsia="zh-HK"/>
                    </w:rPr>
                  </w:pPr>
                </w:p>
              </w:tc>
              <w:tc>
                <w:tcPr>
                  <w:tcW w:w="1953" w:type="pct"/>
                  <w:tcBorders>
                    <w:top w:val="single" w:color="auto" w:sz="4" w:space="0"/>
                  </w:tcBorders>
                  <w:shd w:val="clear" w:color="auto" w:fill="auto"/>
                  <w:noWrap w:val="0"/>
                  <w:vAlign w:val="center"/>
                </w:tcPr>
                <w:p w14:paraId="66344803">
                  <w:pPr>
                    <w:contextualSpacing/>
                    <w:rPr>
                      <w:rFonts w:hint="eastAsia"/>
                      <w:szCs w:val="21"/>
                    </w:rPr>
                  </w:pPr>
                  <w:r>
                    <w:rPr>
                      <w:rFonts w:hint="eastAsia" w:ascii="Times New Roman" w:hAnsi="Times New Roman"/>
                      <w:color w:val="000000"/>
                      <w:szCs w:val="21"/>
                    </w:rPr>
                    <w:t>严禁新增钢铁、焦化、水泥熟料、平板玻璃、电解铝、氧化铝、煤化工产能，合理控制煤制油气产能规模，严控新增炼油产能。</w:t>
                  </w:r>
                </w:p>
              </w:tc>
              <w:tc>
                <w:tcPr>
                  <w:tcW w:w="1611" w:type="pct"/>
                  <w:tcBorders>
                    <w:top w:val="single" w:color="auto" w:sz="4" w:space="0"/>
                  </w:tcBorders>
                  <w:shd w:val="clear" w:color="auto" w:fill="auto"/>
                  <w:noWrap w:val="0"/>
                  <w:vAlign w:val="center"/>
                </w:tcPr>
                <w:p w14:paraId="61BE9AEB">
                  <w:pPr>
                    <w:contextualSpacing/>
                    <w:rPr>
                      <w:rFonts w:hint="eastAsia" w:eastAsia="宋体"/>
                      <w:kern w:val="24"/>
                      <w:szCs w:val="21"/>
                      <w:lang w:val="en-US" w:eastAsia="zh-CN"/>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要将现有甲醛回收系统产生的尾气，经加热炉燃烧后为萘系减水剂干燥提供热能，属于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w:t>
                  </w:r>
                  <w:r>
                    <w:rPr>
                      <w:rFonts w:hint="eastAsia" w:ascii="Times New Roman" w:hAnsi="Times New Roman"/>
                      <w:color w:val="000000"/>
                      <w:szCs w:val="21"/>
                    </w:rPr>
                    <w:t>，不属于钢铁、焦化、水泥熟料、平板玻璃、电解铝、氧化铝、煤化工、炼油业</w:t>
                  </w:r>
                  <w:r>
                    <w:rPr>
                      <w:rFonts w:hint="eastAsia" w:ascii="Times New Roman" w:hAnsi="Times New Roman"/>
                      <w:color w:val="000000"/>
                      <w:szCs w:val="21"/>
                      <w:lang w:eastAsia="zh-CN"/>
                    </w:rPr>
                    <w:t>。</w:t>
                  </w:r>
                </w:p>
              </w:tc>
              <w:tc>
                <w:tcPr>
                  <w:tcW w:w="511" w:type="pct"/>
                  <w:tcBorders>
                    <w:top w:val="single" w:color="auto" w:sz="4" w:space="0"/>
                  </w:tcBorders>
                  <w:shd w:val="clear" w:color="auto" w:fill="auto"/>
                  <w:noWrap w:val="0"/>
                  <w:vAlign w:val="center"/>
                </w:tcPr>
                <w:p w14:paraId="7F21B446">
                  <w:pPr>
                    <w:autoSpaceDE w:val="0"/>
                    <w:autoSpaceDN w:val="0"/>
                    <w:adjustRightInd w:val="0"/>
                    <w:snapToGrid w:val="0"/>
                    <w:jc w:val="center"/>
                    <w:rPr>
                      <w:rFonts w:hint="eastAsia"/>
                      <w:kern w:val="24"/>
                      <w:szCs w:val="21"/>
                    </w:rPr>
                  </w:pPr>
                  <w:r>
                    <w:rPr>
                      <w:rFonts w:hint="eastAsia"/>
                      <w:kern w:val="24"/>
                      <w:szCs w:val="21"/>
                    </w:rPr>
                    <w:t>符合</w:t>
                  </w:r>
                </w:p>
              </w:tc>
            </w:tr>
          </w:tbl>
          <w:p w14:paraId="5E08C44F">
            <w:pPr>
              <w:autoSpaceDE w:val="0"/>
              <w:autoSpaceDN w:val="0"/>
              <w:spacing w:line="360" w:lineRule="auto"/>
              <w:ind w:firstLine="482" w:firstLineChars="200"/>
              <w:rPr>
                <w:rFonts w:ascii="Times New Roman" w:hAnsi="Times New Roman"/>
                <w:b/>
                <w:bCs/>
                <w:color w:val="000000"/>
                <w:sz w:val="24"/>
              </w:rPr>
            </w:pPr>
            <w:r>
              <w:rPr>
                <w:rFonts w:ascii="Times New Roman" w:hAnsi="Times New Roman"/>
                <w:b/>
                <w:bCs/>
                <w:color w:val="000000"/>
                <w:kern w:val="0"/>
                <w:sz w:val="24"/>
              </w:rPr>
              <w:t>3</w:t>
            </w:r>
            <w:r>
              <w:rPr>
                <w:rFonts w:hint="eastAsia"/>
                <w:b/>
                <w:bCs/>
                <w:color w:val="000000"/>
                <w:kern w:val="0"/>
                <w:sz w:val="24"/>
                <w:lang w:val="en-US" w:eastAsia="zh-CN"/>
              </w:rPr>
              <w:t>.</w:t>
            </w:r>
            <w:r>
              <w:rPr>
                <w:rFonts w:ascii="Times New Roman" w:hAnsi="Times New Roman"/>
                <w:b/>
                <w:bCs/>
                <w:color w:val="000000"/>
                <w:kern w:val="0"/>
                <w:sz w:val="24"/>
              </w:rPr>
              <w:t>与相关环保规划</w:t>
            </w:r>
            <w:r>
              <w:rPr>
                <w:rFonts w:ascii="Times New Roman" w:hAnsi="Times New Roman"/>
                <w:b/>
                <w:bCs/>
                <w:color w:val="000000"/>
                <w:sz w:val="24"/>
              </w:rPr>
              <w:t>符合性分析</w:t>
            </w:r>
          </w:p>
          <w:p w14:paraId="62591CDA">
            <w:pPr>
              <w:autoSpaceDE w:val="0"/>
              <w:autoSpaceDN w:val="0"/>
              <w:spacing w:line="360" w:lineRule="auto"/>
              <w:ind w:firstLine="480" w:firstLineChars="200"/>
              <w:rPr>
                <w:rFonts w:ascii="Times New Roman" w:hAnsi="Times New Roman"/>
                <w:color w:val="000000"/>
                <w:kern w:val="0"/>
                <w:sz w:val="24"/>
              </w:rPr>
            </w:pPr>
            <w:r>
              <w:rPr>
                <w:rFonts w:ascii="Times New Roman" w:hAnsi="Times New Roman"/>
                <w:color w:val="000000"/>
                <w:sz w:val="24"/>
              </w:rPr>
              <w:t>本项目与相关环</w:t>
            </w:r>
            <w:r>
              <w:rPr>
                <w:rFonts w:ascii="Times New Roman" w:hAnsi="Times New Roman"/>
                <w:color w:val="000000"/>
                <w:kern w:val="0"/>
                <w:sz w:val="24"/>
              </w:rPr>
              <w:t>保规划</w:t>
            </w:r>
            <w:r>
              <w:rPr>
                <w:rFonts w:hint="eastAsia"/>
                <w:color w:val="000000"/>
                <w:kern w:val="0"/>
                <w:sz w:val="24"/>
                <w:lang w:eastAsia="zh-CN"/>
              </w:rPr>
              <w:t>的</w:t>
            </w:r>
            <w:r>
              <w:rPr>
                <w:rFonts w:ascii="Times New Roman" w:hAnsi="Times New Roman"/>
                <w:color w:val="000000"/>
                <w:kern w:val="0"/>
                <w:sz w:val="24"/>
              </w:rPr>
              <w:t>符合性分析见表1-</w:t>
            </w:r>
            <w:r>
              <w:rPr>
                <w:rFonts w:hint="eastAsia" w:ascii="Times New Roman" w:hAnsi="Times New Roman"/>
                <w:color w:val="000000"/>
                <w:kern w:val="0"/>
                <w:sz w:val="24"/>
                <w:lang w:val="en-US" w:eastAsia="zh-CN"/>
              </w:rPr>
              <w:t>4</w:t>
            </w:r>
            <w:r>
              <w:rPr>
                <w:rFonts w:ascii="Times New Roman" w:hAnsi="Times New Roman"/>
                <w:color w:val="000000"/>
                <w:kern w:val="0"/>
                <w:sz w:val="24"/>
              </w:rPr>
              <w:t>。</w:t>
            </w:r>
          </w:p>
          <w:p w14:paraId="6D6BEB23">
            <w:pPr>
              <w:jc w:val="center"/>
              <w:textAlignment w:val="baseline"/>
              <w:rPr>
                <w:rFonts w:ascii="Times New Roman" w:hAnsi="Times New Roman"/>
                <w:b w:val="0"/>
                <w:bCs/>
                <w:color w:val="000000"/>
                <w:sz w:val="24"/>
              </w:rPr>
            </w:pPr>
            <w:r>
              <w:rPr>
                <w:rFonts w:ascii="Times New Roman" w:hAnsi="Times New Roman"/>
                <w:b w:val="0"/>
                <w:bCs/>
                <w:color w:val="000000"/>
                <w:sz w:val="24"/>
              </w:rPr>
              <w:t>表1-</w:t>
            </w:r>
            <w:r>
              <w:rPr>
                <w:rFonts w:hint="eastAsia" w:ascii="Times New Roman" w:hAnsi="Times New Roman"/>
                <w:b w:val="0"/>
                <w:bCs/>
                <w:color w:val="000000"/>
                <w:sz w:val="24"/>
                <w:lang w:val="en-US" w:eastAsia="zh-CN"/>
              </w:rPr>
              <w:t>4</w:t>
            </w:r>
            <w:r>
              <w:rPr>
                <w:rFonts w:ascii="Times New Roman" w:hAnsi="Times New Roman"/>
                <w:b w:val="0"/>
                <w:bCs/>
                <w:color w:val="000000"/>
                <w:sz w:val="24"/>
              </w:rPr>
              <w:t xml:space="preserve">  与规划符合性分析表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63"/>
              <w:gridCol w:w="2582"/>
              <w:gridCol w:w="2354"/>
              <w:gridCol w:w="868"/>
            </w:tblGrid>
            <w:tr w14:paraId="47B8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893" w:type="pct"/>
                  <w:shd w:val="clear" w:color="auto" w:fill="auto"/>
                  <w:noWrap w:val="0"/>
                  <w:vAlign w:val="center"/>
                </w:tcPr>
                <w:p w14:paraId="65C29A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名称</w:t>
                  </w:r>
                </w:p>
              </w:tc>
              <w:tc>
                <w:tcPr>
                  <w:tcW w:w="1827" w:type="pct"/>
                  <w:shd w:val="clear" w:color="auto" w:fill="auto"/>
                  <w:noWrap w:val="0"/>
                  <w:vAlign w:val="center"/>
                </w:tcPr>
                <w:p w14:paraId="3B52BDFF">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规划要求</w:t>
                  </w:r>
                </w:p>
              </w:tc>
              <w:tc>
                <w:tcPr>
                  <w:tcW w:w="1665" w:type="pct"/>
                  <w:shd w:val="clear" w:color="auto" w:fill="auto"/>
                  <w:noWrap w:val="0"/>
                  <w:vAlign w:val="center"/>
                </w:tcPr>
                <w:p w14:paraId="78950419">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本项目情况</w:t>
                  </w:r>
                </w:p>
              </w:tc>
              <w:tc>
                <w:tcPr>
                  <w:tcW w:w="614" w:type="pct"/>
                  <w:shd w:val="clear" w:color="auto" w:fill="auto"/>
                  <w:noWrap w:val="0"/>
                  <w:vAlign w:val="center"/>
                </w:tcPr>
                <w:p w14:paraId="487CF52D">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符合性</w:t>
                  </w:r>
                </w:p>
              </w:tc>
            </w:tr>
            <w:tr w14:paraId="7DDF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3" w:type="pct"/>
                  <w:vMerge w:val="restart"/>
                  <w:shd w:val="clear" w:color="auto" w:fill="auto"/>
                  <w:noWrap w:val="0"/>
                  <w:vAlign w:val="center"/>
                </w:tcPr>
                <w:p w14:paraId="7F49B8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《陕西省</w:t>
                  </w:r>
                  <w:r>
                    <w:rPr>
                      <w:rFonts w:hint="eastAsia" w:ascii="宋体" w:hAnsi="宋体" w:cs="宋体"/>
                      <w:color w:val="auto"/>
                      <w:szCs w:val="21"/>
                    </w:rPr>
                    <w:t>“十四五”</w:t>
                  </w:r>
                  <w:r>
                    <w:rPr>
                      <w:color w:val="auto"/>
                      <w:szCs w:val="21"/>
                    </w:rPr>
                    <w:t>生态环境保护规划》</w:t>
                  </w:r>
                </w:p>
              </w:tc>
              <w:tc>
                <w:tcPr>
                  <w:tcW w:w="1827" w:type="pct"/>
                  <w:shd w:val="clear" w:color="auto" w:fill="auto"/>
                  <w:noWrap w:val="0"/>
                  <w:vAlign w:val="center"/>
                </w:tcPr>
                <w:p w14:paraId="3831F7BD">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加强重点区域、重点时段、重点领域、重点行业治理，强化分区分时分类差异化精细化协同管控，推动细颗粒物浓度持续下降。</w:t>
                  </w:r>
                </w:p>
              </w:tc>
              <w:tc>
                <w:tcPr>
                  <w:tcW w:w="1665" w:type="pct"/>
                  <w:shd w:val="clear" w:color="auto" w:fill="auto"/>
                  <w:noWrap w:val="0"/>
                  <w:vAlign w:val="center"/>
                </w:tcPr>
                <w:p w14:paraId="13837532">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rFonts w:hint="eastAsia"/>
                      <w:color w:val="000000"/>
                      <w:sz w:val="21"/>
                      <w:szCs w:val="21"/>
                      <w:lang w:eastAsia="zh-CN"/>
                    </w:rPr>
                    <w:t>本项目主</w:t>
                  </w:r>
                  <w:r>
                    <w:rPr>
                      <w:rFonts w:hint="eastAsia" w:ascii="Times New Roman" w:hAnsi="Times New Roman" w:eastAsia="宋体" w:cs="Times New Roman"/>
                      <w:color w:val="000000"/>
                      <w:sz w:val="21"/>
                      <w:szCs w:val="21"/>
                      <w:lang w:eastAsia="zh-CN"/>
                    </w:rPr>
                    <w:t>要将现有甲醛回收系统产生的尾气，经加热炉燃烧后为萘系减水剂干燥提供热能，属于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w:t>
                  </w:r>
                  <w:r>
                    <w:rPr>
                      <w:color w:val="auto"/>
                      <w:szCs w:val="21"/>
                    </w:rPr>
                    <w:t>，</w:t>
                  </w:r>
                  <w:r>
                    <w:rPr>
                      <w:snapToGrid w:val="0"/>
                      <w:color w:val="auto"/>
                      <w:szCs w:val="21"/>
                    </w:rPr>
                    <w:t>不属于重点行业，</w:t>
                  </w:r>
                  <w:r>
                    <w:rPr>
                      <w:rFonts w:hint="eastAsia"/>
                      <w:snapToGrid w:val="0"/>
                      <w:color w:val="auto"/>
                      <w:szCs w:val="21"/>
                    </w:rPr>
                    <w:t>本项目</w:t>
                  </w:r>
                  <w:r>
                    <w:rPr>
                      <w:rFonts w:hint="eastAsia"/>
                      <w:snapToGrid w:val="0"/>
                      <w:color w:val="auto"/>
                      <w:szCs w:val="21"/>
                      <w:lang w:eastAsia="zh-CN"/>
                    </w:rPr>
                    <w:t>利用现有热源，减少污染物的排放，降低了能耗。</w:t>
                  </w:r>
                </w:p>
              </w:tc>
              <w:tc>
                <w:tcPr>
                  <w:tcW w:w="614" w:type="pct"/>
                  <w:shd w:val="clear" w:color="auto" w:fill="auto"/>
                  <w:noWrap w:val="0"/>
                  <w:vAlign w:val="center"/>
                </w:tcPr>
                <w:p w14:paraId="0B7EF310">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符合</w:t>
                  </w:r>
                </w:p>
              </w:tc>
            </w:tr>
            <w:tr w14:paraId="7E1C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93" w:type="pct"/>
                  <w:vMerge w:val="continue"/>
                  <w:shd w:val="clear" w:color="auto" w:fill="auto"/>
                  <w:noWrap w:val="0"/>
                  <w:vAlign w:val="center"/>
                </w:tcPr>
                <w:p w14:paraId="7289E7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1827" w:type="pct"/>
                  <w:shd w:val="clear" w:color="auto" w:fill="auto"/>
                  <w:noWrap w:val="0"/>
                  <w:vAlign w:val="center"/>
                </w:tcPr>
                <w:p w14:paraId="363C93DA">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加强固体废物源头减量和资源化利用，推广固体废物资源化、无害化处置新技术。</w:t>
                  </w:r>
                </w:p>
              </w:tc>
              <w:tc>
                <w:tcPr>
                  <w:tcW w:w="1665" w:type="pct"/>
                  <w:vMerge w:val="restart"/>
                  <w:shd w:val="clear" w:color="auto" w:fill="auto"/>
                  <w:noWrap w:val="0"/>
                  <w:vAlign w:val="center"/>
                </w:tcPr>
                <w:p w14:paraId="020B8DDC">
                  <w:pPr>
                    <w:pStyle w:val="6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r>
                    <w:rPr>
                      <w:color w:val="auto"/>
                      <w:szCs w:val="21"/>
                    </w:rPr>
                    <w:t>本项目</w:t>
                  </w:r>
                  <w:r>
                    <w:rPr>
                      <w:rFonts w:hint="eastAsia"/>
                      <w:color w:val="auto"/>
                      <w:szCs w:val="21"/>
                      <w:lang w:eastAsia="zh-CN"/>
                    </w:rPr>
                    <w:t>属于</w:t>
                  </w:r>
                  <w:r>
                    <w:rPr>
                      <w:rFonts w:hint="eastAsia" w:ascii="Times New Roman" w:hAnsi="Times New Roman" w:eastAsia="宋体" w:cs="Times New Roman"/>
                      <w:color w:val="000000"/>
                      <w:sz w:val="21"/>
                      <w:szCs w:val="21"/>
                      <w:lang w:eastAsia="zh-CN"/>
                    </w:rPr>
                    <w:t>现有甲醛回收系统产生的尾气，经加热炉燃烧后为萘系减水剂干燥提供热能，属于</w:t>
                  </w:r>
                  <w:r>
                    <w:rPr>
                      <w:rFonts w:hAnsi="宋体"/>
                      <w:kern w:val="0"/>
                      <w:sz w:val="21"/>
                      <w:szCs w:val="21"/>
                      <w:shd w:val="clear" w:color="auto" w:fill="FFFFFF"/>
                    </w:rPr>
                    <w:t>供</w:t>
                  </w:r>
                  <w:r>
                    <w:rPr>
                      <w:rFonts w:hint="eastAsia" w:ascii="Times New Roman" w:hAnsi="Times New Roman" w:eastAsia="宋体" w:cs="Times New Roman"/>
                      <w:color w:val="000000"/>
                      <w:sz w:val="21"/>
                      <w:szCs w:val="21"/>
                      <w:lang w:eastAsia="zh-CN"/>
                    </w:rPr>
                    <w:t>热工程</w:t>
                  </w:r>
                  <w:r>
                    <w:rPr>
                      <w:color w:val="auto"/>
                      <w:szCs w:val="21"/>
                    </w:rPr>
                    <w:t>，</w:t>
                  </w:r>
                  <w:r>
                    <w:rPr>
                      <w:rFonts w:hint="eastAsia"/>
                      <w:color w:val="auto"/>
                      <w:szCs w:val="21"/>
                      <w:lang w:eastAsia="zh-CN"/>
                    </w:rPr>
                    <w:t>生产过程中不产生一般工业固废</w:t>
                  </w:r>
                  <w:r>
                    <w:rPr>
                      <w:rFonts w:hint="eastAsia"/>
                      <w:color w:val="auto"/>
                      <w:szCs w:val="21"/>
                    </w:rPr>
                    <w:t>，</w:t>
                  </w:r>
                  <w:r>
                    <w:rPr>
                      <w:rFonts w:hint="eastAsia"/>
                      <w:color w:val="auto"/>
                      <w:szCs w:val="21"/>
                      <w:lang w:eastAsia="zh-CN"/>
                    </w:rPr>
                    <w:t>同时本项目</w:t>
                  </w:r>
                  <w:r>
                    <w:rPr>
                      <w:rFonts w:hint="eastAsia"/>
                      <w:snapToGrid w:val="0"/>
                      <w:color w:val="auto"/>
                      <w:szCs w:val="21"/>
                      <w:lang w:eastAsia="zh-CN"/>
                    </w:rPr>
                    <w:t>利用现有热源，减少污染物的排放，降低了能耗。</w:t>
                  </w:r>
                </w:p>
              </w:tc>
              <w:tc>
                <w:tcPr>
                  <w:tcW w:w="614" w:type="pct"/>
                  <w:shd w:val="clear" w:color="auto" w:fill="auto"/>
                  <w:noWrap w:val="0"/>
                  <w:vAlign w:val="center"/>
                </w:tcPr>
                <w:p w14:paraId="12DF58C0">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符合</w:t>
                  </w:r>
                </w:p>
              </w:tc>
            </w:tr>
            <w:tr w14:paraId="04EC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93" w:type="pct"/>
                  <w:shd w:val="clear" w:color="auto" w:fill="auto"/>
                  <w:noWrap w:val="0"/>
                  <w:vAlign w:val="center"/>
                </w:tcPr>
                <w:p w14:paraId="11447F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《宝鸡市</w:t>
                  </w:r>
                  <w:r>
                    <w:rPr>
                      <w:rFonts w:hint="eastAsia" w:ascii="宋体" w:hAnsi="宋体" w:cs="宋体"/>
                      <w:color w:val="auto"/>
                      <w:szCs w:val="21"/>
                    </w:rPr>
                    <w:t>“十四五”</w:t>
                  </w:r>
                  <w:r>
                    <w:rPr>
                      <w:color w:val="auto"/>
                      <w:szCs w:val="21"/>
                    </w:rPr>
                    <w:t>生态环境保护规划》</w:t>
                  </w:r>
                </w:p>
              </w:tc>
              <w:tc>
                <w:tcPr>
                  <w:tcW w:w="1827" w:type="pct"/>
                  <w:shd w:val="clear" w:color="auto" w:fill="auto"/>
                  <w:noWrap w:val="0"/>
                  <w:vAlign w:val="center"/>
                </w:tcPr>
                <w:p w14:paraId="1A84C0F6">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强化涉固体废物建设项目的环境准入管理，从源头杜绝工业固体废物产生量大且综合利用率低，难以实现经济效益、环境效益和社会效益相协调的项目落地。</w:t>
                  </w:r>
                </w:p>
              </w:tc>
              <w:tc>
                <w:tcPr>
                  <w:tcW w:w="1665" w:type="pct"/>
                  <w:vMerge w:val="continue"/>
                  <w:shd w:val="clear" w:color="auto" w:fill="auto"/>
                  <w:noWrap w:val="0"/>
                  <w:vAlign w:val="center"/>
                </w:tcPr>
                <w:p w14:paraId="13F44A94">
                  <w:pPr>
                    <w:pStyle w:val="6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p>
              </w:tc>
              <w:tc>
                <w:tcPr>
                  <w:tcW w:w="614" w:type="pct"/>
                  <w:shd w:val="clear" w:color="auto" w:fill="auto"/>
                  <w:noWrap w:val="0"/>
                  <w:vAlign w:val="center"/>
                </w:tcPr>
                <w:p w14:paraId="1B1DD203">
                  <w:pPr>
                    <w:pStyle w:val="64"/>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符合</w:t>
                  </w:r>
                </w:p>
              </w:tc>
            </w:tr>
          </w:tbl>
          <w:p w14:paraId="30BDCA5D">
            <w:pPr>
              <w:pStyle w:val="9"/>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kern w:val="24"/>
                <w:sz w:val="24"/>
              </w:rPr>
            </w:pPr>
            <w:r>
              <w:rPr>
                <w:rFonts w:hint="eastAsia"/>
                <w:b/>
                <w:bCs/>
                <w:kern w:val="0"/>
                <w:sz w:val="24"/>
                <w:lang w:val="en-US" w:eastAsia="zh-CN"/>
              </w:rPr>
              <w:t>4.</w:t>
            </w:r>
            <w:r>
              <w:rPr>
                <w:rFonts w:hint="eastAsia"/>
                <w:b/>
                <w:bCs/>
                <w:kern w:val="24"/>
                <w:sz w:val="24"/>
              </w:rPr>
              <w:t>选址合理性分析</w:t>
            </w:r>
          </w:p>
          <w:p w14:paraId="608CB07A">
            <w:pPr>
              <w:pStyle w:val="1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Cs w:val="24"/>
              </w:rPr>
            </w:pPr>
            <w:bookmarkStart w:id="6" w:name="_Toc2267"/>
            <w:r>
              <w:rPr>
                <w:rFonts w:hint="eastAsia" w:ascii="宋体" w:hAnsi="宋体" w:cs="宋体"/>
                <w:szCs w:val="24"/>
              </w:rPr>
              <w:t>⑴</w:t>
            </w:r>
            <w:r>
              <w:rPr>
                <w:szCs w:val="24"/>
              </w:rPr>
              <w:t>项目用地分析</w:t>
            </w:r>
            <w:bookmarkEnd w:id="6"/>
          </w:p>
          <w:p w14:paraId="3A2A355C">
            <w:pPr>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bookmarkStart w:id="7" w:name="_Toc30567"/>
            <w:r>
              <w:rPr>
                <w:rFonts w:ascii="Times New Roman" w:hAnsi="Times New Roman"/>
                <w:color w:val="000000"/>
                <w:sz w:val="24"/>
              </w:rPr>
              <w:t>本项目建设用地位于</w:t>
            </w:r>
            <w:r>
              <w:rPr>
                <w:rFonts w:hint="eastAsia" w:ascii="Times New Roman" w:hAnsi="Times New Roman"/>
                <w:color w:val="000000"/>
                <w:sz w:val="24"/>
              </w:rPr>
              <w:t>陕西省宝鸡市凤翔区长青工业园区创业西路3号</w:t>
            </w:r>
            <w:r>
              <w:rPr>
                <w:rFonts w:ascii="Times New Roman" w:hAnsi="Times New Roman"/>
                <w:color w:val="000000"/>
                <w:sz w:val="24"/>
              </w:rPr>
              <w:t>，地理坐标：107°</w:t>
            </w:r>
            <w:r>
              <w:rPr>
                <w:rFonts w:hint="eastAsia" w:ascii="Times New Roman" w:hAnsi="Times New Roman"/>
                <w:color w:val="000000"/>
                <w:sz w:val="24"/>
              </w:rPr>
              <w:t>15</w:t>
            </w:r>
            <w:r>
              <w:rPr>
                <w:rFonts w:ascii="Times New Roman" w:hAnsi="Times New Roman"/>
                <w:color w:val="000000"/>
                <w:sz w:val="24"/>
              </w:rPr>
              <w:t>′</w:t>
            </w:r>
            <w:r>
              <w:rPr>
                <w:rFonts w:hint="eastAsia" w:ascii="Times New Roman" w:hAnsi="Times New Roman"/>
                <w:color w:val="000000"/>
                <w:sz w:val="24"/>
              </w:rPr>
              <w:t>35</w:t>
            </w:r>
            <w:r>
              <w:rPr>
                <w:rFonts w:ascii="Times New Roman" w:hAnsi="Times New Roman"/>
                <w:color w:val="000000"/>
                <w:sz w:val="24"/>
              </w:rPr>
              <w:t>.</w:t>
            </w:r>
            <w:r>
              <w:rPr>
                <w:rFonts w:hint="eastAsia" w:ascii="Times New Roman" w:hAnsi="Times New Roman"/>
                <w:color w:val="000000"/>
                <w:sz w:val="24"/>
              </w:rPr>
              <w:t>513</w:t>
            </w:r>
            <w:r>
              <w:rPr>
                <w:rFonts w:ascii="Times New Roman" w:hAnsi="Times New Roman"/>
                <w:color w:val="000000"/>
                <w:sz w:val="24"/>
              </w:rPr>
              <w:t>″E，34°</w:t>
            </w:r>
            <w:r>
              <w:rPr>
                <w:rFonts w:hint="eastAsia" w:ascii="Times New Roman" w:hAnsi="Times New Roman"/>
                <w:color w:val="000000"/>
                <w:sz w:val="24"/>
              </w:rPr>
              <w:t>28</w:t>
            </w:r>
            <w:r>
              <w:rPr>
                <w:rFonts w:ascii="Times New Roman" w:hAnsi="Times New Roman"/>
                <w:color w:val="000000"/>
                <w:sz w:val="24"/>
              </w:rPr>
              <w:t>′</w:t>
            </w:r>
            <w:r>
              <w:rPr>
                <w:rFonts w:hint="eastAsia" w:ascii="Times New Roman" w:hAnsi="Times New Roman"/>
                <w:color w:val="000000"/>
                <w:sz w:val="24"/>
              </w:rPr>
              <w:t>1.046</w:t>
            </w:r>
            <w:r>
              <w:rPr>
                <w:rFonts w:ascii="Times New Roman" w:hAnsi="Times New Roman"/>
                <w:color w:val="000000"/>
                <w:sz w:val="24"/>
              </w:rPr>
              <w:t>″N。</w:t>
            </w:r>
            <w:r>
              <w:rPr>
                <w:rFonts w:hint="eastAsia"/>
                <w:sz w:val="24"/>
              </w:rPr>
              <w:t>项目在原厂区内建设，不新增用地。</w:t>
            </w:r>
          </w:p>
          <w:p w14:paraId="5374BF59">
            <w:pPr>
              <w:pStyle w:val="1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宋体" w:hAnsi="宋体" w:cs="宋体"/>
                <w:szCs w:val="24"/>
              </w:rPr>
              <w:t>⑵</w:t>
            </w:r>
            <w:r>
              <w:rPr>
                <w:rFonts w:hint="default" w:ascii="Times New Roman" w:hAnsi="Times New Roman" w:eastAsia="宋体" w:cs="Times New Roman"/>
                <w:color w:val="auto"/>
                <w:sz w:val="24"/>
                <w:highlight w:val="none"/>
                <w:lang w:val="zh-CN" w:eastAsia="zh-CN"/>
              </w:rPr>
              <w:t>环境敏感性：本项目位于</w:t>
            </w:r>
            <w:r>
              <w:rPr>
                <w:rFonts w:hint="eastAsia" w:ascii="Times New Roman" w:hAnsi="Times New Roman"/>
                <w:color w:val="000000"/>
                <w:sz w:val="24"/>
              </w:rPr>
              <w:t>陕西省宝鸡市凤翔区长青工业园区创业西路3号</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项目所在区域不属于自然保护区、森林公园、风景名胜区、世界文化自然遗产、地质公园等禁止开发的生态红线区、重点保护生态红线区以及脆弱生态保护红线区内，项目建设不会占用生态红线保护区。</w:t>
            </w:r>
          </w:p>
          <w:p w14:paraId="1CE529F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sz w:val="24"/>
                <w:highlight w:val="none"/>
                <w:lang w:val="zh-CN" w:eastAsia="zh-CN"/>
              </w:rPr>
              <w:t>⑶</w:t>
            </w:r>
            <w:r>
              <w:rPr>
                <w:rFonts w:hint="default" w:ascii="Times New Roman" w:hAnsi="Times New Roman" w:eastAsia="宋体" w:cs="Times New Roman"/>
                <w:color w:val="auto"/>
                <w:sz w:val="24"/>
                <w:highlight w:val="none"/>
                <w:lang w:val="zh-CN" w:eastAsia="zh-CN"/>
              </w:rPr>
              <w:t>环境区划功能符合性：</w:t>
            </w:r>
            <w:r>
              <w:rPr>
                <w:rFonts w:hint="default" w:ascii="Times New Roman" w:hAnsi="Times New Roman" w:eastAsia="宋体" w:cs="Times New Roman"/>
                <w:color w:val="auto"/>
                <w:sz w:val="24"/>
                <w:highlight w:val="none"/>
              </w:rPr>
              <w:t>项目所在区域为环境空气质量二类功能区，地表水环境Ⅲ类区，声环境</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类区</w:t>
            </w:r>
            <w:r>
              <w:rPr>
                <w:rFonts w:hint="default" w:ascii="Times New Roman" w:hAnsi="Times New Roman" w:eastAsia="宋体" w:cs="Times New Roman"/>
                <w:color w:val="auto"/>
                <w:kern w:val="0"/>
                <w:sz w:val="24"/>
                <w:szCs w:val="24"/>
                <w:highlight w:val="none"/>
              </w:rPr>
              <w:t>。本项目建设不会改变区域环境功能。</w:t>
            </w:r>
          </w:p>
          <w:bookmarkEnd w:id="7"/>
          <w:p w14:paraId="420BC02E">
            <w:pPr>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lang w:val="en-GB"/>
              </w:rPr>
            </w:pPr>
            <w:r>
              <w:rPr>
                <w:sz w:val="24"/>
                <w:lang w:val="en-GB"/>
              </w:rPr>
              <w:t>综上所述，从环境保护角度分析，评价认为项目厂址的选择是可行的。</w:t>
            </w:r>
          </w:p>
          <w:p w14:paraId="225F6508">
            <w:pPr>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lang w:val="en-GB"/>
              </w:rPr>
            </w:pPr>
          </w:p>
          <w:p w14:paraId="37E37A19">
            <w:pPr>
              <w:spacing w:line="500" w:lineRule="exact"/>
              <w:ind w:firstLine="480" w:firstLineChars="200"/>
              <w:rPr>
                <w:rFonts w:hint="eastAsia"/>
                <w:sz w:val="24"/>
                <w:lang w:val="en-GB"/>
              </w:rPr>
            </w:pPr>
          </w:p>
          <w:p w14:paraId="6CD42F2A">
            <w:pPr>
              <w:spacing w:line="500" w:lineRule="exact"/>
              <w:ind w:firstLine="480" w:firstLineChars="200"/>
              <w:rPr>
                <w:rFonts w:hint="eastAsia"/>
                <w:sz w:val="24"/>
                <w:lang w:val="en-GB"/>
              </w:rPr>
            </w:pPr>
          </w:p>
          <w:p w14:paraId="6CDFC6D8">
            <w:pPr>
              <w:spacing w:line="500" w:lineRule="exact"/>
              <w:ind w:firstLine="480" w:firstLineChars="200"/>
              <w:rPr>
                <w:rFonts w:hint="eastAsia"/>
                <w:sz w:val="24"/>
                <w:lang w:val="en-GB"/>
              </w:rPr>
            </w:pPr>
          </w:p>
          <w:p w14:paraId="398EC5F0">
            <w:pPr>
              <w:spacing w:line="500" w:lineRule="exact"/>
              <w:ind w:firstLine="480" w:firstLineChars="200"/>
              <w:rPr>
                <w:rFonts w:hint="eastAsia"/>
                <w:sz w:val="24"/>
                <w:lang w:val="en-GB"/>
              </w:rPr>
            </w:pPr>
          </w:p>
          <w:p w14:paraId="5AA97992">
            <w:pPr>
              <w:spacing w:line="500" w:lineRule="exact"/>
              <w:ind w:firstLine="480" w:firstLineChars="200"/>
              <w:rPr>
                <w:rFonts w:hint="eastAsia"/>
                <w:sz w:val="24"/>
                <w:lang w:val="en-GB"/>
              </w:rPr>
            </w:pPr>
          </w:p>
          <w:p w14:paraId="13C296C7">
            <w:pPr>
              <w:spacing w:line="500" w:lineRule="exact"/>
              <w:ind w:firstLine="480" w:firstLineChars="200"/>
              <w:rPr>
                <w:rFonts w:hint="eastAsia"/>
                <w:sz w:val="24"/>
                <w:lang w:val="en-GB"/>
              </w:rPr>
            </w:pPr>
          </w:p>
          <w:p w14:paraId="7DFD2753">
            <w:pPr>
              <w:spacing w:line="500" w:lineRule="exact"/>
              <w:ind w:firstLine="480" w:firstLineChars="200"/>
              <w:rPr>
                <w:rFonts w:hint="eastAsia"/>
                <w:sz w:val="24"/>
                <w:lang w:val="en-GB"/>
              </w:rPr>
            </w:pPr>
          </w:p>
          <w:p w14:paraId="42BD99E9">
            <w:pPr>
              <w:spacing w:line="500" w:lineRule="exact"/>
              <w:ind w:firstLine="480" w:firstLineChars="200"/>
              <w:rPr>
                <w:rFonts w:hint="eastAsia"/>
                <w:sz w:val="24"/>
                <w:lang w:val="en-GB"/>
              </w:rPr>
            </w:pPr>
          </w:p>
          <w:p w14:paraId="233614A2">
            <w:pPr>
              <w:spacing w:line="500" w:lineRule="exact"/>
              <w:rPr>
                <w:rFonts w:ascii="宋体" w:hAnsi="宋体" w:cs="宋体"/>
                <w:kern w:val="0"/>
                <w:sz w:val="24"/>
              </w:rPr>
            </w:pPr>
          </w:p>
        </w:tc>
      </w:tr>
    </w:tbl>
    <w:p w14:paraId="042BDDF1">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25214EB">
      <w:pPr>
        <w:pStyle w:val="36"/>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4"/>
        <w:gridCol w:w="8386"/>
      </w:tblGrid>
      <w:tr w14:paraId="7A357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65" w:hRule="atLeast"/>
          <w:jc w:val="center"/>
        </w:trPr>
        <w:tc>
          <w:tcPr>
            <w:tcW w:w="738" w:type="dxa"/>
            <w:shd w:val="clear" w:color="auto" w:fill="auto"/>
            <w:noWrap w:val="0"/>
            <w:vAlign w:val="center"/>
          </w:tcPr>
          <w:p w14:paraId="58BB40AD">
            <w:pPr>
              <w:pStyle w:val="36"/>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建设内容</w:t>
            </w:r>
          </w:p>
        </w:tc>
        <w:tc>
          <w:tcPr>
            <w:tcW w:w="8322" w:type="dxa"/>
            <w:shd w:val="clear" w:color="auto" w:fill="auto"/>
            <w:noWrap w:val="0"/>
            <w:vAlign w:val="top"/>
          </w:tcPr>
          <w:p w14:paraId="297EA0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szCs w:val="24"/>
              </w:rPr>
            </w:pPr>
            <w:r>
              <w:rPr>
                <w:b/>
                <w:kern w:val="0"/>
                <w:sz w:val="24"/>
                <w:szCs w:val="24"/>
              </w:rPr>
              <w:t>1</w:t>
            </w:r>
            <w:r>
              <w:rPr>
                <w:rFonts w:hint="eastAsia" w:hAnsi="宋体"/>
                <w:b/>
                <w:kern w:val="0"/>
                <w:sz w:val="24"/>
                <w:szCs w:val="24"/>
                <w:lang w:val="en-US" w:eastAsia="zh-CN"/>
              </w:rPr>
              <w:t>.</w:t>
            </w:r>
            <w:r>
              <w:rPr>
                <w:rFonts w:hint="eastAsia" w:hAnsi="宋体"/>
                <w:b/>
                <w:kern w:val="0"/>
                <w:sz w:val="24"/>
                <w:szCs w:val="24"/>
                <w:lang w:eastAsia="zh-CN"/>
              </w:rPr>
              <w:t>企业概况和</w:t>
            </w:r>
            <w:r>
              <w:rPr>
                <w:rFonts w:hAnsi="宋体"/>
                <w:b/>
                <w:kern w:val="0"/>
                <w:sz w:val="24"/>
                <w:szCs w:val="24"/>
              </w:rPr>
              <w:t>项目由来</w:t>
            </w:r>
          </w:p>
          <w:p w14:paraId="202444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Ansi="宋体"/>
                <w:sz w:val="24"/>
                <w:szCs w:val="24"/>
              </w:rPr>
            </w:pPr>
            <w:r>
              <w:rPr>
                <w:rFonts w:hint="eastAsia" w:hAnsi="宋体"/>
                <w:sz w:val="24"/>
                <w:szCs w:val="24"/>
              </w:rPr>
              <w:t>⑴企业概况</w:t>
            </w:r>
          </w:p>
          <w:p w14:paraId="2FB48F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sz w:val="24"/>
              </w:rPr>
            </w:pPr>
            <w:r>
              <w:rPr>
                <w:rFonts w:hint="eastAsia"/>
                <w:bCs/>
                <w:sz w:val="24"/>
                <w:szCs w:val="24"/>
                <w:lang w:eastAsia="zh-CN"/>
              </w:rPr>
              <w:t>宝鸡靖源科技发展有限责任公司（以下简称“靖源科技”）位于</w:t>
            </w:r>
            <w:r>
              <w:rPr>
                <w:bCs/>
                <w:sz w:val="24"/>
                <w:szCs w:val="24"/>
                <w:lang w:val="en-US" w:eastAsia="zh-CN"/>
              </w:rPr>
              <w:t>陕西省宝鸡市凤翔县长青工业园区创业西路3号</w:t>
            </w:r>
            <w:r>
              <w:rPr>
                <w:rFonts w:hint="eastAsia"/>
                <w:bCs/>
                <w:sz w:val="24"/>
                <w:szCs w:val="24"/>
                <w:lang w:val="en-US" w:eastAsia="zh-CN"/>
              </w:rPr>
              <w:t>。</w:t>
            </w:r>
            <w:r>
              <w:rPr>
                <w:rFonts w:hint="eastAsia"/>
                <w:bCs/>
                <w:sz w:val="24"/>
                <w:szCs w:val="24"/>
                <w:lang w:eastAsia="zh-CN"/>
              </w:rPr>
              <w:t>主要经营</w:t>
            </w:r>
            <w:r>
              <w:rPr>
                <w:rFonts w:hint="eastAsia"/>
                <w:bCs/>
                <w:sz w:val="24"/>
                <w:szCs w:val="24"/>
                <w:lang w:val="en-US" w:eastAsia="zh-CN"/>
              </w:rPr>
              <w:t>：专用化学产品制造；水泥制品制造。厂区内建设有</w:t>
            </w:r>
            <w:r>
              <w:rPr>
                <w:sz w:val="24"/>
                <w:szCs w:val="24"/>
              </w:rPr>
              <w:t>萘系减水剂</w:t>
            </w:r>
            <w:r>
              <w:rPr>
                <w:rFonts w:hint="eastAsia"/>
                <w:bCs/>
                <w:sz w:val="24"/>
                <w:szCs w:val="24"/>
                <w:lang w:val="en-US" w:eastAsia="zh-CN"/>
              </w:rPr>
              <w:t>生产线、</w:t>
            </w:r>
            <w:r>
              <w:rPr>
                <w:rFonts w:hint="eastAsia"/>
                <w:sz w:val="24"/>
                <w:szCs w:val="24"/>
              </w:rPr>
              <w:t>聚羧酸减水剂</w:t>
            </w:r>
            <w:r>
              <w:rPr>
                <w:rFonts w:hint="eastAsia"/>
                <w:bCs/>
                <w:sz w:val="24"/>
                <w:szCs w:val="24"/>
                <w:lang w:val="en-US" w:eastAsia="zh-CN"/>
              </w:rPr>
              <w:t>生产线、甲醛生产线</w:t>
            </w:r>
            <w:r>
              <w:rPr>
                <w:rFonts w:hint="eastAsia"/>
                <w:lang w:eastAsia="zh-CN"/>
              </w:rPr>
              <w:t>。</w:t>
            </w:r>
            <w:r>
              <w:rPr>
                <w:rFonts w:hint="eastAsia"/>
                <w:bCs/>
                <w:sz w:val="24"/>
                <w:szCs w:val="24"/>
                <w:lang w:val="en-US" w:eastAsia="zh-CN"/>
              </w:rPr>
              <w:t>公司自建成以来，</w:t>
            </w:r>
            <w:r>
              <w:rPr>
                <w:rFonts w:hAnsi="宋体"/>
                <w:sz w:val="24"/>
              </w:rPr>
              <w:t>共完成</w:t>
            </w:r>
            <w:r>
              <w:rPr>
                <w:rFonts w:hint="eastAsia" w:hAnsi="宋体"/>
                <w:sz w:val="24"/>
              </w:rPr>
              <w:t>2次建设项目的环评手续</w:t>
            </w:r>
            <w:r>
              <w:rPr>
                <w:rFonts w:hAnsi="宋体"/>
                <w:sz w:val="24"/>
              </w:rPr>
              <w:t>，</w:t>
            </w:r>
            <w:r>
              <w:rPr>
                <w:rFonts w:hint="eastAsia"/>
                <w:bCs/>
                <w:sz w:val="24"/>
                <w:szCs w:val="24"/>
                <w:lang w:eastAsia="zh-CN"/>
              </w:rPr>
              <w:t>2017年8月委托完成了《年产10万吨减水剂和5万吨甲醛项目环境影响报告书》，2017年11月7日，原宝鸡市环境保护局以宝市环函</w:t>
            </w:r>
            <w:r>
              <w:rPr>
                <w:rFonts w:hint="eastAsia"/>
                <w:bCs/>
                <w:spacing w:val="4"/>
                <w:sz w:val="24"/>
                <w:szCs w:val="24"/>
              </w:rPr>
              <w:t>〔</w:t>
            </w:r>
            <w:r>
              <w:rPr>
                <w:bCs/>
                <w:spacing w:val="4"/>
                <w:sz w:val="24"/>
                <w:szCs w:val="24"/>
              </w:rPr>
              <w:t>2017</w:t>
            </w:r>
            <w:r>
              <w:rPr>
                <w:rFonts w:hint="eastAsia"/>
                <w:bCs/>
                <w:spacing w:val="4"/>
                <w:sz w:val="24"/>
                <w:szCs w:val="24"/>
              </w:rPr>
              <w:t>〕</w:t>
            </w:r>
            <w:r>
              <w:rPr>
                <w:rFonts w:hint="eastAsia"/>
                <w:bCs/>
                <w:sz w:val="24"/>
                <w:szCs w:val="24"/>
                <w:lang w:eastAsia="zh-CN"/>
              </w:rPr>
              <w:t>449号予以批复。2018年</w:t>
            </w:r>
            <w:r>
              <w:rPr>
                <w:rFonts w:hint="eastAsia"/>
                <w:bCs/>
                <w:sz w:val="24"/>
                <w:szCs w:val="24"/>
                <w:lang w:val="en-US" w:eastAsia="zh-CN"/>
              </w:rPr>
              <w:t>7</w:t>
            </w:r>
            <w:r>
              <w:rPr>
                <w:rFonts w:hint="eastAsia"/>
                <w:bCs/>
                <w:sz w:val="24"/>
                <w:szCs w:val="24"/>
                <w:lang w:eastAsia="zh-CN"/>
              </w:rPr>
              <w:t>月，建设单位对该项目中废气和废水进行了竣工环境保护验收。2020年11月对该项目的噪声和固体废物进行了竣工环境保护验收。20</w:t>
            </w:r>
            <w:r>
              <w:rPr>
                <w:rFonts w:hint="eastAsia"/>
                <w:bCs/>
                <w:sz w:val="24"/>
                <w:szCs w:val="24"/>
                <w:lang w:val="en-US" w:eastAsia="zh-CN"/>
              </w:rPr>
              <w:t>20</w:t>
            </w:r>
            <w:r>
              <w:rPr>
                <w:rFonts w:hint="eastAsia"/>
                <w:bCs/>
                <w:sz w:val="24"/>
                <w:szCs w:val="24"/>
                <w:lang w:eastAsia="zh-CN"/>
              </w:rPr>
              <w:t>年</w:t>
            </w:r>
            <w:r>
              <w:rPr>
                <w:rFonts w:hint="eastAsia"/>
                <w:bCs/>
                <w:sz w:val="24"/>
                <w:szCs w:val="24"/>
                <w:lang w:val="en-US" w:eastAsia="zh-CN"/>
              </w:rPr>
              <w:t>4</w:t>
            </w:r>
            <w:r>
              <w:rPr>
                <w:rFonts w:hint="eastAsia"/>
                <w:bCs/>
                <w:sz w:val="24"/>
                <w:szCs w:val="24"/>
                <w:lang w:eastAsia="zh-CN"/>
              </w:rPr>
              <w:t>月委托编制完成了《</w:t>
            </w:r>
            <w:r>
              <w:rPr>
                <w:rFonts w:hint="eastAsia"/>
                <w:bCs/>
                <w:kern w:val="0"/>
                <w:sz w:val="24"/>
                <w:szCs w:val="24"/>
              </w:rPr>
              <w:t>年产20万吨聚羧酸减水剂和5万吨脲醛胶扩建项目</w:t>
            </w:r>
            <w:r>
              <w:rPr>
                <w:rFonts w:hint="eastAsia"/>
                <w:bCs/>
                <w:sz w:val="24"/>
                <w:szCs w:val="24"/>
                <w:lang w:eastAsia="zh-CN"/>
              </w:rPr>
              <w:t>环境影响报告书》，</w:t>
            </w:r>
            <w:r>
              <w:rPr>
                <w:rFonts w:ascii="Times New Roman" w:hAnsi="Times New Roman"/>
                <w:color w:val="000000"/>
                <w:sz w:val="24"/>
                <w:szCs w:val="24"/>
              </w:rPr>
              <w:t>2021年2月4日</w:t>
            </w:r>
            <w:r>
              <w:rPr>
                <w:rFonts w:hint="eastAsia" w:ascii="Times New Roman" w:hAnsi="Times New Roman"/>
                <w:color w:val="000000"/>
                <w:sz w:val="24"/>
                <w:szCs w:val="24"/>
                <w:lang w:eastAsia="zh-CN"/>
              </w:rPr>
              <w:t>取得环评批复，批复文号为</w:t>
            </w:r>
            <w:r>
              <w:rPr>
                <w:rFonts w:ascii="Times New Roman" w:hAnsi="Times New Roman"/>
                <w:color w:val="000000"/>
                <w:sz w:val="24"/>
                <w:szCs w:val="24"/>
              </w:rPr>
              <w:t>宝审服环字〔2021〕36号</w:t>
            </w:r>
            <w:r>
              <w:rPr>
                <w:rFonts w:hint="eastAsia" w:ascii="Times New Roman" w:hAnsi="Times New Roman"/>
                <w:color w:val="000000"/>
                <w:sz w:val="24"/>
                <w:szCs w:val="24"/>
                <w:lang w:eastAsia="zh-CN"/>
              </w:rPr>
              <w:t>。</w:t>
            </w:r>
            <w:r>
              <w:rPr>
                <w:rFonts w:hint="eastAsia" w:ascii="Times New Roman" w:hAnsi="Times New Roman"/>
                <w:color w:val="000000"/>
                <w:sz w:val="24"/>
              </w:rPr>
              <w:t>目前二期项目《</w:t>
            </w:r>
            <w:r>
              <w:rPr>
                <w:rFonts w:ascii="Times New Roman" w:hAnsi="Times New Roman"/>
                <w:color w:val="000000"/>
                <w:sz w:val="24"/>
              </w:rPr>
              <w:t>年产20万吨聚羧酸减水剂和5万吨脲醛胶扩建项目</w:t>
            </w:r>
            <w:r>
              <w:rPr>
                <w:rFonts w:hint="eastAsia" w:ascii="Times New Roman" w:hAnsi="Times New Roman"/>
                <w:color w:val="000000"/>
                <w:sz w:val="24"/>
              </w:rPr>
              <w:t>》</w:t>
            </w:r>
            <w:r>
              <w:rPr>
                <w:rFonts w:hint="eastAsia" w:ascii="Times New Roman" w:hAnsi="Times New Roman"/>
                <w:color w:val="000000"/>
                <w:sz w:val="24"/>
                <w:lang w:eastAsia="zh-CN"/>
              </w:rPr>
              <w:t>于</w:t>
            </w:r>
            <w:r>
              <w:rPr>
                <w:rFonts w:hint="eastAsia" w:ascii="Times New Roman" w:hAnsi="Times New Roman"/>
                <w:color w:val="000000"/>
                <w:sz w:val="24"/>
                <w:lang w:val="en-US" w:eastAsia="zh-CN"/>
              </w:rPr>
              <w:t>2024年11</w:t>
            </w:r>
            <w:r>
              <w:rPr>
                <w:rFonts w:hint="eastAsia" w:ascii="Times New Roman" w:hAnsi="Times New Roman" w:cs="Times New Roman"/>
                <w:color w:val="auto"/>
                <w:sz w:val="24"/>
                <w:szCs w:val="24"/>
                <w:lang w:val="en-US" w:eastAsia="zh-CN"/>
              </w:rPr>
              <w:t>月15日</w:t>
            </w:r>
            <w:r>
              <w:rPr>
                <w:rFonts w:hint="eastAsia"/>
                <w:bCs/>
                <w:sz w:val="24"/>
                <w:szCs w:val="24"/>
                <w:lang w:eastAsia="zh-CN"/>
              </w:rPr>
              <w:t>对该项目进行了竣工环境保护验收</w:t>
            </w:r>
            <w:r>
              <w:rPr>
                <w:rFonts w:hint="eastAsia" w:ascii="Times New Roman" w:hAnsi="Times New Roman"/>
                <w:color w:val="000000"/>
                <w:sz w:val="24"/>
              </w:rPr>
              <w:t>。</w:t>
            </w:r>
          </w:p>
          <w:p w14:paraId="05C6A1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r>
              <w:rPr>
                <w:rFonts w:hint="eastAsia"/>
                <w:kern w:val="0"/>
                <w:sz w:val="24"/>
              </w:rPr>
              <w:t>⑵项目由来</w:t>
            </w:r>
          </w:p>
          <w:p w14:paraId="7B306C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hAnsi="宋体" w:eastAsia="宋体"/>
                <w:sz w:val="24"/>
                <w:lang w:val="en-US" w:eastAsia="zh-CN"/>
              </w:rPr>
            </w:pPr>
            <w:r>
              <w:rPr>
                <w:rFonts w:hint="eastAsia"/>
                <w:bCs/>
                <w:sz w:val="24"/>
                <w:szCs w:val="24"/>
                <w:lang w:eastAsia="zh-CN"/>
              </w:rPr>
              <w:t>近年来由于市场原因，</w:t>
            </w:r>
            <w:r>
              <w:rPr>
                <w:rFonts w:hint="eastAsia"/>
                <w:bCs/>
                <w:sz w:val="24"/>
                <w:szCs w:val="24"/>
                <w:lang w:val="en-US" w:eastAsia="zh-CN"/>
              </w:rPr>
              <w:t>2022年</w:t>
            </w:r>
            <w:r>
              <w:rPr>
                <w:rFonts w:hint="eastAsia"/>
                <w:bCs/>
                <w:sz w:val="24"/>
                <w:szCs w:val="24"/>
                <w:lang w:eastAsia="zh-CN"/>
              </w:rPr>
              <w:t>靖源科技对萘系减水剂生产工艺和水剂性能进行技术改造，减水剂粉剂全面停产，干燥工序废气治理设施停用，</w:t>
            </w:r>
            <w:r>
              <w:rPr>
                <w:rFonts w:hint="eastAsia" w:ascii="Times New Roman" w:hAnsi="Times New Roman"/>
                <w:color w:val="000000"/>
                <w:sz w:val="24"/>
                <w:szCs w:val="24"/>
                <w:lang w:eastAsia="zh-CN"/>
              </w:rPr>
              <w:t>目前</w:t>
            </w:r>
            <w:r>
              <w:rPr>
                <w:rFonts w:hint="eastAsia"/>
                <w:bCs/>
                <w:sz w:val="24"/>
                <w:szCs w:val="24"/>
                <w:lang w:eastAsia="zh-CN"/>
              </w:rPr>
              <w:t>靖源科技减水剂粉剂干燥工序主要生产设备干燥塔及热风炉已全部拆除。</w:t>
            </w:r>
          </w:p>
          <w:p w14:paraId="7A4A31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eastAsia="zh-CN"/>
              </w:rPr>
              <w:t>靖源科技现有的甲醛生产线产生的甲醛合成尾气现在全部点燃，点燃后副产的</w:t>
            </w:r>
            <w:r>
              <w:rPr>
                <w:rFonts w:hint="eastAsia" w:cs="Times New Roman"/>
                <w:bCs/>
                <w:sz w:val="24"/>
                <w:szCs w:val="24"/>
                <w:highlight w:val="none"/>
                <w:lang w:eastAsia="zh-CN"/>
              </w:rPr>
              <w:t>蒸气</w:t>
            </w:r>
            <w:r>
              <w:rPr>
                <w:rFonts w:hint="eastAsia" w:ascii="Times New Roman" w:hAnsi="Times New Roman" w:eastAsia="宋体" w:cs="Times New Roman"/>
                <w:bCs/>
                <w:sz w:val="24"/>
                <w:szCs w:val="24"/>
                <w:highlight w:val="none"/>
                <w:lang w:eastAsia="zh-CN"/>
              </w:rPr>
              <w:t>作为现有甲醛、减水剂水剂生产工序的热源，一部分点燃后外排，经计算本次甲醛尾气使用率为</w:t>
            </w:r>
            <w:r>
              <w:rPr>
                <w:rFonts w:hint="eastAsia" w:ascii="Times New Roman" w:hAnsi="Times New Roman" w:eastAsia="宋体" w:cs="Times New Roman"/>
                <w:bCs/>
                <w:sz w:val="24"/>
                <w:szCs w:val="24"/>
                <w:highlight w:val="none"/>
                <w:lang w:val="en-US" w:eastAsia="zh-CN"/>
              </w:rPr>
              <w:t>12.17%。</w:t>
            </w:r>
          </w:p>
          <w:p w14:paraId="6FA586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靖源科技为实现企业内部节能、减排、降耗的环保目标，拟重新建设减水剂粉剂生产线，将原有的为干燥系统提供热能的生物质燃料更换为甲醛生产线吸收塔的尾气</w:t>
            </w:r>
            <w:r>
              <w:rPr>
                <w:rFonts w:hint="eastAsia" w:cs="Times New Roman"/>
                <w:bCs/>
                <w:sz w:val="24"/>
                <w:szCs w:val="24"/>
                <w:lang w:eastAsia="zh-CN"/>
              </w:rPr>
              <w:t>。</w:t>
            </w:r>
            <w:r>
              <w:rPr>
                <w:rFonts w:hint="eastAsia" w:ascii="Times New Roman" w:hAnsi="Times New Roman" w:eastAsia="宋体" w:cs="Times New Roman"/>
                <w:bCs/>
                <w:sz w:val="24"/>
                <w:szCs w:val="24"/>
                <w:lang w:eastAsia="zh-CN"/>
              </w:rPr>
              <w:t>甲醛生产线吸收塔的尾气主要包含</w:t>
            </w:r>
            <w:r>
              <w:rPr>
                <w:rFonts w:hint="eastAsia" w:ascii="Times New Roman" w:hAnsi="Times New Roman" w:eastAsia="宋体" w:cs="Times New Roman"/>
                <w:b w:val="0"/>
                <w:bCs/>
                <w:sz w:val="24"/>
                <w:szCs w:val="24"/>
              </w:rPr>
              <w:t>甲醛、甲醇、水蒸气、氮气、</w:t>
            </w:r>
            <w:r>
              <w:rPr>
                <w:rFonts w:hint="eastAsia" w:ascii="Times New Roman" w:hAnsi="Times New Roman" w:eastAsia="宋体" w:cs="Times New Roman"/>
                <w:b w:val="0"/>
                <w:bCs/>
                <w:sz w:val="24"/>
                <w:szCs w:val="24"/>
                <w:lang w:eastAsia="zh-CN"/>
              </w:rPr>
              <w:t>氢气、一氧化碳、</w:t>
            </w:r>
            <w:r>
              <w:rPr>
                <w:rFonts w:hint="eastAsia" w:ascii="Times New Roman" w:hAnsi="Times New Roman" w:eastAsia="宋体" w:cs="Times New Roman"/>
                <w:b w:val="0"/>
                <w:bCs/>
                <w:sz w:val="24"/>
                <w:szCs w:val="24"/>
              </w:rPr>
              <w:t>二氧化碳等成分</w:t>
            </w:r>
            <w:r>
              <w:rPr>
                <w:rFonts w:hint="eastAsia" w:ascii="Times New Roman" w:hAnsi="Times New Roman" w:eastAsia="宋体" w:cs="Times New Roman"/>
                <w:bCs/>
                <w:sz w:val="24"/>
                <w:szCs w:val="24"/>
                <w:lang w:eastAsia="zh-CN"/>
              </w:rPr>
              <w:t>。其中，甲醛、甲醇</w:t>
            </w:r>
            <w:r>
              <w:rPr>
                <w:rFonts w:hint="eastAsia" w:ascii="Times New Roman" w:hAnsi="Times New Roman" w:eastAsia="宋体" w:cs="Times New Roman"/>
                <w:b w:val="0"/>
                <w:bCs/>
                <w:sz w:val="24"/>
                <w:szCs w:val="24"/>
                <w:lang w:eastAsia="zh-CN"/>
              </w:rPr>
              <w:t>、一氧化碳</w:t>
            </w:r>
            <w:r>
              <w:rPr>
                <w:rFonts w:hint="eastAsia" w:ascii="Times New Roman" w:hAnsi="Times New Roman" w:eastAsia="宋体" w:cs="Times New Roman"/>
                <w:bCs/>
                <w:sz w:val="24"/>
                <w:szCs w:val="24"/>
                <w:lang w:eastAsia="zh-CN"/>
              </w:rPr>
              <w:t>和氢气是可燃成分，具有较高的热值，此技术改造通过优化热源利用、减少热损失，可降低能源消耗量。</w:t>
            </w:r>
          </w:p>
          <w:p w14:paraId="4CD3E871">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kern w:val="0"/>
                <w:sz w:val="24"/>
              </w:rPr>
            </w:pPr>
            <w:r>
              <w:rPr>
                <w:rFonts w:hint="eastAsia" w:ascii="Times New Roman" w:hAnsi="Times New Roman" w:eastAsia="宋体" w:cs="Times New Roman"/>
                <w:b w:val="0"/>
                <w:bCs/>
                <w:kern w:val="2"/>
                <w:sz w:val="24"/>
                <w:szCs w:val="24"/>
                <w:lang w:val="en-US" w:eastAsia="zh-CN" w:bidi="ar-SA"/>
              </w:rPr>
              <w:t>本项目不涉及萘系减水剂、甲醛、聚羧酸减水剂、脲醛胶生产线的主体工程改造，项目实施后全厂萘系减水剂、甲醛、聚羧酸减水剂、脲醛胶产品种类及产能不变，根据《宝鸡靖源科技发展有限责任公司干燥塔节能技改项目可行性研究报告》萘系减水剂粉剂的产能由原有的2万吨，减少至7200t/a</w:t>
            </w:r>
            <w:r>
              <w:rPr>
                <w:rFonts w:hint="eastAsia"/>
                <w:kern w:val="0"/>
                <w:sz w:val="24"/>
                <w:lang w:val="en-US" w:eastAsia="zh-CN"/>
              </w:rPr>
              <w:t>，变化原因主要为市场萧条，企业将减水剂粉剂产能调整，</w:t>
            </w:r>
            <w:r>
              <w:rPr>
                <w:rFonts w:hint="eastAsia"/>
                <w:kern w:val="0"/>
                <w:sz w:val="24"/>
              </w:rPr>
              <w:t>同时</w:t>
            </w:r>
            <w:r>
              <w:rPr>
                <w:rFonts w:hint="eastAsia"/>
                <w:kern w:val="0"/>
                <w:sz w:val="24"/>
                <w:lang w:eastAsia="zh-CN"/>
              </w:rPr>
              <w:t>甲醛生产</w:t>
            </w:r>
            <w:r>
              <w:rPr>
                <w:rFonts w:hint="eastAsia"/>
                <w:kern w:val="0"/>
                <w:sz w:val="24"/>
              </w:rPr>
              <w:t>线热力生产供应方式不变。本项目技改前后供热流程示意图如下：</w:t>
            </w:r>
          </w:p>
          <w:p w14:paraId="17DC3FEE">
            <w:pPr>
              <w:jc w:val="center"/>
              <w:rPr>
                <w:kern w:val="0"/>
                <w:sz w:val="24"/>
              </w:rPr>
            </w:pPr>
            <w:r>
              <w:rPr>
                <w:rFonts w:hint="default" w:ascii="Times New Roman" w:hAnsi="Times New Roman" w:eastAsia="宋体" w:cs="Times New Roman"/>
                <w:sz w:val="24"/>
                <w:szCs w:val="24"/>
              </w:rPr>
              <w:object>
                <v:shape id="_x0000_i1026" o:spt="75" type="#_x0000_t75" style="height:177.6pt;width:405.3pt;" o:ole="t" filled="f" o:preferrelative="t" stroked="t" coordsize="21600,21600">
                  <v:path/>
                  <v:fill on="f" focussize="0,0"/>
                  <v:stroke joinstyle="miter"/>
                  <v:imagedata r:id="rId11" o:title=""/>
                  <o:lock v:ext="edit" aspectratio="t"/>
                  <w10:wrap type="none"/>
                  <w10:anchorlock/>
                </v:shape>
                <o:OLEObject Type="Embed" ProgID="Visio.Drawing.11" ShapeID="_x0000_i1026" DrawAspect="Content" ObjectID="_1468075725" r:id="rId10">
                  <o:LockedField>false</o:LockedField>
                </o:OLEObject>
              </w:object>
            </w:r>
            <w:r>
              <w:rPr>
                <w:rFonts w:hint="eastAsia"/>
                <w:kern w:val="0"/>
                <w:sz w:val="24"/>
              </w:rPr>
              <w:t>图2-1  技改前供热流程示意图（</w:t>
            </w:r>
            <w:r>
              <w:rPr>
                <w:rFonts w:hint="eastAsia"/>
                <w:kern w:val="0"/>
                <w:sz w:val="24"/>
                <w:lang w:eastAsia="zh-CN"/>
              </w:rPr>
              <w:t>甲醛生产</w:t>
            </w:r>
            <w:r>
              <w:rPr>
                <w:rFonts w:hint="eastAsia"/>
                <w:kern w:val="0"/>
                <w:sz w:val="24"/>
              </w:rPr>
              <w:t>线</w:t>
            </w:r>
            <w:r>
              <w:rPr>
                <w:rFonts w:hint="eastAsia"/>
                <w:kern w:val="0"/>
                <w:sz w:val="24"/>
                <w:lang w:eastAsia="zh-CN"/>
              </w:rPr>
              <w:t>及萘系减水剂生产线</w:t>
            </w:r>
            <w:r>
              <w:rPr>
                <w:rFonts w:hint="eastAsia"/>
                <w:kern w:val="0"/>
                <w:sz w:val="24"/>
              </w:rPr>
              <w:t>）</w:t>
            </w:r>
          </w:p>
          <w:p w14:paraId="2AB80152">
            <w:pPr>
              <w:jc w:val="center"/>
              <w:rPr>
                <w:kern w:val="0"/>
                <w:sz w:val="24"/>
              </w:rPr>
            </w:pPr>
            <w:r>
              <w:rPr>
                <w:rFonts w:hint="default" w:ascii="Times New Roman" w:hAnsi="Times New Roman" w:eastAsia="宋体" w:cs="Times New Roman"/>
                <w:sz w:val="24"/>
                <w:szCs w:val="24"/>
              </w:rPr>
              <w:object>
                <v:shape id="_x0000_i1027" o:spt="75" type="#_x0000_t75" style="height:198.5pt;width:407pt;" o:ole="t" filled="f" o:preferrelative="t" stroked="t" coordsize="21600,21600">
                  <v:path/>
                  <v:fill on="f" focussize="0,0"/>
                  <v:stroke joinstyle="miter"/>
                  <v:imagedata r:id="rId13" o:title=""/>
                  <o:lock v:ext="edit" aspectratio="t"/>
                  <w10:wrap type="none"/>
                  <w10:anchorlock/>
                </v:shape>
                <o:OLEObject Type="Embed" ProgID="Visio.Drawing.11" ShapeID="_x0000_i1027" DrawAspect="Content" ObjectID="_1468075726" r:id="rId12">
                  <o:LockedField>false</o:LockedField>
                </o:OLEObject>
              </w:object>
            </w:r>
            <w:r>
              <w:rPr>
                <w:rFonts w:hint="eastAsia"/>
                <w:kern w:val="0"/>
                <w:sz w:val="24"/>
              </w:rPr>
              <w:t>图2-2  技改后供热流程示意图（</w:t>
            </w:r>
            <w:r>
              <w:rPr>
                <w:rFonts w:hint="eastAsia"/>
                <w:kern w:val="0"/>
                <w:sz w:val="24"/>
                <w:lang w:eastAsia="zh-CN"/>
              </w:rPr>
              <w:t>甲醛生产</w:t>
            </w:r>
            <w:r>
              <w:rPr>
                <w:rFonts w:hint="eastAsia"/>
                <w:kern w:val="0"/>
                <w:sz w:val="24"/>
              </w:rPr>
              <w:t>线</w:t>
            </w:r>
            <w:r>
              <w:rPr>
                <w:rFonts w:hint="eastAsia"/>
                <w:kern w:val="0"/>
                <w:sz w:val="24"/>
                <w:lang w:eastAsia="zh-CN"/>
              </w:rPr>
              <w:t>及萘系减水剂生产线</w:t>
            </w:r>
            <w:r>
              <w:rPr>
                <w:rFonts w:hint="eastAsia"/>
                <w:kern w:val="0"/>
                <w:sz w:val="24"/>
              </w:rPr>
              <w:t>）</w:t>
            </w:r>
          </w:p>
          <w:p w14:paraId="50370B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rPr>
            </w:pPr>
            <w:r>
              <w:rPr>
                <w:rFonts w:hint="eastAsia" w:hAnsi="宋体"/>
                <w:sz w:val="24"/>
              </w:rPr>
              <w:t>根据</w:t>
            </w:r>
            <w:r>
              <w:rPr>
                <w:sz w:val="24"/>
              </w:rPr>
              <w:t>《建设项目环境影响评价分类管理名录（2021年版）》，本项目属于</w:t>
            </w:r>
            <w:r>
              <w:rPr>
                <w:rFonts w:hint="eastAsia"/>
                <w:sz w:val="24"/>
              </w:rPr>
              <w:t>“91热力生产和供应工程（包括建设单位自建自用的供热工程）-使用其他高污染燃料的”</w:t>
            </w:r>
            <w:r>
              <w:rPr>
                <w:sz w:val="24"/>
              </w:rPr>
              <w:t>，应编制</w:t>
            </w:r>
            <w:r>
              <w:rPr>
                <w:rFonts w:hint="eastAsia"/>
                <w:sz w:val="24"/>
              </w:rPr>
              <w:t>环境影响报告表</w:t>
            </w:r>
            <w:r>
              <w:rPr>
                <w:sz w:val="24"/>
              </w:rPr>
              <w:t>。</w:t>
            </w:r>
          </w:p>
          <w:p w14:paraId="19C376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sz w:val="24"/>
              </w:rPr>
              <w:t>同时参考《建设项目环境影响评价分类管理名录（2021年版）常见问题解答》-粮食烘干项目环评类别的判定，粮食烘干项目，涉及建设粮食烘干塔的，根据名录“91热力生产和供应工程（包括建设单位自建自用的供热工程）”相关规定，确定环评类别为环境影响报告表。</w:t>
            </w:r>
          </w:p>
          <w:p w14:paraId="640C2FF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b/>
                <w:kern w:val="0"/>
                <w:sz w:val="24"/>
              </w:rPr>
              <w:t>2</w:t>
            </w:r>
            <w:r>
              <w:rPr>
                <w:rFonts w:hint="eastAsia" w:hAnsi="宋体"/>
                <w:b/>
                <w:kern w:val="0"/>
                <w:sz w:val="24"/>
                <w:lang w:val="en-US" w:eastAsia="zh-CN"/>
              </w:rPr>
              <w:t>.</w:t>
            </w:r>
            <w:r>
              <w:rPr>
                <w:rFonts w:hAnsi="宋体"/>
                <w:b/>
                <w:kern w:val="0"/>
                <w:sz w:val="24"/>
              </w:rPr>
              <w:t>建设内容</w:t>
            </w:r>
          </w:p>
          <w:p w14:paraId="775891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kern w:val="0"/>
                <w:sz w:val="24"/>
              </w:rPr>
            </w:pPr>
            <w:r>
              <w:rPr>
                <w:kern w:val="0"/>
                <w:sz w:val="24"/>
              </w:rPr>
              <w:t>本项目</w:t>
            </w:r>
            <w:r>
              <w:rPr>
                <w:rFonts w:hint="eastAsia"/>
                <w:kern w:val="0"/>
                <w:sz w:val="24"/>
                <w:lang w:eastAsia="zh-CN"/>
              </w:rPr>
              <w:t>对减水剂粉剂现有的生产厂房进行加高，</w:t>
            </w:r>
            <w:r>
              <w:rPr>
                <w:kern w:val="0"/>
                <w:sz w:val="24"/>
              </w:rPr>
              <w:t>不涉及厂内主体工程的改造，只进行供热系统生产设备</w:t>
            </w:r>
            <w:r>
              <w:rPr>
                <w:rFonts w:hint="eastAsia"/>
                <w:kern w:val="0"/>
                <w:sz w:val="24"/>
                <w:lang w:eastAsia="zh-CN"/>
              </w:rPr>
              <w:t>及干燥系统</w:t>
            </w:r>
            <w:r>
              <w:rPr>
                <w:kern w:val="0"/>
                <w:sz w:val="24"/>
              </w:rPr>
              <w:t>的建设，建设</w:t>
            </w:r>
            <w:r>
              <w:rPr>
                <w:rFonts w:hint="eastAsia"/>
                <w:kern w:val="0"/>
                <w:sz w:val="24"/>
                <w:lang w:eastAsia="zh-CN"/>
              </w:rPr>
              <w:t>热风炉</w:t>
            </w:r>
            <w:r>
              <w:rPr>
                <w:kern w:val="0"/>
                <w:sz w:val="24"/>
              </w:rPr>
              <w:t>系统</w:t>
            </w:r>
            <w:r>
              <w:rPr>
                <w:rFonts w:hint="eastAsia"/>
                <w:kern w:val="0"/>
                <w:sz w:val="24"/>
                <w:lang w:eastAsia="zh-CN"/>
              </w:rPr>
              <w:t>、干燥系统、冷却系统及其配套的尾气除尘系统各</w:t>
            </w:r>
            <w:r>
              <w:rPr>
                <w:rFonts w:hint="eastAsia"/>
                <w:kern w:val="0"/>
                <w:sz w:val="24"/>
              </w:rPr>
              <w:t>1套。</w:t>
            </w:r>
          </w:p>
          <w:p w14:paraId="71F30E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r>
              <w:rPr>
                <w:kern w:val="0"/>
                <w:sz w:val="24"/>
              </w:rPr>
              <w:t>本项目主体工程、环保工程、辅助工程、公用工程及储运工程等建设内容详见下表。</w:t>
            </w:r>
          </w:p>
          <w:p w14:paraId="645FA8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kern w:val="0"/>
                <w:sz w:val="24"/>
              </w:rPr>
            </w:pPr>
            <w:r>
              <w:rPr>
                <w:kern w:val="0"/>
                <w:sz w:val="24"/>
              </w:rPr>
              <w:t>表</w:t>
            </w:r>
            <w:r>
              <w:rPr>
                <w:rFonts w:hint="eastAsia"/>
                <w:kern w:val="0"/>
                <w:sz w:val="24"/>
              </w:rPr>
              <w:t>2-1  建设内容一览表</w:t>
            </w:r>
          </w:p>
          <w:tbl>
            <w:tblPr>
              <w:tblStyle w:val="1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33"/>
              <w:gridCol w:w="1331"/>
              <w:gridCol w:w="4963"/>
              <w:gridCol w:w="1133"/>
            </w:tblGrid>
            <w:tr w14:paraId="43BF0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64" w:type="pct"/>
                  <w:gridSpan w:val="2"/>
                  <w:shd w:val="clear" w:color="auto" w:fill="auto"/>
                  <w:noWrap w:val="0"/>
                  <w:vAlign w:val="center"/>
                </w:tcPr>
                <w:p w14:paraId="774C3BEE">
                  <w:pPr>
                    <w:jc w:val="center"/>
                    <w:rPr>
                      <w:kern w:val="0"/>
                      <w:szCs w:val="21"/>
                    </w:rPr>
                  </w:pPr>
                  <w:r>
                    <w:rPr>
                      <w:kern w:val="0"/>
                      <w:szCs w:val="21"/>
                    </w:rPr>
                    <w:t>项目组成</w:t>
                  </w:r>
                </w:p>
              </w:tc>
              <w:tc>
                <w:tcPr>
                  <w:tcW w:w="3040" w:type="pct"/>
                  <w:shd w:val="clear" w:color="auto" w:fill="auto"/>
                  <w:noWrap w:val="0"/>
                  <w:vAlign w:val="center"/>
                </w:tcPr>
                <w:p w14:paraId="6EC04286">
                  <w:pPr>
                    <w:jc w:val="center"/>
                    <w:rPr>
                      <w:kern w:val="0"/>
                      <w:szCs w:val="21"/>
                    </w:rPr>
                  </w:pPr>
                  <w:r>
                    <w:rPr>
                      <w:kern w:val="0"/>
                      <w:szCs w:val="21"/>
                    </w:rPr>
                    <w:t>技改工程内容</w:t>
                  </w:r>
                </w:p>
              </w:tc>
              <w:tc>
                <w:tcPr>
                  <w:tcW w:w="694" w:type="pct"/>
                  <w:shd w:val="clear" w:color="auto" w:fill="auto"/>
                  <w:noWrap w:val="0"/>
                  <w:vAlign w:val="center"/>
                </w:tcPr>
                <w:p w14:paraId="2C43BAD0">
                  <w:pPr>
                    <w:jc w:val="center"/>
                    <w:rPr>
                      <w:kern w:val="0"/>
                      <w:szCs w:val="21"/>
                    </w:rPr>
                  </w:pPr>
                  <w:r>
                    <w:rPr>
                      <w:kern w:val="0"/>
                      <w:szCs w:val="21"/>
                    </w:rPr>
                    <w:t>建设性质</w:t>
                  </w:r>
                </w:p>
              </w:tc>
            </w:tr>
            <w:tr w14:paraId="62027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shd w:val="clear" w:color="auto" w:fill="auto"/>
                  <w:noWrap w:val="0"/>
                  <w:vAlign w:val="center"/>
                </w:tcPr>
                <w:p w14:paraId="11F4F5E5">
                  <w:pPr>
                    <w:jc w:val="center"/>
                    <w:rPr>
                      <w:kern w:val="0"/>
                      <w:szCs w:val="21"/>
                    </w:rPr>
                  </w:pPr>
                  <w:r>
                    <w:rPr>
                      <w:kern w:val="0"/>
                      <w:szCs w:val="21"/>
                    </w:rPr>
                    <w:t>主体工程</w:t>
                  </w:r>
                </w:p>
              </w:tc>
              <w:tc>
                <w:tcPr>
                  <w:tcW w:w="815" w:type="pct"/>
                  <w:shd w:val="clear" w:color="auto" w:fill="auto"/>
                  <w:noWrap w:val="0"/>
                  <w:vAlign w:val="center"/>
                </w:tcPr>
                <w:p w14:paraId="06FE7E68">
                  <w:pPr>
                    <w:jc w:val="center"/>
                    <w:rPr>
                      <w:rFonts w:hint="eastAsia" w:eastAsia="宋体"/>
                      <w:kern w:val="0"/>
                      <w:szCs w:val="21"/>
                      <w:lang w:eastAsia="zh-CN"/>
                    </w:rPr>
                  </w:pPr>
                  <w:r>
                    <w:rPr>
                      <w:rFonts w:hint="eastAsia"/>
                      <w:kern w:val="0"/>
                      <w:sz w:val="21"/>
                      <w:szCs w:val="21"/>
                      <w:lang w:eastAsia="zh-CN"/>
                    </w:rPr>
                    <w:t>减水剂粉剂生产车间</w:t>
                  </w:r>
                </w:p>
              </w:tc>
              <w:tc>
                <w:tcPr>
                  <w:tcW w:w="3040" w:type="pct"/>
                  <w:shd w:val="clear" w:color="auto" w:fill="auto"/>
                  <w:noWrap w:val="0"/>
                  <w:vAlign w:val="center"/>
                </w:tcPr>
                <w:p w14:paraId="64BA237C">
                  <w:pPr>
                    <w:jc w:val="center"/>
                    <w:rPr>
                      <w:kern w:val="0"/>
                      <w:szCs w:val="21"/>
                    </w:rPr>
                  </w:pPr>
                  <w:r>
                    <w:rPr>
                      <w:kern w:val="0"/>
                      <w:szCs w:val="21"/>
                    </w:rPr>
                    <w:t>在</w:t>
                  </w:r>
                  <w:r>
                    <w:rPr>
                      <w:rFonts w:hint="eastAsia"/>
                      <w:kern w:val="0"/>
                      <w:szCs w:val="21"/>
                    </w:rPr>
                    <w:t>厂区</w:t>
                  </w:r>
                  <w:r>
                    <w:rPr>
                      <w:rFonts w:hint="eastAsia"/>
                      <w:kern w:val="0"/>
                      <w:szCs w:val="21"/>
                      <w:lang w:eastAsia="zh-CN"/>
                    </w:rPr>
                    <w:t>东南侧原有已拆除的萘系减水剂粉剂干燥系统厂房内东部新建热风系统、干燥系统、废气治理系统。</w:t>
                  </w:r>
                </w:p>
              </w:tc>
              <w:tc>
                <w:tcPr>
                  <w:tcW w:w="694" w:type="pct"/>
                  <w:shd w:val="clear" w:color="auto" w:fill="auto"/>
                  <w:noWrap w:val="0"/>
                  <w:vAlign w:val="center"/>
                </w:tcPr>
                <w:p w14:paraId="190477AF">
                  <w:pPr>
                    <w:jc w:val="center"/>
                    <w:rPr>
                      <w:kern w:val="0"/>
                      <w:szCs w:val="21"/>
                    </w:rPr>
                  </w:pPr>
                  <w:r>
                    <w:rPr>
                      <w:kern w:val="0"/>
                      <w:szCs w:val="21"/>
                    </w:rPr>
                    <w:t>依托厂房，</w:t>
                  </w:r>
                  <w:r>
                    <w:rPr>
                      <w:rFonts w:hint="eastAsia"/>
                      <w:kern w:val="0"/>
                      <w:szCs w:val="21"/>
                    </w:rPr>
                    <w:t>新增</w:t>
                  </w:r>
                  <w:r>
                    <w:rPr>
                      <w:kern w:val="0"/>
                      <w:szCs w:val="21"/>
                    </w:rPr>
                    <w:t>设备</w:t>
                  </w:r>
                </w:p>
              </w:tc>
            </w:tr>
            <w:tr w14:paraId="15418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shd w:val="clear" w:color="auto" w:fill="auto"/>
                  <w:noWrap w:val="0"/>
                  <w:vAlign w:val="center"/>
                </w:tcPr>
                <w:p w14:paraId="650A9292">
                  <w:pPr>
                    <w:jc w:val="center"/>
                    <w:rPr>
                      <w:kern w:val="0"/>
                      <w:szCs w:val="21"/>
                    </w:rPr>
                  </w:pPr>
                  <w:r>
                    <w:rPr>
                      <w:kern w:val="0"/>
                      <w:szCs w:val="21"/>
                    </w:rPr>
                    <w:t>储运工程</w:t>
                  </w:r>
                </w:p>
              </w:tc>
              <w:tc>
                <w:tcPr>
                  <w:tcW w:w="815" w:type="pct"/>
                  <w:shd w:val="clear" w:color="auto" w:fill="auto"/>
                  <w:noWrap w:val="0"/>
                  <w:vAlign w:val="center"/>
                </w:tcPr>
                <w:p w14:paraId="28FF9395">
                  <w:pPr>
                    <w:jc w:val="center"/>
                    <w:rPr>
                      <w:rFonts w:hint="eastAsia" w:eastAsia="宋体"/>
                      <w:kern w:val="0"/>
                      <w:szCs w:val="21"/>
                      <w:lang w:eastAsia="zh-CN"/>
                    </w:rPr>
                  </w:pPr>
                  <w:r>
                    <w:rPr>
                      <w:rFonts w:hint="eastAsia"/>
                      <w:kern w:val="0"/>
                      <w:szCs w:val="21"/>
                      <w:lang w:eastAsia="zh-CN"/>
                    </w:rPr>
                    <w:t>甲醛尾气输送管道</w:t>
                  </w:r>
                </w:p>
              </w:tc>
              <w:tc>
                <w:tcPr>
                  <w:tcW w:w="3040" w:type="pct"/>
                  <w:shd w:val="clear" w:color="auto" w:fill="auto"/>
                  <w:noWrap w:val="0"/>
                  <w:vAlign w:val="center"/>
                </w:tcPr>
                <w:p w14:paraId="774E69AC">
                  <w:pPr>
                    <w:jc w:val="center"/>
                    <w:rPr>
                      <w:rFonts w:hint="eastAsia" w:eastAsia="宋体"/>
                      <w:kern w:val="0"/>
                      <w:szCs w:val="21"/>
                      <w:lang w:eastAsia="zh-CN"/>
                    </w:rPr>
                  </w:pPr>
                  <w:r>
                    <w:rPr>
                      <w:rFonts w:hint="eastAsia"/>
                      <w:kern w:val="0"/>
                      <w:szCs w:val="21"/>
                      <w:lang w:eastAsia="zh-CN"/>
                    </w:rPr>
                    <w:t>由现有甲醛尾气管道接通至重新建设的减水剂粉剂热风炉中，全程管道长约</w:t>
                  </w:r>
                  <w:r>
                    <w:rPr>
                      <w:rFonts w:hint="eastAsia"/>
                      <w:kern w:val="0"/>
                      <w:szCs w:val="21"/>
                      <w:lang w:val="en-US" w:eastAsia="zh-CN"/>
                    </w:rPr>
                    <w:t>140m，管径为DN350mm，</w:t>
                  </w:r>
                  <w:r>
                    <w:rPr>
                      <w:rFonts w:hint="eastAsia"/>
                      <w:kern w:val="0"/>
                      <w:szCs w:val="21"/>
                      <w:lang w:eastAsia="zh-CN"/>
                    </w:rPr>
                    <w:t>架空，均在厂区内。</w:t>
                  </w:r>
                </w:p>
              </w:tc>
              <w:tc>
                <w:tcPr>
                  <w:tcW w:w="694" w:type="pct"/>
                  <w:shd w:val="clear" w:color="auto" w:fill="auto"/>
                  <w:noWrap w:val="0"/>
                  <w:vAlign w:val="center"/>
                </w:tcPr>
                <w:p w14:paraId="7846BC13">
                  <w:pPr>
                    <w:jc w:val="center"/>
                    <w:rPr>
                      <w:kern w:val="0"/>
                      <w:szCs w:val="21"/>
                    </w:rPr>
                  </w:pPr>
                  <w:r>
                    <w:rPr>
                      <w:rFonts w:hint="eastAsia"/>
                      <w:kern w:val="0"/>
                      <w:szCs w:val="21"/>
                    </w:rPr>
                    <w:t>新增</w:t>
                  </w:r>
                </w:p>
              </w:tc>
            </w:tr>
            <w:tr w14:paraId="097D2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restart"/>
                  <w:shd w:val="clear" w:color="auto" w:fill="auto"/>
                  <w:noWrap w:val="0"/>
                  <w:vAlign w:val="center"/>
                </w:tcPr>
                <w:p w14:paraId="42FFC19A">
                  <w:pPr>
                    <w:jc w:val="center"/>
                    <w:rPr>
                      <w:rFonts w:ascii="Times New Roman" w:hAnsi="Times New Roman"/>
                      <w:kern w:val="0"/>
                      <w:sz w:val="21"/>
                      <w:szCs w:val="21"/>
                      <w:lang w:val="en-US" w:eastAsia="zh-CN" w:bidi="ar-SA"/>
                    </w:rPr>
                  </w:pPr>
                  <w:r>
                    <w:rPr>
                      <w:kern w:val="0"/>
                      <w:szCs w:val="21"/>
                    </w:rPr>
                    <w:t>辅助工程</w:t>
                  </w:r>
                </w:p>
              </w:tc>
              <w:tc>
                <w:tcPr>
                  <w:tcW w:w="815" w:type="pct"/>
                  <w:shd w:val="clear" w:color="auto" w:fill="auto"/>
                  <w:noWrap w:val="0"/>
                  <w:vAlign w:val="center"/>
                </w:tcPr>
                <w:p w14:paraId="70F83B01">
                  <w:pPr>
                    <w:jc w:val="center"/>
                    <w:rPr>
                      <w:rFonts w:hint="eastAsia" w:ascii="Times New Roman" w:hAnsi="Times New Roman"/>
                      <w:kern w:val="0"/>
                      <w:sz w:val="21"/>
                      <w:szCs w:val="21"/>
                      <w:lang w:val="en-US" w:eastAsia="zh-CN" w:bidi="ar-SA"/>
                    </w:rPr>
                  </w:pPr>
                  <w:r>
                    <w:rPr>
                      <w:kern w:val="0"/>
                      <w:szCs w:val="21"/>
                    </w:rPr>
                    <w:t>供热</w:t>
                  </w:r>
                </w:p>
              </w:tc>
              <w:tc>
                <w:tcPr>
                  <w:tcW w:w="3040" w:type="pct"/>
                  <w:shd w:val="clear" w:color="auto" w:fill="auto"/>
                  <w:noWrap w:val="0"/>
                  <w:vAlign w:val="center"/>
                </w:tcPr>
                <w:p w14:paraId="3CB50FA4">
                  <w:pPr>
                    <w:jc w:val="center"/>
                    <w:rPr>
                      <w:rFonts w:hint="eastAsia" w:ascii="Times New Roman" w:hAnsi="Times New Roman" w:eastAsia="宋体"/>
                      <w:kern w:val="0"/>
                      <w:sz w:val="21"/>
                      <w:szCs w:val="21"/>
                      <w:lang w:val="en-US" w:eastAsia="zh-CN" w:bidi="ar-SA"/>
                    </w:rPr>
                  </w:pPr>
                  <w:r>
                    <w:rPr>
                      <w:rFonts w:hint="eastAsia"/>
                      <w:kern w:val="0"/>
                      <w:szCs w:val="21"/>
                      <w:lang w:eastAsia="zh-CN"/>
                    </w:rPr>
                    <w:t>生产使用原有甲醛吸收塔尾气点燃，生活办公区采用市政供暖。</w:t>
                  </w:r>
                </w:p>
              </w:tc>
              <w:tc>
                <w:tcPr>
                  <w:tcW w:w="694" w:type="pct"/>
                  <w:shd w:val="clear" w:color="auto" w:fill="auto"/>
                  <w:noWrap w:val="0"/>
                  <w:vAlign w:val="center"/>
                </w:tcPr>
                <w:p w14:paraId="0F8BC264">
                  <w:pPr>
                    <w:jc w:val="center"/>
                    <w:rPr>
                      <w:rFonts w:hint="eastAsia" w:ascii="Times New Roman" w:hAnsi="Times New Roman"/>
                      <w:kern w:val="0"/>
                      <w:sz w:val="21"/>
                      <w:szCs w:val="21"/>
                      <w:lang w:val="en-US" w:eastAsia="zh-CN" w:bidi="ar-SA"/>
                    </w:rPr>
                  </w:pPr>
                  <w:r>
                    <w:rPr>
                      <w:kern w:val="0"/>
                      <w:szCs w:val="21"/>
                    </w:rPr>
                    <w:t>依托</w:t>
                  </w:r>
                </w:p>
              </w:tc>
            </w:tr>
            <w:tr w14:paraId="062EE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continue"/>
                  <w:shd w:val="clear" w:color="auto" w:fill="auto"/>
                  <w:noWrap w:val="0"/>
                  <w:vAlign w:val="center"/>
                </w:tcPr>
                <w:p w14:paraId="0688317E">
                  <w:pPr>
                    <w:jc w:val="center"/>
                    <w:rPr>
                      <w:kern w:val="0"/>
                      <w:szCs w:val="21"/>
                    </w:rPr>
                  </w:pPr>
                </w:p>
              </w:tc>
              <w:tc>
                <w:tcPr>
                  <w:tcW w:w="815" w:type="pct"/>
                  <w:shd w:val="clear" w:color="auto" w:fill="auto"/>
                  <w:noWrap w:val="0"/>
                  <w:vAlign w:val="center"/>
                </w:tcPr>
                <w:p w14:paraId="279BA951">
                  <w:pPr>
                    <w:jc w:val="center"/>
                    <w:rPr>
                      <w:rFonts w:hint="eastAsia" w:ascii="Times New Roman" w:hAnsi="Times New Roman"/>
                      <w:kern w:val="0"/>
                      <w:sz w:val="21"/>
                      <w:szCs w:val="21"/>
                      <w:lang w:val="en-US" w:eastAsia="zh-CN" w:bidi="ar-SA"/>
                    </w:rPr>
                  </w:pPr>
                  <w:r>
                    <w:rPr>
                      <w:kern w:val="0"/>
                      <w:szCs w:val="21"/>
                    </w:rPr>
                    <w:t>办公设施</w:t>
                  </w:r>
                </w:p>
              </w:tc>
              <w:tc>
                <w:tcPr>
                  <w:tcW w:w="3040" w:type="pct"/>
                  <w:shd w:val="clear" w:color="auto" w:fill="auto"/>
                  <w:noWrap w:val="0"/>
                  <w:vAlign w:val="center"/>
                </w:tcPr>
                <w:p w14:paraId="4AB51AD5">
                  <w:pPr>
                    <w:jc w:val="center"/>
                    <w:rPr>
                      <w:rFonts w:hint="eastAsia" w:ascii="Times New Roman" w:hAnsi="Times New Roman"/>
                      <w:kern w:val="0"/>
                      <w:sz w:val="21"/>
                      <w:szCs w:val="21"/>
                      <w:lang w:val="en-US" w:eastAsia="zh-CN" w:bidi="ar-SA"/>
                    </w:rPr>
                  </w:pPr>
                  <w:r>
                    <w:rPr>
                      <w:kern w:val="0"/>
                      <w:szCs w:val="21"/>
                    </w:rPr>
                    <w:t>依托现有办公设施</w:t>
                  </w:r>
                </w:p>
              </w:tc>
              <w:tc>
                <w:tcPr>
                  <w:tcW w:w="694" w:type="pct"/>
                  <w:shd w:val="clear" w:color="auto" w:fill="auto"/>
                  <w:noWrap w:val="0"/>
                  <w:vAlign w:val="center"/>
                </w:tcPr>
                <w:p w14:paraId="66331F82">
                  <w:pPr>
                    <w:jc w:val="center"/>
                    <w:rPr>
                      <w:rFonts w:hint="eastAsia" w:ascii="Times New Roman" w:hAnsi="Times New Roman"/>
                      <w:kern w:val="0"/>
                      <w:sz w:val="21"/>
                      <w:szCs w:val="21"/>
                      <w:lang w:val="en-US" w:eastAsia="zh-CN" w:bidi="ar-SA"/>
                    </w:rPr>
                  </w:pPr>
                  <w:r>
                    <w:rPr>
                      <w:kern w:val="0"/>
                      <w:szCs w:val="21"/>
                    </w:rPr>
                    <w:t>依托</w:t>
                  </w:r>
                </w:p>
              </w:tc>
            </w:tr>
            <w:tr w14:paraId="2912A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49" w:type="pct"/>
                  <w:vMerge w:val="restart"/>
                  <w:shd w:val="clear" w:color="auto" w:fill="auto"/>
                  <w:noWrap w:val="0"/>
                  <w:vAlign w:val="center"/>
                </w:tcPr>
                <w:p w14:paraId="253F441E">
                  <w:pPr>
                    <w:jc w:val="center"/>
                    <w:rPr>
                      <w:rFonts w:ascii="Times New Roman" w:hAnsi="Times New Roman"/>
                      <w:kern w:val="0"/>
                      <w:sz w:val="21"/>
                      <w:szCs w:val="21"/>
                      <w:lang w:val="en-US" w:eastAsia="zh-CN" w:bidi="ar-SA"/>
                    </w:rPr>
                  </w:pPr>
                  <w:r>
                    <w:rPr>
                      <w:kern w:val="0"/>
                      <w:szCs w:val="21"/>
                    </w:rPr>
                    <w:t>公用工程</w:t>
                  </w:r>
                </w:p>
              </w:tc>
              <w:tc>
                <w:tcPr>
                  <w:tcW w:w="815" w:type="pct"/>
                  <w:shd w:val="clear" w:color="auto" w:fill="auto"/>
                  <w:noWrap w:val="0"/>
                  <w:vAlign w:val="center"/>
                </w:tcPr>
                <w:p w14:paraId="4563AC2C">
                  <w:pPr>
                    <w:jc w:val="center"/>
                    <w:rPr>
                      <w:rFonts w:hint="eastAsia" w:ascii="Times New Roman" w:hAnsi="Times New Roman"/>
                      <w:kern w:val="0"/>
                      <w:sz w:val="21"/>
                      <w:szCs w:val="21"/>
                      <w:lang w:val="en-US" w:eastAsia="zh-CN" w:bidi="ar-SA"/>
                    </w:rPr>
                  </w:pPr>
                  <w:r>
                    <w:rPr>
                      <w:kern w:val="0"/>
                      <w:szCs w:val="21"/>
                    </w:rPr>
                    <w:t>用电</w:t>
                  </w:r>
                </w:p>
              </w:tc>
              <w:tc>
                <w:tcPr>
                  <w:tcW w:w="3040" w:type="pct"/>
                  <w:shd w:val="clear" w:color="auto" w:fill="auto"/>
                  <w:noWrap w:val="0"/>
                  <w:vAlign w:val="center"/>
                </w:tcPr>
                <w:p w14:paraId="61C39739">
                  <w:pPr>
                    <w:jc w:val="center"/>
                    <w:rPr>
                      <w:rFonts w:hint="eastAsia" w:ascii="Times New Roman" w:hAnsi="Times New Roman"/>
                      <w:kern w:val="0"/>
                      <w:sz w:val="21"/>
                      <w:szCs w:val="21"/>
                      <w:lang w:val="en-US" w:eastAsia="zh-CN" w:bidi="ar-SA"/>
                    </w:rPr>
                  </w:pPr>
                  <w:r>
                    <w:rPr>
                      <w:kern w:val="0"/>
                      <w:szCs w:val="21"/>
                    </w:rPr>
                    <w:t>依托现有供电设施</w:t>
                  </w:r>
                </w:p>
              </w:tc>
              <w:tc>
                <w:tcPr>
                  <w:tcW w:w="694" w:type="pct"/>
                  <w:shd w:val="clear" w:color="auto" w:fill="auto"/>
                  <w:noWrap w:val="0"/>
                  <w:vAlign w:val="center"/>
                </w:tcPr>
                <w:p w14:paraId="510F8850">
                  <w:pPr>
                    <w:jc w:val="center"/>
                    <w:rPr>
                      <w:rFonts w:hint="eastAsia" w:ascii="Times New Roman" w:hAnsi="Times New Roman"/>
                      <w:kern w:val="0"/>
                      <w:sz w:val="21"/>
                      <w:szCs w:val="21"/>
                      <w:lang w:val="en-US" w:eastAsia="zh-CN" w:bidi="ar-SA"/>
                    </w:rPr>
                  </w:pPr>
                  <w:r>
                    <w:rPr>
                      <w:kern w:val="0"/>
                      <w:szCs w:val="21"/>
                    </w:rPr>
                    <w:t>依托</w:t>
                  </w:r>
                </w:p>
              </w:tc>
            </w:tr>
            <w:tr w14:paraId="216EB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continue"/>
                  <w:shd w:val="clear" w:color="auto" w:fill="auto"/>
                  <w:noWrap w:val="0"/>
                  <w:vAlign w:val="center"/>
                </w:tcPr>
                <w:p w14:paraId="6FC597A0">
                  <w:pPr>
                    <w:jc w:val="center"/>
                    <w:rPr>
                      <w:kern w:val="0"/>
                      <w:szCs w:val="21"/>
                    </w:rPr>
                  </w:pPr>
                </w:p>
              </w:tc>
              <w:tc>
                <w:tcPr>
                  <w:tcW w:w="815" w:type="pct"/>
                  <w:vMerge w:val="restart"/>
                  <w:shd w:val="clear" w:color="auto" w:fill="auto"/>
                  <w:noWrap w:val="0"/>
                  <w:vAlign w:val="center"/>
                </w:tcPr>
                <w:p w14:paraId="55C32EFD">
                  <w:pPr>
                    <w:jc w:val="center"/>
                    <w:rPr>
                      <w:rFonts w:hint="eastAsia" w:ascii="Times New Roman" w:hAnsi="Times New Roman"/>
                      <w:kern w:val="0"/>
                      <w:sz w:val="21"/>
                      <w:szCs w:val="21"/>
                      <w:lang w:val="en-US" w:eastAsia="zh-CN" w:bidi="ar-SA"/>
                    </w:rPr>
                  </w:pPr>
                  <w:r>
                    <w:rPr>
                      <w:kern w:val="0"/>
                      <w:szCs w:val="21"/>
                    </w:rPr>
                    <w:t>用水</w:t>
                  </w:r>
                </w:p>
              </w:tc>
              <w:tc>
                <w:tcPr>
                  <w:tcW w:w="3040" w:type="pct"/>
                  <w:shd w:val="clear" w:color="auto" w:fill="auto"/>
                  <w:noWrap w:val="0"/>
                  <w:vAlign w:val="center"/>
                </w:tcPr>
                <w:p w14:paraId="786268AE">
                  <w:pPr>
                    <w:jc w:val="center"/>
                    <w:rPr>
                      <w:rFonts w:hint="eastAsia" w:ascii="Times New Roman" w:hAnsi="Times New Roman"/>
                      <w:kern w:val="0"/>
                      <w:sz w:val="21"/>
                      <w:szCs w:val="21"/>
                      <w:lang w:val="en-US" w:eastAsia="zh-CN" w:bidi="ar-SA"/>
                    </w:rPr>
                  </w:pPr>
                  <w:r>
                    <w:rPr>
                      <w:kern w:val="0"/>
                      <w:szCs w:val="21"/>
                    </w:rPr>
                    <w:t>依托厂区现有供水设施</w:t>
                  </w:r>
                </w:p>
              </w:tc>
              <w:tc>
                <w:tcPr>
                  <w:tcW w:w="694" w:type="pct"/>
                  <w:shd w:val="clear" w:color="auto" w:fill="auto"/>
                  <w:noWrap w:val="0"/>
                  <w:vAlign w:val="center"/>
                </w:tcPr>
                <w:p w14:paraId="2A24B97D">
                  <w:pPr>
                    <w:jc w:val="center"/>
                    <w:rPr>
                      <w:rFonts w:hint="eastAsia" w:ascii="Times New Roman" w:hAnsi="Times New Roman"/>
                      <w:kern w:val="0"/>
                      <w:sz w:val="21"/>
                      <w:szCs w:val="21"/>
                      <w:lang w:val="en-US" w:eastAsia="zh-CN" w:bidi="ar-SA"/>
                    </w:rPr>
                  </w:pPr>
                  <w:r>
                    <w:rPr>
                      <w:kern w:val="0"/>
                      <w:szCs w:val="21"/>
                    </w:rPr>
                    <w:t>依托</w:t>
                  </w:r>
                </w:p>
              </w:tc>
            </w:tr>
            <w:tr w14:paraId="71BAD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continue"/>
                  <w:shd w:val="clear" w:color="auto" w:fill="auto"/>
                  <w:noWrap w:val="0"/>
                  <w:vAlign w:val="center"/>
                </w:tcPr>
                <w:p w14:paraId="2E33F75B">
                  <w:pPr>
                    <w:jc w:val="center"/>
                    <w:rPr>
                      <w:kern w:val="0"/>
                      <w:szCs w:val="21"/>
                    </w:rPr>
                  </w:pPr>
                </w:p>
              </w:tc>
              <w:tc>
                <w:tcPr>
                  <w:tcW w:w="815" w:type="pct"/>
                  <w:vMerge w:val="continue"/>
                  <w:shd w:val="clear" w:color="auto" w:fill="auto"/>
                  <w:noWrap w:val="0"/>
                  <w:vAlign w:val="center"/>
                </w:tcPr>
                <w:p w14:paraId="04AB3721">
                  <w:pPr>
                    <w:jc w:val="center"/>
                    <w:rPr>
                      <w:rFonts w:hint="eastAsia"/>
                      <w:kern w:val="0"/>
                      <w:szCs w:val="21"/>
                      <w:highlight w:val="none"/>
                      <w:lang w:eastAsia="zh-CN"/>
                    </w:rPr>
                  </w:pPr>
                </w:p>
              </w:tc>
              <w:tc>
                <w:tcPr>
                  <w:tcW w:w="3040" w:type="pct"/>
                  <w:shd w:val="clear" w:color="auto" w:fill="auto"/>
                  <w:noWrap w:val="0"/>
                  <w:vAlign w:val="center"/>
                </w:tcPr>
                <w:p w14:paraId="7A0120E3">
                  <w:pPr>
                    <w:jc w:val="center"/>
                    <w:rPr>
                      <w:rFonts w:hint="eastAsia" w:ascii="Times New Roman" w:hAnsi="Times New Roman" w:eastAsia="宋体"/>
                      <w:kern w:val="0"/>
                      <w:sz w:val="21"/>
                      <w:szCs w:val="21"/>
                      <w:highlight w:val="none"/>
                      <w:lang w:val="en-US" w:eastAsia="zh-CN" w:bidi="ar-SA"/>
                    </w:rPr>
                  </w:pPr>
                  <w:r>
                    <w:rPr>
                      <w:kern w:val="0"/>
                      <w:szCs w:val="21"/>
                      <w:highlight w:val="none"/>
                    </w:rPr>
                    <w:t>本项目</w:t>
                  </w:r>
                  <w:r>
                    <w:rPr>
                      <w:rFonts w:hint="eastAsia"/>
                      <w:kern w:val="0"/>
                      <w:szCs w:val="21"/>
                      <w:highlight w:val="none"/>
                      <w:lang w:eastAsia="zh-CN"/>
                    </w:rPr>
                    <w:t>用水主要为离心雾化器冷却水及水膜除尘系统用水，本次不新增职工，不产生新的生活用水。</w:t>
                  </w:r>
                </w:p>
              </w:tc>
              <w:tc>
                <w:tcPr>
                  <w:tcW w:w="694" w:type="pct"/>
                  <w:shd w:val="clear" w:color="auto" w:fill="auto"/>
                  <w:noWrap w:val="0"/>
                  <w:vAlign w:val="center"/>
                </w:tcPr>
                <w:p w14:paraId="21A09B36">
                  <w:pPr>
                    <w:jc w:val="center"/>
                    <w:rPr>
                      <w:rFonts w:hint="eastAsia" w:ascii="Times New Roman" w:hAnsi="Times New Roman"/>
                      <w:kern w:val="0"/>
                      <w:sz w:val="21"/>
                      <w:szCs w:val="21"/>
                      <w:highlight w:val="none"/>
                      <w:lang w:val="en-US" w:eastAsia="zh-CN" w:bidi="ar-SA"/>
                    </w:rPr>
                  </w:pPr>
                  <w:r>
                    <w:rPr>
                      <w:rFonts w:hint="eastAsia"/>
                      <w:kern w:val="0"/>
                      <w:szCs w:val="21"/>
                      <w:highlight w:val="none"/>
                    </w:rPr>
                    <w:t>新增</w:t>
                  </w:r>
                </w:p>
              </w:tc>
            </w:tr>
            <w:tr w14:paraId="1EA1C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restart"/>
                  <w:shd w:val="clear" w:color="auto" w:fill="auto"/>
                  <w:noWrap w:val="0"/>
                  <w:vAlign w:val="center"/>
                </w:tcPr>
                <w:p w14:paraId="66D094EA">
                  <w:pPr>
                    <w:jc w:val="center"/>
                    <w:rPr>
                      <w:kern w:val="0"/>
                      <w:szCs w:val="21"/>
                    </w:rPr>
                  </w:pPr>
                  <w:r>
                    <w:rPr>
                      <w:kern w:val="0"/>
                      <w:szCs w:val="21"/>
                    </w:rPr>
                    <w:t>环保工程</w:t>
                  </w:r>
                </w:p>
              </w:tc>
              <w:tc>
                <w:tcPr>
                  <w:tcW w:w="815" w:type="pct"/>
                  <w:shd w:val="clear" w:color="auto" w:fill="auto"/>
                  <w:noWrap w:val="0"/>
                  <w:vAlign w:val="center"/>
                </w:tcPr>
                <w:p w14:paraId="4BFA0748">
                  <w:pPr>
                    <w:jc w:val="center"/>
                    <w:rPr>
                      <w:rFonts w:hint="eastAsia" w:eastAsia="宋体"/>
                      <w:kern w:val="0"/>
                      <w:szCs w:val="21"/>
                      <w:lang w:eastAsia="zh-CN"/>
                    </w:rPr>
                  </w:pPr>
                  <w:r>
                    <w:rPr>
                      <w:rFonts w:hint="eastAsia"/>
                      <w:kern w:val="0"/>
                      <w:szCs w:val="21"/>
                      <w:lang w:eastAsia="zh-CN"/>
                    </w:rPr>
                    <w:t>热风炉燃烧废气及干燥废气</w:t>
                  </w:r>
                </w:p>
              </w:tc>
              <w:tc>
                <w:tcPr>
                  <w:tcW w:w="3040" w:type="pct"/>
                  <w:shd w:val="clear" w:color="auto" w:fill="auto"/>
                  <w:noWrap w:val="0"/>
                  <w:vAlign w:val="center"/>
                </w:tcPr>
                <w:p w14:paraId="39E2DFC2">
                  <w:pPr>
                    <w:jc w:val="center"/>
                    <w:rPr>
                      <w:rFonts w:hint="eastAsia" w:eastAsia="宋体"/>
                      <w:kern w:val="0"/>
                      <w:szCs w:val="21"/>
                      <w:lang w:val="en-US" w:eastAsia="zh-CN"/>
                    </w:rPr>
                  </w:pPr>
                  <w:r>
                    <w:rPr>
                      <w:rFonts w:hint="eastAsia"/>
                      <w:kern w:val="0"/>
                      <w:szCs w:val="21"/>
                      <w:lang w:eastAsia="zh-CN"/>
                    </w:rPr>
                    <w:t>热风炉燃烧废气及干燥废气</w:t>
                  </w:r>
                  <w:r>
                    <w:rPr>
                      <w:kern w:val="0"/>
                      <w:szCs w:val="21"/>
                    </w:rPr>
                    <w:t>经</w:t>
                  </w:r>
                  <w:r>
                    <w:rPr>
                      <w:rFonts w:hint="eastAsia"/>
                      <w:kern w:val="0"/>
                      <w:szCs w:val="21"/>
                      <w:lang w:eastAsia="zh-CN"/>
                    </w:rPr>
                    <w:t>管道收集后经旋风除尘</w:t>
                  </w:r>
                  <w:r>
                    <w:rPr>
                      <w:rFonts w:hint="eastAsia"/>
                      <w:kern w:val="0"/>
                      <w:szCs w:val="21"/>
                      <w:lang w:val="en-US" w:eastAsia="zh-CN"/>
                    </w:rPr>
                    <w:t>+两级水膜除尘器处理后通过24m的排气筒排放</w:t>
                  </w:r>
                  <w:r>
                    <w:rPr>
                      <w:rFonts w:hint="eastAsia"/>
                      <w:lang w:eastAsia="zh-CN"/>
                    </w:rPr>
                    <w:t>。</w:t>
                  </w:r>
                </w:p>
              </w:tc>
              <w:tc>
                <w:tcPr>
                  <w:tcW w:w="694" w:type="pct"/>
                  <w:shd w:val="clear" w:color="auto" w:fill="auto"/>
                  <w:noWrap w:val="0"/>
                  <w:vAlign w:val="center"/>
                </w:tcPr>
                <w:p w14:paraId="39F55131">
                  <w:pPr>
                    <w:jc w:val="center"/>
                    <w:rPr>
                      <w:kern w:val="0"/>
                      <w:szCs w:val="21"/>
                    </w:rPr>
                  </w:pPr>
                  <w:r>
                    <w:rPr>
                      <w:rFonts w:hint="eastAsia"/>
                      <w:kern w:val="0"/>
                      <w:szCs w:val="21"/>
                    </w:rPr>
                    <w:t>新增</w:t>
                  </w:r>
                </w:p>
              </w:tc>
            </w:tr>
            <w:tr w14:paraId="5FA3C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continue"/>
                  <w:shd w:val="clear" w:color="auto" w:fill="auto"/>
                  <w:noWrap w:val="0"/>
                  <w:vAlign w:val="center"/>
                </w:tcPr>
                <w:p w14:paraId="735EB54B">
                  <w:pPr>
                    <w:jc w:val="center"/>
                    <w:rPr>
                      <w:kern w:val="0"/>
                      <w:szCs w:val="21"/>
                    </w:rPr>
                  </w:pPr>
                </w:p>
              </w:tc>
              <w:tc>
                <w:tcPr>
                  <w:tcW w:w="815" w:type="pct"/>
                  <w:shd w:val="clear" w:color="auto" w:fill="auto"/>
                  <w:noWrap w:val="0"/>
                  <w:vAlign w:val="center"/>
                </w:tcPr>
                <w:p w14:paraId="4299A12B">
                  <w:pPr>
                    <w:jc w:val="center"/>
                    <w:rPr>
                      <w:rFonts w:hint="eastAsia"/>
                      <w:szCs w:val="21"/>
                    </w:rPr>
                  </w:pPr>
                  <w:r>
                    <w:rPr>
                      <w:rFonts w:hint="eastAsia"/>
                      <w:szCs w:val="21"/>
                    </w:rPr>
                    <w:t>噪声防治</w:t>
                  </w:r>
                </w:p>
              </w:tc>
              <w:tc>
                <w:tcPr>
                  <w:tcW w:w="3040" w:type="pct"/>
                  <w:shd w:val="clear" w:color="auto" w:fill="auto"/>
                  <w:noWrap w:val="0"/>
                  <w:vAlign w:val="center"/>
                </w:tcPr>
                <w:p w14:paraId="20FED282">
                  <w:pPr>
                    <w:jc w:val="center"/>
                    <w:rPr>
                      <w:rFonts w:hint="eastAsia" w:eastAsia="宋体"/>
                      <w:szCs w:val="21"/>
                      <w:lang w:eastAsia="zh-CN"/>
                    </w:rPr>
                  </w:pPr>
                  <w:r>
                    <w:rPr>
                      <w:rFonts w:hint="eastAsia"/>
                      <w:szCs w:val="21"/>
                    </w:rPr>
                    <w:t>本项目产噪设备均置于车间内，主要采取厂房隔声措施、辅助消声等降噪措施</w:t>
                  </w:r>
                  <w:r>
                    <w:rPr>
                      <w:rFonts w:hint="eastAsia"/>
                      <w:lang w:eastAsia="zh-CN"/>
                    </w:rPr>
                    <w:t>。</w:t>
                  </w:r>
                </w:p>
              </w:tc>
              <w:tc>
                <w:tcPr>
                  <w:tcW w:w="694" w:type="pct"/>
                  <w:shd w:val="clear" w:color="auto" w:fill="auto"/>
                  <w:noWrap w:val="0"/>
                  <w:vAlign w:val="center"/>
                </w:tcPr>
                <w:p w14:paraId="77DB1061">
                  <w:pPr>
                    <w:jc w:val="center"/>
                    <w:rPr>
                      <w:kern w:val="0"/>
                      <w:szCs w:val="21"/>
                    </w:rPr>
                  </w:pPr>
                  <w:r>
                    <w:rPr>
                      <w:rFonts w:hint="eastAsia"/>
                      <w:kern w:val="0"/>
                      <w:szCs w:val="21"/>
                    </w:rPr>
                    <w:t>依托</w:t>
                  </w:r>
                  <w:r>
                    <w:rPr>
                      <w:kern w:val="0"/>
                      <w:szCs w:val="21"/>
                    </w:rPr>
                    <w:t>原有厂房及围墙</w:t>
                  </w:r>
                </w:p>
              </w:tc>
            </w:tr>
            <w:tr w14:paraId="48FBC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continue"/>
                  <w:shd w:val="clear" w:color="auto" w:fill="auto"/>
                  <w:noWrap w:val="0"/>
                  <w:vAlign w:val="center"/>
                </w:tcPr>
                <w:p w14:paraId="47094B1A">
                  <w:pPr>
                    <w:jc w:val="center"/>
                    <w:rPr>
                      <w:kern w:val="0"/>
                      <w:szCs w:val="21"/>
                    </w:rPr>
                  </w:pPr>
                </w:p>
              </w:tc>
              <w:tc>
                <w:tcPr>
                  <w:tcW w:w="815" w:type="pct"/>
                  <w:shd w:val="clear" w:color="auto" w:fill="auto"/>
                  <w:noWrap w:val="0"/>
                  <w:vAlign w:val="center"/>
                </w:tcPr>
                <w:p w14:paraId="5F4E4E9E">
                  <w:pPr>
                    <w:jc w:val="center"/>
                    <w:rPr>
                      <w:rFonts w:hint="eastAsia"/>
                      <w:szCs w:val="21"/>
                    </w:rPr>
                  </w:pPr>
                  <w:r>
                    <w:rPr>
                      <w:rFonts w:hint="eastAsia"/>
                      <w:szCs w:val="21"/>
                    </w:rPr>
                    <w:t>废水处理</w:t>
                  </w:r>
                </w:p>
              </w:tc>
              <w:tc>
                <w:tcPr>
                  <w:tcW w:w="3040" w:type="pct"/>
                  <w:shd w:val="clear" w:color="auto" w:fill="auto"/>
                  <w:noWrap w:val="0"/>
                  <w:vAlign w:val="center"/>
                </w:tcPr>
                <w:p w14:paraId="442F4783">
                  <w:pPr>
                    <w:jc w:val="center"/>
                    <w:rPr>
                      <w:rFonts w:hint="eastAsia" w:eastAsia="宋体"/>
                      <w:szCs w:val="21"/>
                      <w:lang w:eastAsia="zh-CN"/>
                    </w:rPr>
                  </w:pPr>
                  <w:r>
                    <w:rPr>
                      <w:rFonts w:hint="eastAsia"/>
                      <w:szCs w:val="21"/>
                    </w:rPr>
                    <w:t>本项目不产生生产废水及生活污水</w:t>
                  </w:r>
                  <w:r>
                    <w:rPr>
                      <w:rFonts w:hint="eastAsia"/>
                      <w:szCs w:val="21"/>
                      <w:lang w:eastAsia="zh-CN"/>
                    </w:rPr>
                    <w:t>，水膜除尘废水每个月更换一次，更换的废水直接进入干燥塔进行蒸发处理，</w:t>
                  </w:r>
                  <w:r>
                    <w:rPr>
                      <w:rFonts w:hint="eastAsia"/>
                      <w:kern w:val="0"/>
                      <w:szCs w:val="21"/>
                      <w:highlight w:val="none"/>
                      <w:lang w:eastAsia="zh-CN"/>
                    </w:rPr>
                    <w:t>离心雾化器冷却水循环使用不外排。</w:t>
                  </w:r>
                </w:p>
              </w:tc>
              <w:tc>
                <w:tcPr>
                  <w:tcW w:w="694" w:type="pct"/>
                  <w:shd w:val="clear" w:color="auto" w:fill="auto"/>
                  <w:noWrap w:val="0"/>
                  <w:vAlign w:val="center"/>
                </w:tcPr>
                <w:p w14:paraId="71780D5B">
                  <w:pPr>
                    <w:jc w:val="center"/>
                    <w:rPr>
                      <w:kern w:val="0"/>
                      <w:szCs w:val="21"/>
                    </w:rPr>
                  </w:pPr>
                  <w:r>
                    <w:rPr>
                      <w:rFonts w:hint="eastAsia"/>
                      <w:kern w:val="0"/>
                      <w:szCs w:val="21"/>
                    </w:rPr>
                    <w:t>/</w:t>
                  </w:r>
                </w:p>
              </w:tc>
            </w:tr>
            <w:tr w14:paraId="580D1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9" w:type="pct"/>
                  <w:vMerge w:val="continue"/>
                  <w:shd w:val="clear" w:color="auto" w:fill="auto"/>
                  <w:noWrap w:val="0"/>
                  <w:vAlign w:val="center"/>
                </w:tcPr>
                <w:p w14:paraId="44359D8A">
                  <w:pPr>
                    <w:jc w:val="center"/>
                    <w:rPr>
                      <w:kern w:val="0"/>
                      <w:szCs w:val="21"/>
                    </w:rPr>
                  </w:pPr>
                </w:p>
              </w:tc>
              <w:tc>
                <w:tcPr>
                  <w:tcW w:w="815" w:type="pct"/>
                  <w:shd w:val="clear" w:color="auto" w:fill="auto"/>
                  <w:noWrap w:val="0"/>
                  <w:vAlign w:val="center"/>
                </w:tcPr>
                <w:p w14:paraId="69B61B77">
                  <w:pPr>
                    <w:jc w:val="center"/>
                    <w:rPr>
                      <w:rFonts w:hint="eastAsia"/>
                      <w:szCs w:val="21"/>
                    </w:rPr>
                  </w:pPr>
                  <w:r>
                    <w:rPr>
                      <w:rFonts w:hint="eastAsia"/>
                      <w:szCs w:val="21"/>
                    </w:rPr>
                    <w:t>固体废物</w:t>
                  </w:r>
                </w:p>
              </w:tc>
              <w:tc>
                <w:tcPr>
                  <w:tcW w:w="3040" w:type="pct"/>
                  <w:shd w:val="clear" w:color="auto" w:fill="auto"/>
                  <w:noWrap w:val="0"/>
                  <w:vAlign w:val="center"/>
                </w:tcPr>
                <w:p w14:paraId="59F81967">
                  <w:pPr>
                    <w:jc w:val="center"/>
                    <w:rPr>
                      <w:rFonts w:hint="eastAsia" w:eastAsia="宋体"/>
                      <w:szCs w:val="21"/>
                      <w:lang w:eastAsia="zh-CN"/>
                    </w:rPr>
                  </w:pPr>
                  <w:r>
                    <w:rPr>
                      <w:rFonts w:hint="eastAsia"/>
                      <w:szCs w:val="21"/>
                      <w:lang w:eastAsia="zh-CN"/>
                    </w:rPr>
                    <w:t>本项目不产生一般工业固废，危险废物</w:t>
                  </w:r>
                  <w:r>
                    <w:rPr>
                      <w:rFonts w:hint="eastAsia"/>
                      <w:szCs w:val="21"/>
                    </w:rPr>
                    <w:t>依托</w:t>
                  </w:r>
                  <w:r>
                    <w:rPr>
                      <w:rFonts w:hint="eastAsia"/>
                      <w:szCs w:val="21"/>
                      <w:lang w:eastAsia="zh-CN"/>
                    </w:rPr>
                    <w:t>现有</w:t>
                  </w:r>
                  <w:r>
                    <w:rPr>
                      <w:rFonts w:hint="eastAsia"/>
                      <w:szCs w:val="21"/>
                    </w:rPr>
                    <w:t>危险废物贮存库</w:t>
                  </w:r>
                  <w:r>
                    <w:rPr>
                      <w:rFonts w:hint="eastAsia"/>
                      <w:color w:val="auto"/>
                      <w:szCs w:val="21"/>
                    </w:rPr>
                    <w:t>，面积</w:t>
                  </w:r>
                  <w:r>
                    <w:rPr>
                      <w:rFonts w:hint="eastAsia"/>
                      <w:color w:val="auto"/>
                      <w:szCs w:val="21"/>
                      <w:lang w:val="en-US" w:eastAsia="zh-CN"/>
                    </w:rPr>
                    <w:t>50</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szCs w:val="21"/>
                    </w:rPr>
                    <w:t>位于</w:t>
                  </w:r>
                  <w:r>
                    <w:rPr>
                      <w:rFonts w:hint="eastAsia"/>
                      <w:szCs w:val="21"/>
                      <w:lang w:eastAsia="zh-CN"/>
                    </w:rPr>
                    <w:t>厂区西南角</w:t>
                  </w:r>
                  <w:r>
                    <w:rPr>
                      <w:rFonts w:hint="eastAsia"/>
                      <w:lang w:eastAsia="zh-CN"/>
                    </w:rPr>
                    <w:t>。</w:t>
                  </w:r>
                </w:p>
              </w:tc>
              <w:tc>
                <w:tcPr>
                  <w:tcW w:w="694" w:type="pct"/>
                  <w:shd w:val="clear" w:color="auto" w:fill="auto"/>
                  <w:noWrap w:val="0"/>
                  <w:vAlign w:val="center"/>
                </w:tcPr>
                <w:p w14:paraId="5E8BC9CD">
                  <w:pPr>
                    <w:jc w:val="center"/>
                    <w:rPr>
                      <w:kern w:val="0"/>
                      <w:szCs w:val="21"/>
                    </w:rPr>
                  </w:pPr>
                  <w:r>
                    <w:rPr>
                      <w:kern w:val="0"/>
                      <w:szCs w:val="21"/>
                    </w:rPr>
                    <w:t>依托</w:t>
                  </w:r>
                </w:p>
              </w:tc>
            </w:tr>
          </w:tbl>
          <w:p w14:paraId="7081E78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b/>
                <w:kern w:val="0"/>
                <w:sz w:val="24"/>
              </w:rPr>
              <w:t>3</w:t>
            </w:r>
            <w:r>
              <w:rPr>
                <w:rFonts w:hint="eastAsia" w:hAnsi="宋体"/>
                <w:b/>
                <w:kern w:val="0"/>
                <w:sz w:val="24"/>
                <w:lang w:val="en-US" w:eastAsia="zh-CN"/>
              </w:rPr>
              <w:t>.</w:t>
            </w:r>
            <w:r>
              <w:rPr>
                <w:rFonts w:hAnsi="宋体"/>
                <w:b/>
                <w:kern w:val="0"/>
                <w:sz w:val="24"/>
              </w:rPr>
              <w:t>产品及产能</w:t>
            </w:r>
          </w:p>
          <w:p w14:paraId="57D4F6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kern w:val="0"/>
                <w:sz w:val="24"/>
                <w:lang w:eastAsia="zh-CN"/>
              </w:rPr>
            </w:pPr>
            <w:r>
              <w:rPr>
                <w:rFonts w:hint="eastAsia" w:ascii="宋体" w:hAnsi="宋体" w:eastAsia="宋体" w:cs="宋体"/>
                <w:kern w:val="0"/>
                <w:sz w:val="24"/>
              </w:rPr>
              <w:t>⑴</w:t>
            </w:r>
            <w:r>
              <w:rPr>
                <w:rFonts w:hint="eastAsia" w:ascii="宋体" w:hAnsi="宋体" w:eastAsia="宋体" w:cs="宋体"/>
                <w:kern w:val="0"/>
                <w:sz w:val="24"/>
                <w:lang w:eastAsia="zh-CN"/>
              </w:rPr>
              <w:t>产品情况</w:t>
            </w:r>
          </w:p>
          <w:p w14:paraId="035737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kern w:val="0"/>
                <w:sz w:val="24"/>
                <w:lang w:eastAsia="zh-CN"/>
              </w:rPr>
            </w:pPr>
            <w:r>
              <w:rPr>
                <w:rFonts w:hint="eastAsia" w:ascii="宋体" w:hAnsi="宋体" w:eastAsia="宋体" w:cs="宋体"/>
                <w:kern w:val="0"/>
                <w:sz w:val="24"/>
                <w:lang w:eastAsia="zh-CN"/>
              </w:rPr>
              <w:t>本次技改涉及的产品为萘系减水剂粉剂，具体变化情况见下表。</w:t>
            </w:r>
          </w:p>
          <w:p w14:paraId="2EEEF6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kern w:val="0"/>
                <w:sz w:val="24"/>
              </w:rPr>
            </w:pPr>
            <w:r>
              <w:rPr>
                <w:rFonts w:hint="eastAsia" w:ascii="Times New Roman" w:hAnsi="Times New Roman" w:eastAsia="宋体" w:cs="Times New Roman"/>
                <w:kern w:val="0"/>
                <w:sz w:val="24"/>
              </w:rPr>
              <w:t>表</w:t>
            </w:r>
            <w:r>
              <w:rPr>
                <w:rFonts w:hint="eastAsia" w:ascii="Times New Roman" w:hAnsi="Times New Roman" w:eastAsia="宋体" w:cs="Times New Roman"/>
                <w:kern w:val="0"/>
                <w:sz w:val="24"/>
                <w:lang w:val="en-US" w:eastAsia="zh-CN"/>
              </w:rPr>
              <w:t>2-2</w:t>
            </w:r>
            <w:r>
              <w:rPr>
                <w:rFonts w:hint="eastAsia" w:ascii="Times New Roman" w:hAnsi="Times New Roman" w:eastAsia="宋体" w:cs="Times New Roman"/>
                <w:kern w:val="0"/>
                <w:sz w:val="24"/>
              </w:rPr>
              <w:t xml:space="preserve">  产品方案表</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8"/>
              <w:gridCol w:w="1441"/>
              <w:gridCol w:w="1415"/>
              <w:gridCol w:w="738"/>
              <w:gridCol w:w="976"/>
              <w:gridCol w:w="1043"/>
              <w:gridCol w:w="1736"/>
            </w:tblGrid>
            <w:tr w14:paraId="1CBA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95" w:type="pct"/>
                  <w:vMerge w:val="restart"/>
                  <w:shd w:val="clear" w:color="auto" w:fill="auto"/>
                  <w:noWrap w:val="0"/>
                  <w:vAlign w:val="center"/>
                </w:tcPr>
                <w:p w14:paraId="161F15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bookmarkStart w:id="8" w:name="OLE_LINK52"/>
                  <w:bookmarkStart w:id="9" w:name="OLE_LINK53"/>
                  <w:r>
                    <w:rPr>
                      <w:rFonts w:hint="eastAsia" w:ascii="Times New Roman" w:hAnsi="Times New Roman" w:eastAsia="宋体" w:cs="Times New Roman"/>
                      <w:sz w:val="21"/>
                      <w:szCs w:val="21"/>
                    </w:rPr>
                    <w:t>序号</w:t>
                  </w:r>
                </w:p>
              </w:tc>
              <w:tc>
                <w:tcPr>
                  <w:tcW w:w="883" w:type="pct"/>
                  <w:vMerge w:val="restart"/>
                  <w:shd w:val="clear" w:color="auto" w:fill="auto"/>
                  <w:noWrap w:val="0"/>
                  <w:vAlign w:val="center"/>
                </w:tcPr>
                <w:p w14:paraId="51571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生产车间</w:t>
                  </w:r>
                </w:p>
              </w:tc>
              <w:tc>
                <w:tcPr>
                  <w:tcW w:w="867" w:type="pct"/>
                  <w:vMerge w:val="restart"/>
                  <w:shd w:val="clear" w:color="auto" w:fill="auto"/>
                  <w:noWrap w:val="0"/>
                  <w:vAlign w:val="center"/>
                </w:tcPr>
                <w:p w14:paraId="095D20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产品名称</w:t>
                  </w:r>
                </w:p>
              </w:tc>
              <w:tc>
                <w:tcPr>
                  <w:tcW w:w="452" w:type="pct"/>
                  <w:vMerge w:val="restart"/>
                  <w:shd w:val="clear" w:color="auto" w:fill="auto"/>
                  <w:noWrap w:val="0"/>
                  <w:vAlign w:val="center"/>
                </w:tcPr>
                <w:p w14:paraId="7C430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单位</w:t>
                  </w:r>
                </w:p>
              </w:tc>
              <w:tc>
                <w:tcPr>
                  <w:tcW w:w="1237" w:type="pct"/>
                  <w:gridSpan w:val="2"/>
                  <w:shd w:val="clear" w:color="auto" w:fill="auto"/>
                  <w:noWrap w:val="0"/>
                  <w:vAlign w:val="center"/>
                </w:tcPr>
                <w:p w14:paraId="50A028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数量</w:t>
                  </w:r>
                </w:p>
              </w:tc>
              <w:tc>
                <w:tcPr>
                  <w:tcW w:w="1064" w:type="pct"/>
                  <w:vMerge w:val="restart"/>
                  <w:shd w:val="clear" w:color="auto" w:fill="auto"/>
                  <w:noWrap w:val="0"/>
                  <w:vAlign w:val="center"/>
                </w:tcPr>
                <w:p w14:paraId="189B9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规格</w:t>
                  </w:r>
                </w:p>
              </w:tc>
            </w:tr>
            <w:tr w14:paraId="7B52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Merge w:val="continue"/>
                  <w:shd w:val="clear" w:color="auto" w:fill="auto"/>
                  <w:noWrap w:val="0"/>
                  <w:vAlign w:val="center"/>
                </w:tcPr>
                <w:p w14:paraId="46D532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p>
              </w:tc>
              <w:tc>
                <w:tcPr>
                  <w:tcW w:w="883" w:type="pct"/>
                  <w:vMerge w:val="continue"/>
                  <w:shd w:val="clear" w:color="auto" w:fill="auto"/>
                  <w:noWrap w:val="0"/>
                  <w:vAlign w:val="center"/>
                </w:tcPr>
                <w:p w14:paraId="5B17BB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p>
              </w:tc>
              <w:tc>
                <w:tcPr>
                  <w:tcW w:w="867" w:type="pct"/>
                  <w:vMerge w:val="continue"/>
                  <w:shd w:val="clear" w:color="auto" w:fill="auto"/>
                  <w:noWrap w:val="0"/>
                  <w:vAlign w:val="center"/>
                </w:tcPr>
                <w:p w14:paraId="4E6AA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p>
              </w:tc>
              <w:tc>
                <w:tcPr>
                  <w:tcW w:w="452" w:type="pct"/>
                  <w:vMerge w:val="continue"/>
                  <w:shd w:val="clear" w:color="auto" w:fill="auto"/>
                  <w:noWrap w:val="0"/>
                  <w:vAlign w:val="center"/>
                </w:tcPr>
                <w:p w14:paraId="244806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p>
              </w:tc>
              <w:tc>
                <w:tcPr>
                  <w:tcW w:w="598" w:type="pct"/>
                  <w:shd w:val="clear" w:color="auto" w:fill="auto"/>
                  <w:noWrap w:val="0"/>
                  <w:vAlign w:val="center"/>
                </w:tcPr>
                <w:p w14:paraId="043B0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技改前</w:t>
                  </w:r>
                </w:p>
              </w:tc>
              <w:tc>
                <w:tcPr>
                  <w:tcW w:w="639" w:type="pct"/>
                  <w:shd w:val="clear" w:color="auto" w:fill="auto"/>
                  <w:noWrap w:val="0"/>
                  <w:vAlign w:val="center"/>
                </w:tcPr>
                <w:p w14:paraId="580E73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技改后</w:t>
                  </w:r>
                </w:p>
              </w:tc>
              <w:tc>
                <w:tcPr>
                  <w:tcW w:w="1064" w:type="pct"/>
                  <w:vMerge w:val="continue"/>
                  <w:shd w:val="clear" w:color="auto" w:fill="auto"/>
                  <w:noWrap w:val="0"/>
                  <w:vAlign w:val="center"/>
                </w:tcPr>
                <w:p w14:paraId="310524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lang w:eastAsia="zh-CN"/>
                    </w:rPr>
                  </w:pPr>
                </w:p>
              </w:tc>
            </w:tr>
            <w:tr w14:paraId="5440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shd w:val="clear" w:color="auto" w:fill="auto"/>
                  <w:noWrap w:val="0"/>
                  <w:vAlign w:val="center"/>
                </w:tcPr>
                <w:p w14:paraId="49A77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883" w:type="pct"/>
                  <w:shd w:val="clear" w:color="auto" w:fill="auto"/>
                  <w:noWrap w:val="0"/>
                  <w:vAlign w:val="center"/>
                </w:tcPr>
                <w:p w14:paraId="22781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减水剂生产车间</w:t>
                  </w:r>
                </w:p>
              </w:tc>
              <w:tc>
                <w:tcPr>
                  <w:tcW w:w="867" w:type="pct"/>
                  <w:shd w:val="clear" w:color="auto" w:fill="auto"/>
                  <w:noWrap w:val="0"/>
                  <w:vAlign w:val="center"/>
                </w:tcPr>
                <w:p w14:paraId="232EF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萘系减水剂粉剂</w:t>
                  </w:r>
                </w:p>
              </w:tc>
              <w:tc>
                <w:tcPr>
                  <w:tcW w:w="452" w:type="pct"/>
                  <w:shd w:val="clear" w:color="auto" w:fill="auto"/>
                  <w:noWrap w:val="0"/>
                  <w:vAlign w:val="center"/>
                </w:tcPr>
                <w:p w14:paraId="356352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t/a</w:t>
                  </w:r>
                </w:p>
              </w:tc>
              <w:tc>
                <w:tcPr>
                  <w:tcW w:w="598" w:type="pct"/>
                  <w:shd w:val="clear" w:color="auto" w:fill="auto"/>
                  <w:noWrap w:val="0"/>
                  <w:vAlign w:val="center"/>
                </w:tcPr>
                <w:p w14:paraId="33EBEE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20000</w:t>
                  </w:r>
                </w:p>
              </w:tc>
              <w:tc>
                <w:tcPr>
                  <w:tcW w:w="639" w:type="pct"/>
                  <w:shd w:val="clear" w:color="auto" w:fill="auto"/>
                  <w:noWrap w:val="0"/>
                  <w:vAlign w:val="center"/>
                </w:tcPr>
                <w:p w14:paraId="05A0EE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7200</w:t>
                  </w:r>
                </w:p>
              </w:tc>
              <w:tc>
                <w:tcPr>
                  <w:tcW w:w="1064" w:type="pct"/>
                  <w:shd w:val="clear" w:color="auto" w:fill="auto"/>
                  <w:noWrap w:val="0"/>
                  <w:vAlign w:val="center"/>
                </w:tcPr>
                <w:p w14:paraId="41DEE70B">
                  <w:pPr>
                    <w:pStyle w:val="46"/>
                    <w:rPr>
                      <w:rFonts w:hint="eastAsia"/>
                      <w:sz w:val="21"/>
                      <w:szCs w:val="21"/>
                      <w:highlight w:val="none"/>
                      <w:lang w:val="en-US" w:eastAsia="zh-CN"/>
                    </w:rPr>
                  </w:pPr>
                  <w:r>
                    <w:rPr>
                      <w:rFonts w:hint="eastAsia" w:ascii="Times New Roman" w:hAnsi="Times New Roman" w:cs="Times New Roman"/>
                      <w:sz w:val="21"/>
                      <w:szCs w:val="21"/>
                      <w:highlight w:val="none"/>
                      <w:lang w:val="en-US" w:eastAsia="zh-CN"/>
                    </w:rPr>
                    <w:t>塑料编织</w:t>
                  </w:r>
                  <w:r>
                    <w:rPr>
                      <w:rFonts w:hint="eastAsia"/>
                      <w:lang w:eastAsia="zh-CN"/>
                    </w:rPr>
                    <w:t>，</w:t>
                  </w:r>
                  <w:r>
                    <w:rPr>
                      <w:rFonts w:hint="eastAsia" w:ascii="Times New Roman" w:hAnsi="Times New Roman" w:cs="Times New Roman"/>
                      <w:sz w:val="21"/>
                      <w:szCs w:val="21"/>
                      <w:highlight w:val="none"/>
                      <w:lang w:val="en-US" w:eastAsia="zh-CN"/>
                    </w:rPr>
                    <w:t>双层袋装，25kg每袋</w:t>
                  </w:r>
                </w:p>
              </w:tc>
            </w:tr>
            <w:bookmarkEnd w:id="8"/>
            <w:bookmarkEnd w:id="9"/>
          </w:tbl>
          <w:p w14:paraId="639C1A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kern w:val="0"/>
                <w:sz w:val="24"/>
                <w:szCs w:val="24"/>
                <w:lang w:eastAsia="zh-CN"/>
              </w:rPr>
            </w:pPr>
            <w:r>
              <w:rPr>
                <w:rFonts w:hint="eastAsia" w:ascii="Times New Roman" w:hAnsi="Times New Roman" w:eastAsia="宋体" w:cs="Times New Roman"/>
                <w:b w:val="0"/>
                <w:bCs/>
                <w:kern w:val="0"/>
                <w:sz w:val="24"/>
                <w:szCs w:val="24"/>
                <w:lang w:eastAsia="zh-CN"/>
              </w:rPr>
              <w:t>行业产品技术指标见下表。</w:t>
            </w:r>
          </w:p>
          <w:p w14:paraId="7B3C81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eastAsia="zh-CN"/>
              </w:rPr>
              <w:t>表</w:t>
            </w:r>
            <w:r>
              <w:rPr>
                <w:rFonts w:hint="eastAsia" w:ascii="Times New Roman" w:hAnsi="Times New Roman" w:eastAsia="宋体" w:cs="Times New Roman"/>
                <w:kern w:val="0"/>
                <w:sz w:val="24"/>
                <w:lang w:val="en-US" w:eastAsia="zh-CN"/>
              </w:rPr>
              <w:t>2-3  行业产品技术指标</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38"/>
              <w:gridCol w:w="2040"/>
              <w:gridCol w:w="2418"/>
              <w:gridCol w:w="1664"/>
            </w:tblGrid>
            <w:tr w14:paraId="3C8C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38" w:type="dxa"/>
                  <w:shd w:val="clear" w:color="auto" w:fill="auto"/>
                  <w:noWrap w:val="0"/>
                  <w:vAlign w:val="center"/>
                </w:tcPr>
                <w:p w14:paraId="41CF72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项目</w:t>
                  </w:r>
                </w:p>
              </w:tc>
              <w:tc>
                <w:tcPr>
                  <w:tcW w:w="2040" w:type="dxa"/>
                  <w:shd w:val="clear" w:color="auto" w:fill="auto"/>
                  <w:noWrap w:val="0"/>
                  <w:vAlign w:val="center"/>
                </w:tcPr>
                <w:p w14:paraId="302DB1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指标</w:t>
                  </w:r>
                </w:p>
              </w:tc>
              <w:tc>
                <w:tcPr>
                  <w:tcW w:w="2418" w:type="dxa"/>
                  <w:shd w:val="clear" w:color="auto" w:fill="auto"/>
                  <w:noWrap w:val="0"/>
                  <w:vAlign w:val="center"/>
                </w:tcPr>
                <w:p w14:paraId="646A93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项目</w:t>
                  </w:r>
                </w:p>
              </w:tc>
              <w:tc>
                <w:tcPr>
                  <w:tcW w:w="1664" w:type="dxa"/>
                  <w:shd w:val="clear" w:color="auto" w:fill="auto"/>
                  <w:noWrap w:val="0"/>
                  <w:vAlign w:val="center"/>
                </w:tcPr>
                <w:p w14:paraId="35214D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指标</w:t>
                  </w:r>
                </w:p>
              </w:tc>
            </w:tr>
            <w:tr w14:paraId="12F3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shd w:val="clear" w:color="auto" w:fill="auto"/>
                  <w:noWrap w:val="0"/>
                  <w:vAlign w:val="center"/>
                </w:tcPr>
                <w:p w14:paraId="79158E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粉剂</w:t>
                  </w:r>
                </w:p>
              </w:tc>
              <w:tc>
                <w:tcPr>
                  <w:tcW w:w="2040" w:type="dxa"/>
                  <w:shd w:val="clear" w:color="auto" w:fill="auto"/>
                  <w:noWrap w:val="0"/>
                  <w:vAlign w:val="center"/>
                </w:tcPr>
                <w:p w14:paraId="18C35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黄褐色粉末</w:t>
                  </w:r>
                </w:p>
              </w:tc>
              <w:tc>
                <w:tcPr>
                  <w:tcW w:w="2418" w:type="dxa"/>
                  <w:shd w:val="clear" w:color="auto" w:fill="auto"/>
                  <w:noWrap w:val="0"/>
                  <w:vAlign w:val="center"/>
                </w:tcPr>
                <w:p w14:paraId="56FAE2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细度（</w:t>
                  </w:r>
                  <w:r>
                    <w:rPr>
                      <w:rFonts w:hint="eastAsia" w:ascii="Times New Roman" w:hAnsi="Times New Roman" w:eastAsia="宋体" w:cs="Times New Roman"/>
                      <w:b w:val="0"/>
                      <w:bCs/>
                      <w:kern w:val="0"/>
                      <w:sz w:val="21"/>
                      <w:szCs w:val="21"/>
                      <w:vertAlign w:val="baseline"/>
                      <w:lang w:val="en-US" w:eastAsia="zh-CN"/>
                    </w:rPr>
                    <w:t>0.315mm筛余</w:t>
                  </w:r>
                  <w:r>
                    <w:rPr>
                      <w:rFonts w:hint="eastAsia" w:ascii="Times New Roman" w:hAnsi="Times New Roman" w:eastAsia="宋体" w:cs="Times New Roman"/>
                      <w:b w:val="0"/>
                      <w:bCs/>
                      <w:kern w:val="0"/>
                      <w:sz w:val="21"/>
                      <w:szCs w:val="21"/>
                      <w:vertAlign w:val="baseline"/>
                      <w:lang w:eastAsia="zh-CN"/>
                    </w:rPr>
                    <w:t>）</w:t>
                  </w:r>
                </w:p>
              </w:tc>
              <w:tc>
                <w:tcPr>
                  <w:tcW w:w="1664" w:type="dxa"/>
                  <w:shd w:val="clear" w:color="auto" w:fill="auto"/>
                  <w:noWrap w:val="0"/>
                  <w:vAlign w:val="center"/>
                </w:tcPr>
                <w:p w14:paraId="6A843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rPr>
                  </w:pPr>
                  <w:r>
                    <w:rPr>
                      <w:rFonts w:hint="eastAsia" w:ascii="宋体" w:hAnsi="宋体" w:eastAsia="宋体" w:cs="宋体"/>
                      <w:b w:val="0"/>
                      <w:bCs/>
                      <w:kern w:val="0"/>
                      <w:sz w:val="21"/>
                      <w:szCs w:val="21"/>
                      <w:vertAlign w:val="baseline"/>
                      <w:lang w:eastAsia="zh-CN"/>
                    </w:rPr>
                    <w:t>≤</w:t>
                  </w:r>
                  <w:r>
                    <w:rPr>
                      <w:rFonts w:hint="eastAsia" w:ascii="Times New Roman" w:hAnsi="Times New Roman" w:eastAsia="宋体" w:cs="Times New Roman"/>
                      <w:b w:val="0"/>
                      <w:bCs/>
                      <w:kern w:val="0"/>
                      <w:sz w:val="21"/>
                      <w:szCs w:val="21"/>
                      <w:vertAlign w:val="baseline"/>
                      <w:lang w:val="en-US" w:eastAsia="zh-CN"/>
                    </w:rPr>
                    <w:t>12%</w:t>
                  </w:r>
                </w:p>
              </w:tc>
            </w:tr>
            <w:tr w14:paraId="6BCB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shd w:val="clear" w:color="auto" w:fill="auto"/>
                  <w:noWrap w:val="0"/>
                  <w:vAlign w:val="center"/>
                </w:tcPr>
                <w:p w14:paraId="08BB18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eastAsia="宋体" w:cs="Times New Roman"/>
                      <w:b w:val="0"/>
                      <w:bCs/>
                      <w:kern w:val="0"/>
                      <w:sz w:val="21"/>
                      <w:szCs w:val="21"/>
                      <w:vertAlign w:val="baseline"/>
                      <w:lang w:eastAsia="zh-CN"/>
                    </w:rPr>
                    <w:t>固体含水率</w:t>
                  </w:r>
                </w:p>
              </w:tc>
              <w:tc>
                <w:tcPr>
                  <w:tcW w:w="2040" w:type="dxa"/>
                  <w:shd w:val="clear" w:color="auto" w:fill="auto"/>
                  <w:noWrap w:val="0"/>
                  <w:vAlign w:val="center"/>
                </w:tcPr>
                <w:p w14:paraId="22C703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宋体" w:hAnsi="宋体" w:eastAsia="宋体" w:cs="宋体"/>
                      <w:b w:val="0"/>
                      <w:bCs/>
                      <w:kern w:val="0"/>
                      <w:sz w:val="21"/>
                      <w:szCs w:val="21"/>
                      <w:vertAlign w:val="baseline"/>
                      <w:lang w:eastAsia="zh-CN"/>
                    </w:rPr>
                    <w:t>≤</w:t>
                  </w:r>
                  <w:r>
                    <w:rPr>
                      <w:rFonts w:hint="eastAsia" w:ascii="Times New Roman" w:hAnsi="Times New Roman" w:eastAsia="宋体" w:cs="Times New Roman"/>
                      <w:b w:val="0"/>
                      <w:bCs/>
                      <w:kern w:val="0"/>
                      <w:sz w:val="21"/>
                      <w:szCs w:val="21"/>
                      <w:vertAlign w:val="baseline"/>
                      <w:lang w:val="en-US" w:eastAsia="zh-CN"/>
                    </w:rPr>
                    <w:t>8%</w:t>
                  </w:r>
                </w:p>
              </w:tc>
              <w:tc>
                <w:tcPr>
                  <w:tcW w:w="2418" w:type="dxa"/>
                  <w:shd w:val="clear" w:color="auto" w:fill="auto"/>
                  <w:noWrap w:val="0"/>
                  <w:vAlign w:val="center"/>
                </w:tcPr>
                <w:p w14:paraId="0EC6E7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rPr>
                  </w:pPr>
                  <w:r>
                    <w:rPr>
                      <w:rFonts w:hint="eastAsia" w:ascii="Times New Roman" w:hAnsi="Times New Roman" w:eastAsia="宋体" w:cs="Times New Roman"/>
                      <w:b w:val="0"/>
                      <w:bCs/>
                      <w:kern w:val="0"/>
                      <w:sz w:val="21"/>
                      <w:szCs w:val="21"/>
                      <w:vertAlign w:val="baseline"/>
                      <w:lang w:val="en-US" w:eastAsia="zh-CN"/>
                    </w:rPr>
                    <w:t>pH值</w:t>
                  </w:r>
                </w:p>
              </w:tc>
              <w:tc>
                <w:tcPr>
                  <w:tcW w:w="1664" w:type="dxa"/>
                  <w:shd w:val="clear" w:color="auto" w:fill="auto"/>
                  <w:noWrap w:val="0"/>
                  <w:vAlign w:val="center"/>
                </w:tcPr>
                <w:p w14:paraId="44FCE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rPr>
                  </w:pPr>
                  <w:r>
                    <w:rPr>
                      <w:rFonts w:hint="eastAsia" w:ascii="Times New Roman" w:hAnsi="Times New Roman" w:eastAsia="宋体" w:cs="Times New Roman"/>
                      <w:b w:val="0"/>
                      <w:bCs/>
                      <w:kern w:val="0"/>
                      <w:sz w:val="21"/>
                      <w:szCs w:val="21"/>
                      <w:vertAlign w:val="baseline"/>
                      <w:lang w:val="en-US" w:eastAsia="zh-CN"/>
                    </w:rPr>
                    <w:t>8</w:t>
                  </w:r>
                  <w:r>
                    <w:rPr>
                      <w:rFonts w:hint="default" w:ascii="Times New Roman" w:hAnsi="Times New Roman" w:eastAsia="宋体" w:cs="Times New Roman"/>
                      <w:b w:val="0"/>
                      <w:bCs/>
                      <w:kern w:val="0"/>
                      <w:sz w:val="21"/>
                      <w:szCs w:val="21"/>
                      <w:vertAlign w:val="baseline"/>
                      <w:lang w:val="en-US" w:eastAsia="zh-CN"/>
                    </w:rPr>
                    <w:t>±</w:t>
                  </w:r>
                  <w:r>
                    <w:rPr>
                      <w:rFonts w:hint="eastAsia" w:ascii="Times New Roman" w:hAnsi="Times New Roman" w:eastAsia="宋体" w:cs="Times New Roman"/>
                      <w:b w:val="0"/>
                      <w:bCs/>
                      <w:kern w:val="0"/>
                      <w:sz w:val="21"/>
                      <w:szCs w:val="21"/>
                      <w:vertAlign w:val="baseline"/>
                      <w:lang w:val="en-US" w:eastAsia="zh-CN"/>
                    </w:rPr>
                    <w:t>1</w:t>
                  </w:r>
                </w:p>
              </w:tc>
            </w:tr>
            <w:tr w14:paraId="18B1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shd w:val="clear" w:color="auto" w:fill="auto"/>
                  <w:noWrap w:val="0"/>
                  <w:vAlign w:val="center"/>
                </w:tcPr>
                <w:p w14:paraId="2ED440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eastAsia="宋体" w:cs="Times New Roman"/>
                      <w:b w:val="0"/>
                      <w:bCs/>
                      <w:kern w:val="0"/>
                      <w:sz w:val="21"/>
                      <w:szCs w:val="21"/>
                      <w:vertAlign w:val="baseline"/>
                      <w:lang w:val="en-US" w:eastAsia="zh-CN"/>
                    </w:rPr>
                    <w:t>液体比重</w:t>
                  </w:r>
                </w:p>
              </w:tc>
              <w:tc>
                <w:tcPr>
                  <w:tcW w:w="2040" w:type="dxa"/>
                  <w:shd w:val="clear" w:color="auto" w:fill="auto"/>
                  <w:noWrap w:val="0"/>
                  <w:vAlign w:val="center"/>
                </w:tcPr>
                <w:p w14:paraId="5338C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eastAsia="宋体" w:cs="Times New Roman"/>
                      <w:b w:val="0"/>
                      <w:bCs/>
                      <w:kern w:val="0"/>
                      <w:sz w:val="21"/>
                      <w:szCs w:val="21"/>
                      <w:vertAlign w:val="baseline"/>
                      <w:lang w:val="en-US" w:eastAsia="zh-CN"/>
                    </w:rPr>
                    <w:t>1.2</w:t>
                  </w:r>
                  <w:r>
                    <w:rPr>
                      <w:rFonts w:hint="default" w:ascii="Times New Roman" w:hAnsi="Times New Roman" w:eastAsia="宋体" w:cs="Times New Roman"/>
                      <w:b w:val="0"/>
                      <w:bCs/>
                      <w:kern w:val="0"/>
                      <w:sz w:val="21"/>
                      <w:szCs w:val="21"/>
                      <w:vertAlign w:val="baseline"/>
                      <w:lang w:val="en-US" w:eastAsia="zh-CN"/>
                    </w:rPr>
                    <w:t>±</w:t>
                  </w:r>
                  <w:r>
                    <w:rPr>
                      <w:rFonts w:hint="eastAsia" w:ascii="Times New Roman" w:hAnsi="Times New Roman" w:eastAsia="宋体" w:cs="Times New Roman"/>
                      <w:b w:val="0"/>
                      <w:bCs/>
                      <w:kern w:val="0"/>
                      <w:sz w:val="21"/>
                      <w:szCs w:val="21"/>
                      <w:vertAlign w:val="baseline"/>
                      <w:lang w:val="en-US" w:eastAsia="zh-CN"/>
                    </w:rPr>
                    <w:t>0.02</w:t>
                  </w:r>
                </w:p>
              </w:tc>
              <w:tc>
                <w:tcPr>
                  <w:tcW w:w="2418" w:type="dxa"/>
                  <w:shd w:val="clear" w:color="auto" w:fill="auto"/>
                  <w:noWrap w:val="0"/>
                  <w:vAlign w:val="center"/>
                </w:tcPr>
                <w:p w14:paraId="432F4C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硫酸钠含量</w:t>
                  </w:r>
                </w:p>
              </w:tc>
              <w:tc>
                <w:tcPr>
                  <w:tcW w:w="1664" w:type="dxa"/>
                  <w:shd w:val="clear" w:color="auto" w:fill="auto"/>
                  <w:noWrap w:val="0"/>
                  <w:vAlign w:val="center"/>
                </w:tcPr>
                <w:p w14:paraId="05B1C7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宋体" w:hAnsi="宋体" w:eastAsia="宋体" w:cs="宋体"/>
                      <w:b w:val="0"/>
                      <w:bCs/>
                      <w:kern w:val="0"/>
                      <w:sz w:val="21"/>
                      <w:szCs w:val="21"/>
                      <w:vertAlign w:val="baseline"/>
                      <w:lang w:eastAsia="zh-CN"/>
                    </w:rPr>
                    <w:t>≤</w:t>
                  </w:r>
                  <w:r>
                    <w:rPr>
                      <w:rFonts w:hint="eastAsia" w:ascii="Times New Roman" w:hAnsi="Times New Roman" w:eastAsia="宋体" w:cs="Times New Roman"/>
                      <w:b w:val="0"/>
                      <w:bCs/>
                      <w:kern w:val="0"/>
                      <w:sz w:val="21"/>
                      <w:szCs w:val="21"/>
                      <w:vertAlign w:val="baseline"/>
                      <w:lang w:val="en-US" w:eastAsia="zh-CN"/>
                    </w:rPr>
                    <w:t>18%</w:t>
                  </w:r>
                </w:p>
              </w:tc>
            </w:tr>
            <w:tr w14:paraId="61C2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shd w:val="clear" w:color="auto" w:fill="auto"/>
                  <w:noWrap w:val="0"/>
                  <w:vAlign w:val="center"/>
                </w:tcPr>
                <w:p w14:paraId="7FFF03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eastAsia" w:ascii="Times New Roman" w:hAnsi="Times New Roman" w:eastAsia="宋体" w:cs="Times New Roman"/>
                      <w:b w:val="0"/>
                      <w:bCs/>
                      <w:kern w:val="0"/>
                      <w:sz w:val="21"/>
                      <w:szCs w:val="21"/>
                      <w:vertAlign w:val="baseline"/>
                      <w:lang w:val="en-US" w:eastAsia="zh-CN"/>
                    </w:rPr>
                    <w:t>净浆流动度</w:t>
                  </w:r>
                </w:p>
              </w:tc>
              <w:tc>
                <w:tcPr>
                  <w:tcW w:w="2040" w:type="dxa"/>
                  <w:shd w:val="clear" w:color="auto" w:fill="auto"/>
                  <w:noWrap w:val="0"/>
                  <w:vAlign w:val="center"/>
                </w:tcPr>
                <w:p w14:paraId="39131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default" w:ascii="Arial" w:hAnsi="Arial" w:eastAsia="宋体" w:cs="Arial"/>
                      <w:b w:val="0"/>
                      <w:bCs/>
                      <w:kern w:val="0"/>
                      <w:sz w:val="21"/>
                      <w:szCs w:val="21"/>
                      <w:vertAlign w:val="baseline"/>
                      <w:lang w:eastAsia="zh-CN"/>
                    </w:rPr>
                    <w:t>≥</w:t>
                  </w:r>
                  <w:r>
                    <w:rPr>
                      <w:rFonts w:hint="eastAsia" w:ascii="Times New Roman" w:hAnsi="Times New Roman" w:eastAsia="宋体" w:cs="Times New Roman"/>
                      <w:b w:val="0"/>
                      <w:bCs/>
                      <w:kern w:val="0"/>
                      <w:sz w:val="21"/>
                      <w:szCs w:val="21"/>
                      <w:vertAlign w:val="baseline"/>
                      <w:lang w:val="en-US" w:eastAsia="zh-CN"/>
                    </w:rPr>
                    <w:t>230mm</w:t>
                  </w:r>
                </w:p>
              </w:tc>
              <w:tc>
                <w:tcPr>
                  <w:tcW w:w="2418" w:type="dxa"/>
                  <w:shd w:val="clear" w:color="auto" w:fill="auto"/>
                  <w:noWrap w:val="0"/>
                  <w:vAlign w:val="center"/>
                </w:tcPr>
                <w:p w14:paraId="4B720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氯离子含量</w:t>
                  </w:r>
                </w:p>
              </w:tc>
              <w:tc>
                <w:tcPr>
                  <w:tcW w:w="1664" w:type="dxa"/>
                  <w:shd w:val="clear" w:color="auto" w:fill="auto"/>
                  <w:noWrap w:val="0"/>
                  <w:vAlign w:val="center"/>
                </w:tcPr>
                <w:p w14:paraId="33A654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eastAsia="zh-CN"/>
                    </w:rPr>
                  </w:pPr>
                  <w:r>
                    <w:rPr>
                      <w:rFonts w:hint="eastAsia" w:ascii="Times New Roman" w:hAnsi="Times New Roman" w:eastAsia="宋体" w:cs="Times New Roman"/>
                      <w:b w:val="0"/>
                      <w:bCs/>
                      <w:kern w:val="0"/>
                      <w:sz w:val="21"/>
                      <w:szCs w:val="21"/>
                      <w:vertAlign w:val="baseline"/>
                      <w:lang w:eastAsia="zh-CN"/>
                    </w:rPr>
                    <w:t>无</w:t>
                  </w:r>
                </w:p>
              </w:tc>
            </w:tr>
            <w:tr w14:paraId="55D8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shd w:val="clear" w:color="auto" w:fill="auto"/>
                  <w:noWrap w:val="0"/>
                  <w:vAlign w:val="center"/>
                </w:tcPr>
                <w:p w14:paraId="4F876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eastAsia" w:ascii="Times New Roman" w:hAnsi="Times New Roman" w:eastAsia="宋体" w:cs="Times New Roman"/>
                      <w:b w:val="0"/>
                      <w:bCs/>
                      <w:kern w:val="0"/>
                      <w:sz w:val="21"/>
                      <w:szCs w:val="21"/>
                      <w:vertAlign w:val="baseline"/>
                      <w:lang w:eastAsia="zh-CN"/>
                    </w:rPr>
                    <w:t>消泡时间</w:t>
                  </w:r>
                </w:p>
              </w:tc>
              <w:tc>
                <w:tcPr>
                  <w:tcW w:w="2040" w:type="dxa"/>
                  <w:shd w:val="clear" w:color="auto" w:fill="auto"/>
                  <w:noWrap w:val="0"/>
                  <w:vAlign w:val="center"/>
                </w:tcPr>
                <w:p w14:paraId="4D723E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eastAsia" w:ascii="宋体" w:hAnsi="宋体" w:eastAsia="宋体" w:cs="宋体"/>
                      <w:b w:val="0"/>
                      <w:bCs/>
                      <w:kern w:val="0"/>
                      <w:sz w:val="21"/>
                      <w:szCs w:val="21"/>
                      <w:vertAlign w:val="baseline"/>
                      <w:lang w:eastAsia="zh-CN"/>
                    </w:rPr>
                    <w:t>≤</w:t>
                  </w:r>
                  <w:r>
                    <w:rPr>
                      <w:rFonts w:hint="eastAsia" w:ascii="Times New Roman" w:hAnsi="Times New Roman" w:eastAsia="宋体" w:cs="Times New Roman"/>
                      <w:b w:val="0"/>
                      <w:bCs/>
                      <w:kern w:val="0"/>
                      <w:sz w:val="21"/>
                      <w:szCs w:val="21"/>
                      <w:vertAlign w:val="baseline"/>
                      <w:lang w:val="en-US" w:eastAsia="zh-CN"/>
                    </w:rPr>
                    <w:t>30S</w:t>
                  </w:r>
                </w:p>
              </w:tc>
              <w:tc>
                <w:tcPr>
                  <w:tcW w:w="2418" w:type="dxa"/>
                  <w:shd w:val="clear" w:color="auto" w:fill="auto"/>
                  <w:noWrap w:val="0"/>
                  <w:vAlign w:val="center"/>
                </w:tcPr>
                <w:p w14:paraId="0C428E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rPr>
                  </w:pPr>
                  <w:r>
                    <w:rPr>
                      <w:rFonts w:hint="eastAsia" w:ascii="Times New Roman" w:hAnsi="Times New Roman" w:eastAsia="宋体" w:cs="Times New Roman"/>
                      <w:b w:val="0"/>
                      <w:bCs/>
                      <w:kern w:val="0"/>
                      <w:sz w:val="21"/>
                      <w:szCs w:val="21"/>
                      <w:vertAlign w:val="baseline"/>
                      <w:lang w:val="en-US" w:eastAsia="zh-CN"/>
                    </w:rPr>
                    <w:t>/</w:t>
                  </w:r>
                </w:p>
              </w:tc>
              <w:tc>
                <w:tcPr>
                  <w:tcW w:w="1664" w:type="dxa"/>
                  <w:shd w:val="clear" w:color="auto" w:fill="auto"/>
                  <w:noWrap w:val="0"/>
                  <w:vAlign w:val="center"/>
                </w:tcPr>
                <w:p w14:paraId="49122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rPr>
                  </w:pPr>
                  <w:r>
                    <w:rPr>
                      <w:rFonts w:hint="eastAsia" w:ascii="Times New Roman" w:hAnsi="Times New Roman" w:eastAsia="宋体" w:cs="Times New Roman"/>
                      <w:b w:val="0"/>
                      <w:bCs/>
                      <w:kern w:val="0"/>
                      <w:sz w:val="21"/>
                      <w:szCs w:val="21"/>
                      <w:vertAlign w:val="baseline"/>
                      <w:lang w:val="en-US" w:eastAsia="zh-CN"/>
                    </w:rPr>
                    <w:t>/</w:t>
                  </w:r>
                </w:p>
              </w:tc>
            </w:tr>
          </w:tbl>
          <w:p w14:paraId="7DE35B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rPr>
              <w:t>⑵热能</w:t>
            </w:r>
            <w:r>
              <w:rPr>
                <w:rFonts w:hint="eastAsia" w:ascii="Times New Roman" w:hAnsi="Times New Roman" w:eastAsia="宋体" w:cs="Times New Roman"/>
                <w:b w:val="0"/>
                <w:bCs/>
                <w:kern w:val="0"/>
                <w:sz w:val="24"/>
                <w:szCs w:val="24"/>
                <w:lang w:eastAsia="zh-CN"/>
              </w:rPr>
              <w:t>情况</w:t>
            </w:r>
          </w:p>
          <w:p w14:paraId="56D2E9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kern w:val="0"/>
                <w:sz w:val="24"/>
                <w:szCs w:val="24"/>
                <w:lang w:eastAsia="zh-CN"/>
              </w:rPr>
            </w:pPr>
            <w:r>
              <w:rPr>
                <w:rFonts w:hint="eastAsia" w:ascii="Times New Roman" w:hAnsi="Times New Roman" w:eastAsia="宋体" w:cs="Times New Roman"/>
                <w:b w:val="0"/>
                <w:bCs/>
                <w:kern w:val="0"/>
                <w:sz w:val="24"/>
                <w:szCs w:val="24"/>
                <w:lang w:eastAsia="zh-CN"/>
              </w:rPr>
              <w:t>①技改前燃料使用情况</w:t>
            </w:r>
          </w:p>
          <w:p w14:paraId="73F163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kern w:val="0"/>
                <w:sz w:val="24"/>
                <w:szCs w:val="24"/>
                <w:lang w:eastAsia="zh-CN"/>
              </w:rPr>
            </w:pPr>
            <w:r>
              <w:rPr>
                <w:rFonts w:hint="eastAsia" w:ascii="Times New Roman" w:hAnsi="Times New Roman" w:eastAsia="宋体" w:cs="Times New Roman"/>
                <w:b w:val="0"/>
                <w:bCs/>
                <w:kern w:val="0"/>
                <w:sz w:val="24"/>
                <w:szCs w:val="24"/>
                <w:lang w:eastAsia="zh-CN"/>
              </w:rPr>
              <w:t>本次技改前干燥粉剂使用生物质燃料提供热能，根据</w:t>
            </w:r>
            <w:r>
              <w:rPr>
                <w:rFonts w:hint="eastAsia" w:ascii="Times New Roman" w:hAnsi="Times New Roman" w:eastAsia="宋体" w:cs="Times New Roman"/>
                <w:b w:val="0"/>
                <w:bCs/>
                <w:kern w:val="2"/>
                <w:sz w:val="24"/>
                <w:szCs w:val="24"/>
                <w:lang w:val="en-US" w:eastAsia="zh-CN" w:bidi="ar-SA"/>
              </w:rPr>
              <w:t>《宝鸡靖源科技发展有限责任公司干燥塔节能技改项目可行性研究报告》，技改前</w:t>
            </w:r>
            <w:r>
              <w:rPr>
                <w:rFonts w:hint="eastAsia" w:ascii="Times New Roman" w:hAnsi="Times New Roman" w:eastAsia="宋体" w:cs="Times New Roman"/>
                <w:b w:val="0"/>
                <w:bCs/>
                <w:kern w:val="0"/>
                <w:sz w:val="24"/>
                <w:szCs w:val="24"/>
                <w:lang w:eastAsia="zh-CN"/>
              </w:rPr>
              <w:t>具体生物质燃料的消耗量见下表。</w:t>
            </w:r>
          </w:p>
          <w:p w14:paraId="05FEA66F">
            <w:pPr>
              <w:pStyle w:val="46"/>
              <w:rPr>
                <w:rFonts w:hint="default" w:ascii="Times New Roman" w:hAnsi="Times New Roman" w:cs="Times New Roman"/>
                <w:lang w:val="en-US" w:eastAsia="zh-CN"/>
              </w:rPr>
            </w:pPr>
            <w:r>
              <w:rPr>
                <w:rFonts w:hint="default" w:ascii="Times New Roman" w:hAnsi="Times New Roman" w:eastAsia="宋体" w:cs="Times New Roman"/>
                <w:b w:val="0"/>
                <w:bCs/>
                <w:color w:val="auto"/>
                <w:kern w:val="0"/>
                <w:sz w:val="24"/>
                <w:szCs w:val="24"/>
                <w:lang w:eastAsia="zh-CN"/>
              </w:rPr>
              <w:t>表</w:t>
            </w:r>
            <w:r>
              <w:rPr>
                <w:rFonts w:hint="default" w:ascii="Times New Roman" w:hAnsi="Times New Roman" w:eastAsia="宋体" w:cs="Times New Roman"/>
                <w:b w:val="0"/>
                <w:bCs/>
                <w:color w:val="auto"/>
                <w:kern w:val="0"/>
                <w:sz w:val="24"/>
                <w:szCs w:val="24"/>
                <w:lang w:val="en-US" w:eastAsia="zh-CN"/>
              </w:rPr>
              <w:t>2-</w:t>
            </w:r>
            <w:r>
              <w:rPr>
                <w:rFonts w:hint="eastAsia" w:ascii="Times New Roman" w:hAnsi="Times New Roman" w:eastAsia="宋体" w:cs="Times New Roman"/>
                <w:b w:val="0"/>
                <w:bCs/>
                <w:color w:val="auto"/>
                <w:kern w:val="0"/>
                <w:sz w:val="24"/>
                <w:szCs w:val="24"/>
                <w:lang w:val="en-US" w:eastAsia="zh-CN"/>
              </w:rPr>
              <w:t>3</w:t>
            </w:r>
            <w:r>
              <w:rPr>
                <w:rFonts w:hint="default" w:ascii="Times New Roman" w:hAnsi="Times New Roman" w:eastAsia="宋体" w:cs="Times New Roman"/>
                <w:b w:val="0"/>
                <w:bCs/>
                <w:color w:val="auto"/>
                <w:kern w:val="0"/>
                <w:sz w:val="24"/>
                <w:szCs w:val="24"/>
                <w:lang w:val="en-US" w:eastAsia="zh-CN"/>
              </w:rPr>
              <w:t xml:space="preserve">  技改前粉剂生产所需的燃料</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027"/>
              <w:gridCol w:w="4131"/>
            </w:tblGrid>
            <w:tr w14:paraId="3CB2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2468" w:type="pct"/>
                  <w:shd w:val="clear" w:color="auto" w:fill="auto"/>
                  <w:noWrap w:val="0"/>
                  <w:vAlign w:val="center"/>
                </w:tcPr>
                <w:p w14:paraId="3071BA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color w:val="auto"/>
                      <w:kern w:val="0"/>
                      <w:sz w:val="21"/>
                      <w:szCs w:val="21"/>
                      <w:vertAlign w:val="baseline"/>
                      <w:lang w:eastAsia="zh-CN"/>
                    </w:rPr>
                    <w:t>产能</w:t>
                  </w:r>
                </w:p>
              </w:tc>
              <w:tc>
                <w:tcPr>
                  <w:tcW w:w="2531" w:type="pct"/>
                  <w:shd w:val="clear" w:color="auto" w:fill="auto"/>
                  <w:noWrap w:val="0"/>
                  <w:vAlign w:val="center"/>
                </w:tcPr>
                <w:p w14:paraId="0BE830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color w:val="auto"/>
                      <w:kern w:val="0"/>
                      <w:sz w:val="21"/>
                      <w:szCs w:val="21"/>
                      <w:vertAlign w:val="baseline"/>
                      <w:lang w:eastAsia="zh-CN"/>
                    </w:rPr>
                    <w:t>生物质使用量（</w:t>
                  </w:r>
                  <w:r>
                    <w:rPr>
                      <w:rFonts w:hint="eastAsia" w:ascii="Times New Roman" w:hAnsi="Times New Roman" w:eastAsia="宋体" w:cs="Times New Roman"/>
                      <w:b w:val="0"/>
                      <w:bCs/>
                      <w:color w:val="auto"/>
                      <w:kern w:val="0"/>
                      <w:sz w:val="21"/>
                      <w:szCs w:val="21"/>
                      <w:vertAlign w:val="baseline"/>
                      <w:lang w:val="en-US" w:eastAsia="zh-CN"/>
                    </w:rPr>
                    <w:t>t</w:t>
                  </w:r>
                  <w:r>
                    <w:rPr>
                      <w:rFonts w:hint="eastAsia" w:ascii="Times New Roman" w:hAnsi="Times New Roman" w:eastAsia="宋体" w:cs="Times New Roman"/>
                      <w:b w:val="0"/>
                      <w:bCs/>
                      <w:color w:val="auto"/>
                      <w:kern w:val="0"/>
                      <w:sz w:val="21"/>
                      <w:szCs w:val="21"/>
                      <w:vertAlign w:val="baseline"/>
                      <w:lang w:eastAsia="zh-CN"/>
                    </w:rPr>
                    <w:t>）</w:t>
                  </w:r>
                </w:p>
              </w:tc>
            </w:tr>
            <w:tr w14:paraId="0967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shd w:val="clear" w:color="auto" w:fill="auto"/>
                  <w:noWrap w:val="0"/>
                  <w:vAlign w:val="center"/>
                </w:tcPr>
                <w:p w14:paraId="20C8C1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eastAsia="zh-CN"/>
                    </w:rPr>
                    <w:t>干燥粉剂</w:t>
                  </w:r>
                  <w:r>
                    <w:rPr>
                      <w:rFonts w:hint="eastAsia" w:ascii="Times New Roman" w:hAnsi="Times New Roman" w:eastAsia="宋体" w:cs="Times New Roman"/>
                      <w:b w:val="0"/>
                      <w:bCs/>
                      <w:color w:val="auto"/>
                      <w:kern w:val="0"/>
                      <w:sz w:val="21"/>
                      <w:szCs w:val="21"/>
                      <w:vertAlign w:val="baseline"/>
                      <w:lang w:val="en-US" w:eastAsia="zh-CN"/>
                    </w:rPr>
                    <w:t>20000t</w:t>
                  </w:r>
                </w:p>
              </w:tc>
              <w:tc>
                <w:tcPr>
                  <w:tcW w:w="2531" w:type="pct"/>
                  <w:shd w:val="clear" w:color="auto" w:fill="auto"/>
                  <w:noWrap w:val="0"/>
                  <w:vAlign w:val="center"/>
                </w:tcPr>
                <w:p w14:paraId="054F9B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15568.36</w:t>
                  </w:r>
                </w:p>
              </w:tc>
            </w:tr>
            <w:tr w14:paraId="54AD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shd w:val="clear" w:color="auto" w:fill="auto"/>
                  <w:noWrap w:val="0"/>
                  <w:vAlign w:val="center"/>
                </w:tcPr>
                <w:p w14:paraId="29D5C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color w:val="auto"/>
                      <w:kern w:val="0"/>
                      <w:sz w:val="21"/>
                      <w:szCs w:val="21"/>
                      <w:vertAlign w:val="baseline"/>
                      <w:lang w:eastAsia="zh-CN"/>
                    </w:rPr>
                    <w:t>干燥粉剂</w:t>
                  </w:r>
                  <w:r>
                    <w:rPr>
                      <w:rFonts w:hint="eastAsia" w:ascii="Times New Roman" w:hAnsi="Times New Roman" w:eastAsia="宋体" w:cs="Times New Roman"/>
                      <w:b w:val="0"/>
                      <w:bCs/>
                      <w:color w:val="auto"/>
                      <w:kern w:val="0"/>
                      <w:sz w:val="21"/>
                      <w:szCs w:val="21"/>
                      <w:vertAlign w:val="baseline"/>
                      <w:lang w:val="en-US" w:eastAsia="zh-CN"/>
                    </w:rPr>
                    <w:t>7200t</w:t>
                  </w:r>
                </w:p>
              </w:tc>
              <w:tc>
                <w:tcPr>
                  <w:tcW w:w="2531" w:type="pct"/>
                  <w:shd w:val="clear" w:color="auto" w:fill="auto"/>
                  <w:noWrap w:val="0"/>
                  <w:vAlign w:val="center"/>
                </w:tcPr>
                <w:p w14:paraId="6D2F5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5604.61</w:t>
                  </w:r>
                </w:p>
              </w:tc>
            </w:tr>
          </w:tbl>
          <w:p w14:paraId="2D9344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w:t>
            </w:r>
            <w:r>
              <w:rPr>
                <w:rFonts w:hint="eastAsia" w:ascii="Times New Roman" w:hAnsi="Times New Roman" w:cs="Times New Roman"/>
                <w:color w:val="auto"/>
                <w:sz w:val="24"/>
                <w:highlight w:val="none"/>
                <w:lang w:eastAsia="zh-CN"/>
              </w:rPr>
              <w:t>生物质燃料燃烧污染物参照</w:t>
            </w:r>
            <w:r>
              <w:rPr>
                <w:rFonts w:hint="default" w:ascii="Times New Roman" w:hAnsi="Times New Roman" w:cs="Times New Roman"/>
                <w:color w:val="auto"/>
                <w:sz w:val="24"/>
                <w:highlight w:val="none"/>
              </w:rPr>
              <w:t>《污染源源强核算技术指南 锅炉》（HJ991</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2018）推荐的中产污系数法核算本项目</w:t>
            </w:r>
            <w:r>
              <w:rPr>
                <w:rFonts w:hint="eastAsia" w:ascii="Times New Roman" w:hAnsi="Times New Roman" w:cs="Times New Roman"/>
                <w:color w:val="auto"/>
                <w:sz w:val="24"/>
                <w:highlight w:val="none"/>
                <w:lang w:eastAsia="zh-CN"/>
              </w:rPr>
              <w:t>燃料燃烧</w:t>
            </w:r>
            <w:r>
              <w:rPr>
                <w:rFonts w:hint="default" w:ascii="Times New Roman" w:hAnsi="Times New Roman" w:cs="Times New Roman"/>
                <w:color w:val="auto"/>
                <w:sz w:val="24"/>
                <w:highlight w:val="none"/>
              </w:rPr>
              <w:t>产生的污染物，核算方法如下：</w:t>
            </w:r>
          </w:p>
          <w:p w14:paraId="04FFD865">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pict>
                <v:shape id="_x0000_i1028" o:spt="75" type="#_x0000_t75" style="height:36.05pt;width:175.25pt;" filled="f" o:preferrelative="t" stroked="f" coordsize="21600,21600">
                  <v:path/>
                  <v:fill on="f" focussize="0,0"/>
                  <v:stroke on="f"/>
                  <v:imagedata r:id="rId14" o:title=""/>
                  <o:lock v:ext="edit" aspectratio="t"/>
                  <w10:wrap type="none"/>
                  <w10:anchorlock/>
                </v:shape>
              </w:pict>
            </w:r>
          </w:p>
          <w:p w14:paraId="6A27368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式中：E</w:t>
            </w:r>
            <w:r>
              <w:rPr>
                <w:rFonts w:hint="default" w:ascii="Times New Roman" w:hAnsi="Times New Roman" w:cs="Times New Roman"/>
                <w:color w:val="auto"/>
                <w:sz w:val="24"/>
                <w:highlight w:val="none"/>
                <w:vertAlign w:val="subscript"/>
              </w:rPr>
              <w:t>j</w:t>
            </w:r>
            <w:r>
              <w:rPr>
                <w:rFonts w:hint="default" w:ascii="Times New Roman" w:hAnsi="Times New Roman" w:cs="Times New Roman"/>
                <w:color w:val="auto"/>
                <w:sz w:val="24"/>
                <w:highlight w:val="none"/>
              </w:rPr>
              <w:t>—核算时段内第j种污染物排放量，t；</w:t>
            </w:r>
          </w:p>
          <w:p w14:paraId="6F9A22E0">
            <w:pPr>
              <w:keepNext w:val="0"/>
              <w:keepLines w:val="0"/>
              <w:pageBreakBefore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R—核算时段内燃料</w:t>
            </w:r>
            <w:r>
              <w:rPr>
                <w:rFonts w:hint="eastAsia" w:cs="Times New Roman"/>
                <w:color w:val="auto"/>
                <w:sz w:val="24"/>
                <w:highlight w:val="none"/>
                <w:lang w:eastAsia="zh-CN"/>
              </w:rPr>
              <w:t>消</w:t>
            </w:r>
            <w:r>
              <w:rPr>
                <w:rFonts w:hint="default" w:ascii="Times New Roman" w:hAnsi="Times New Roman" w:cs="Times New Roman"/>
                <w:color w:val="auto"/>
                <w:sz w:val="24"/>
                <w:highlight w:val="none"/>
              </w:rPr>
              <w:t>耗量，t或万m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6FC12DE5">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bCs/>
                <w:color w:val="auto"/>
                <w:sz w:val="24"/>
                <w:szCs w:val="24"/>
                <w:highlight w:val="yellow"/>
                <w:lang w:val="en-US" w:eastAsia="zh-CN"/>
              </w:rPr>
            </w:pPr>
            <w:r>
              <w:rPr>
                <w:rFonts w:hint="default" w:ascii="Times New Roman" w:hAnsi="Times New Roman" w:cs="Times New Roman"/>
                <w:color w:val="auto"/>
                <w:sz w:val="24"/>
                <w:highlight w:val="none"/>
              </w:rPr>
              <w:t>β</w:t>
            </w:r>
            <w:r>
              <w:rPr>
                <w:rFonts w:hint="default" w:ascii="Times New Roman" w:hAnsi="Times New Roman" w:cs="Times New Roman"/>
                <w:color w:val="auto"/>
                <w:sz w:val="24"/>
                <w:highlight w:val="none"/>
                <w:vertAlign w:val="subscript"/>
              </w:rPr>
              <w:t>j</w:t>
            </w:r>
            <w:r>
              <w:rPr>
                <w:rFonts w:hint="default" w:ascii="Times New Roman" w:hAnsi="Times New Roman" w:cs="Times New Roman"/>
                <w:color w:val="auto"/>
                <w:sz w:val="24"/>
                <w:highlight w:val="none"/>
              </w:rPr>
              <w:t>—产污系数，kg/t或kg/万m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，取值可参考全国污染源普查工业污染源普查数据（以最新版本为准）中相应行业产污系数。本次取值参考</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4430工业锅炉（热力生产和供应行业）产排污系数表-</w:t>
            </w:r>
            <w:r>
              <w:rPr>
                <w:rFonts w:hint="eastAsia" w:ascii="Times New Roman" w:hAnsi="Times New Roman" w:cs="Times New Roman"/>
                <w:color w:val="auto"/>
                <w:sz w:val="24"/>
                <w:highlight w:val="none"/>
                <w:lang w:eastAsia="zh-CN"/>
              </w:rPr>
              <w:t>生物质</w:t>
            </w:r>
            <w:r>
              <w:rPr>
                <w:rFonts w:hint="default" w:ascii="Times New Roman" w:hAnsi="Times New Roman" w:cs="Times New Roman"/>
                <w:color w:val="auto"/>
                <w:sz w:val="24"/>
                <w:highlight w:val="none"/>
              </w:rPr>
              <w:t>工业锅炉</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相关推荐计算参数，</w:t>
            </w:r>
            <w:r>
              <w:rPr>
                <w:rFonts w:hint="eastAsia" w:ascii="Times New Roman" w:hAnsi="Times New Roman" w:cs="Times New Roman"/>
                <w:color w:val="auto"/>
                <w:sz w:val="24"/>
                <w:highlight w:val="none"/>
                <w:lang w:eastAsia="zh-CN"/>
              </w:rPr>
              <w:t>具体见表</w:t>
            </w:r>
            <w:r>
              <w:rPr>
                <w:rFonts w:hint="eastAsia" w:ascii="Times New Roman" w:hAnsi="Times New Roman" w:cs="Times New Roman"/>
                <w:color w:val="auto"/>
                <w:sz w:val="24"/>
                <w:highlight w:val="none"/>
                <w:lang w:val="en-US" w:eastAsia="zh-CN"/>
              </w:rPr>
              <w:t>2-4。</w:t>
            </w:r>
          </w:p>
          <w:p w14:paraId="76C65DE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4"/>
                <w:highlight w:val="none"/>
              </w:rPr>
            </w:pPr>
          </w:p>
          <w:p w14:paraId="62F3CD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4"/>
                <w:highlight w:val="none"/>
              </w:rPr>
            </w:pPr>
          </w:p>
          <w:p w14:paraId="5447B7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 w:val="24"/>
                <w:highlight w:val="none"/>
              </w:rPr>
              <w:t>表</w:t>
            </w:r>
            <w:r>
              <w:rPr>
                <w:rFonts w:hint="eastAsia" w:ascii="Times New Roman" w:hAnsi="Times New Roman" w:cs="Times New Roman"/>
                <w:b w:val="0"/>
                <w:bCs w:val="0"/>
                <w:color w:val="auto"/>
                <w:sz w:val="24"/>
                <w:highlight w:val="none"/>
                <w:lang w:val="en-US" w:eastAsia="zh-CN"/>
              </w:rPr>
              <w:t>2-4</w:t>
            </w:r>
            <w:r>
              <w:rPr>
                <w:rFonts w:hint="default" w:ascii="Times New Roman" w:hAnsi="Times New Roman" w:cs="Times New Roman"/>
                <w:b w:val="0"/>
                <w:bCs w:val="0"/>
                <w:color w:val="auto"/>
                <w:sz w:val="24"/>
                <w:highlight w:val="none"/>
              </w:rPr>
              <w:t xml:space="preserve">  </w:t>
            </w:r>
            <w:r>
              <w:rPr>
                <w:rFonts w:hint="eastAsia" w:ascii="Times New Roman" w:hAnsi="Times New Roman" w:cs="Times New Roman"/>
                <w:b w:val="0"/>
                <w:bCs w:val="0"/>
                <w:color w:val="auto"/>
                <w:sz w:val="24"/>
                <w:highlight w:val="none"/>
                <w:lang w:eastAsia="zh-CN"/>
              </w:rPr>
              <w:t>技改前燃料燃烧</w:t>
            </w:r>
            <w:r>
              <w:rPr>
                <w:rFonts w:hint="default" w:ascii="Times New Roman" w:hAnsi="Times New Roman" w:cs="Times New Roman"/>
                <w:b w:val="0"/>
                <w:bCs w:val="0"/>
                <w:color w:val="auto"/>
                <w:sz w:val="24"/>
                <w:highlight w:val="none"/>
              </w:rPr>
              <w:t>废气产污系数一览表</w:t>
            </w:r>
          </w:p>
          <w:tbl>
            <w:tblPr>
              <w:tblStyle w:val="11"/>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15" w:type="dxa"/>
                <w:left w:w="15" w:type="dxa"/>
                <w:bottom w:w="15" w:type="dxa"/>
                <w:right w:w="15" w:type="dxa"/>
              </w:tblCellMar>
            </w:tblPr>
            <w:tblGrid>
              <w:gridCol w:w="1239"/>
              <w:gridCol w:w="1240"/>
              <w:gridCol w:w="1783"/>
              <w:gridCol w:w="1954"/>
              <w:gridCol w:w="1933"/>
            </w:tblGrid>
            <w:tr w14:paraId="5A1AF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760" w:type="pct"/>
                  <w:tcBorders>
                    <w:tl2br w:val="nil"/>
                    <w:tr2bl w:val="nil"/>
                  </w:tcBorders>
                  <w:shd w:val="clear" w:color="auto" w:fill="auto"/>
                  <w:noWrap w:val="0"/>
                  <w:vAlign w:val="center"/>
                </w:tcPr>
                <w:p w14:paraId="15143E90">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燃料名称</w:t>
                  </w:r>
                </w:p>
              </w:tc>
              <w:tc>
                <w:tcPr>
                  <w:tcW w:w="761" w:type="pct"/>
                  <w:tcBorders>
                    <w:tl2br w:val="nil"/>
                    <w:tr2bl w:val="nil"/>
                  </w:tcBorders>
                  <w:shd w:val="clear" w:color="auto" w:fill="auto"/>
                  <w:noWrap w:val="0"/>
                  <w:vAlign w:val="center"/>
                </w:tcPr>
                <w:p w14:paraId="02DEBA74">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工艺名称</w:t>
                  </w:r>
                </w:p>
              </w:tc>
              <w:tc>
                <w:tcPr>
                  <w:tcW w:w="1094" w:type="pct"/>
                  <w:tcBorders>
                    <w:tl2br w:val="nil"/>
                    <w:tr2bl w:val="nil"/>
                  </w:tcBorders>
                  <w:shd w:val="clear" w:color="auto" w:fill="auto"/>
                  <w:noWrap w:val="0"/>
                  <w:vAlign w:val="center"/>
                </w:tcPr>
                <w:p w14:paraId="5F73A4BD">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污染物指标</w:t>
                  </w:r>
                </w:p>
              </w:tc>
              <w:tc>
                <w:tcPr>
                  <w:tcW w:w="1199" w:type="pct"/>
                  <w:tcBorders>
                    <w:tl2br w:val="nil"/>
                    <w:tr2bl w:val="nil"/>
                  </w:tcBorders>
                  <w:shd w:val="clear" w:color="auto" w:fill="auto"/>
                  <w:noWrap w:val="0"/>
                  <w:vAlign w:val="center"/>
                </w:tcPr>
                <w:p w14:paraId="3F042C4B">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单位</w:t>
                  </w:r>
                </w:p>
              </w:tc>
              <w:tc>
                <w:tcPr>
                  <w:tcW w:w="1183" w:type="pct"/>
                  <w:tcBorders>
                    <w:tl2br w:val="nil"/>
                    <w:tr2bl w:val="nil"/>
                  </w:tcBorders>
                  <w:shd w:val="clear" w:color="auto" w:fill="auto"/>
                  <w:noWrap w:val="0"/>
                  <w:vAlign w:val="center"/>
                </w:tcPr>
                <w:p w14:paraId="5ADE0BCA">
                  <w:pPr>
                    <w:adjustRightInd w:val="0"/>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产污系数</w:t>
                  </w:r>
                </w:p>
              </w:tc>
            </w:tr>
            <w:tr w14:paraId="732F7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760" w:type="pct"/>
                  <w:vMerge w:val="restart"/>
                  <w:tcBorders>
                    <w:tl2br w:val="nil"/>
                    <w:tr2bl w:val="nil"/>
                  </w:tcBorders>
                  <w:shd w:val="clear" w:color="auto" w:fill="auto"/>
                  <w:noWrap w:val="0"/>
                  <w:vAlign w:val="center"/>
                </w:tcPr>
                <w:p w14:paraId="6583EFAA">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生物质燃料</w:t>
                  </w:r>
                </w:p>
              </w:tc>
              <w:tc>
                <w:tcPr>
                  <w:tcW w:w="761" w:type="pct"/>
                  <w:vMerge w:val="restart"/>
                  <w:tcBorders>
                    <w:tl2br w:val="nil"/>
                    <w:tr2bl w:val="nil"/>
                  </w:tcBorders>
                  <w:shd w:val="clear" w:color="auto" w:fill="auto"/>
                  <w:noWrap w:val="0"/>
                  <w:vAlign w:val="center"/>
                </w:tcPr>
                <w:p w14:paraId="5D862494">
                  <w:pPr>
                    <w:adjustRightInd w:val="0"/>
                    <w:snapToGrid w:val="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层</w:t>
                  </w:r>
                  <w:r>
                    <w:rPr>
                      <w:rFonts w:hint="default" w:ascii="Times New Roman" w:hAnsi="Times New Roman" w:cs="Times New Roman"/>
                      <w:color w:val="auto"/>
                      <w:szCs w:val="21"/>
                      <w:highlight w:val="none"/>
                    </w:rPr>
                    <w:t>燃炉</w:t>
                  </w:r>
                  <w:r>
                    <w:rPr>
                      <w:rFonts w:hint="eastAsia" w:ascii="Times New Roman" w:hAnsi="Times New Roman" w:cs="Times New Roman"/>
                      <w:color w:val="auto"/>
                      <w:szCs w:val="21"/>
                      <w:highlight w:val="none"/>
                      <w:lang w:val="en-US" w:eastAsia="zh-CN"/>
                    </w:rPr>
                    <w:t>-生物质散烧</w:t>
                  </w:r>
                </w:p>
              </w:tc>
              <w:tc>
                <w:tcPr>
                  <w:tcW w:w="1094" w:type="pct"/>
                  <w:tcBorders>
                    <w:tl2br w:val="nil"/>
                    <w:tr2bl w:val="nil"/>
                  </w:tcBorders>
                  <w:shd w:val="clear" w:color="auto" w:fill="auto"/>
                  <w:noWrap w:val="0"/>
                  <w:vAlign w:val="center"/>
                </w:tcPr>
                <w:p w14:paraId="33C9C8F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1199" w:type="pct"/>
                  <w:tcBorders>
                    <w:tl2br w:val="nil"/>
                    <w:tr2bl w:val="nil"/>
                  </w:tcBorders>
                  <w:shd w:val="clear" w:color="auto" w:fill="auto"/>
                  <w:noWrap w:val="0"/>
                  <w:vAlign w:val="center"/>
                </w:tcPr>
                <w:p w14:paraId="11BE07B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千克/吨</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原料</w:t>
                  </w:r>
                </w:p>
              </w:tc>
              <w:tc>
                <w:tcPr>
                  <w:tcW w:w="1183" w:type="pct"/>
                  <w:tcBorders>
                    <w:tl2br w:val="nil"/>
                    <w:tr2bl w:val="nil"/>
                  </w:tcBorders>
                  <w:shd w:val="clear" w:color="auto" w:fill="auto"/>
                  <w:noWrap w:val="0"/>
                  <w:vAlign w:val="center"/>
                </w:tcPr>
                <w:p w14:paraId="2ECF4D4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37.6</w:t>
                  </w:r>
                </w:p>
              </w:tc>
            </w:tr>
            <w:tr w14:paraId="227D4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760" w:type="pct"/>
                  <w:vMerge w:val="continue"/>
                  <w:tcBorders>
                    <w:tl2br w:val="nil"/>
                    <w:tr2bl w:val="nil"/>
                  </w:tcBorders>
                  <w:shd w:val="clear" w:color="auto" w:fill="auto"/>
                  <w:noWrap w:val="0"/>
                  <w:vAlign w:val="center"/>
                </w:tcPr>
                <w:p w14:paraId="13F611D4">
                  <w:pPr>
                    <w:adjustRightInd w:val="0"/>
                    <w:snapToGrid w:val="0"/>
                    <w:jc w:val="center"/>
                    <w:rPr>
                      <w:rFonts w:hint="default" w:ascii="Times New Roman" w:hAnsi="Times New Roman" w:cs="Times New Roman"/>
                      <w:color w:val="auto"/>
                      <w:szCs w:val="21"/>
                      <w:highlight w:val="none"/>
                    </w:rPr>
                  </w:pPr>
                </w:p>
              </w:tc>
              <w:tc>
                <w:tcPr>
                  <w:tcW w:w="761" w:type="pct"/>
                  <w:vMerge w:val="continue"/>
                  <w:tcBorders>
                    <w:tl2br w:val="nil"/>
                    <w:tr2bl w:val="nil"/>
                  </w:tcBorders>
                  <w:shd w:val="clear" w:color="auto" w:fill="auto"/>
                  <w:noWrap w:val="0"/>
                  <w:vAlign w:val="center"/>
                </w:tcPr>
                <w:p w14:paraId="5D4F2C81">
                  <w:pPr>
                    <w:adjustRightInd w:val="0"/>
                    <w:snapToGrid w:val="0"/>
                    <w:jc w:val="center"/>
                    <w:rPr>
                      <w:rFonts w:hint="default" w:ascii="Times New Roman" w:hAnsi="Times New Roman" w:cs="Times New Roman"/>
                      <w:color w:val="auto"/>
                      <w:szCs w:val="21"/>
                      <w:highlight w:val="none"/>
                    </w:rPr>
                  </w:pPr>
                </w:p>
              </w:tc>
              <w:tc>
                <w:tcPr>
                  <w:tcW w:w="1094" w:type="pct"/>
                  <w:tcBorders>
                    <w:tl2br w:val="nil"/>
                    <w:tr2bl w:val="nil"/>
                  </w:tcBorders>
                  <w:shd w:val="clear" w:color="auto" w:fill="auto"/>
                  <w:noWrap w:val="0"/>
                  <w:vAlign w:val="center"/>
                </w:tcPr>
                <w:p w14:paraId="7583A1E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1199" w:type="pct"/>
                  <w:tcBorders>
                    <w:tl2br w:val="nil"/>
                    <w:tr2bl w:val="nil"/>
                  </w:tcBorders>
                  <w:shd w:val="clear" w:color="auto" w:fill="auto"/>
                  <w:noWrap w:val="0"/>
                  <w:vAlign w:val="center"/>
                </w:tcPr>
                <w:p w14:paraId="2227344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千克/吨</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原料</w:t>
                  </w:r>
                </w:p>
              </w:tc>
              <w:tc>
                <w:tcPr>
                  <w:tcW w:w="1183" w:type="pct"/>
                  <w:tcBorders>
                    <w:tl2br w:val="nil"/>
                    <w:tr2bl w:val="nil"/>
                  </w:tcBorders>
                  <w:shd w:val="clear" w:color="auto" w:fill="auto"/>
                  <w:noWrap w:val="0"/>
                  <w:vAlign w:val="center"/>
                </w:tcPr>
                <w:p w14:paraId="5C89D7D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17S</w:t>
                  </w:r>
                </w:p>
              </w:tc>
            </w:tr>
            <w:tr w14:paraId="6152D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760" w:type="pct"/>
                  <w:vMerge w:val="continue"/>
                  <w:tcBorders>
                    <w:tl2br w:val="nil"/>
                    <w:tr2bl w:val="nil"/>
                  </w:tcBorders>
                  <w:shd w:val="clear" w:color="auto" w:fill="auto"/>
                  <w:noWrap w:val="0"/>
                  <w:vAlign w:val="center"/>
                </w:tcPr>
                <w:p w14:paraId="320D366B">
                  <w:pPr>
                    <w:adjustRightInd w:val="0"/>
                    <w:snapToGrid w:val="0"/>
                    <w:jc w:val="center"/>
                    <w:rPr>
                      <w:rFonts w:hint="default" w:ascii="Times New Roman" w:hAnsi="Times New Roman" w:cs="Times New Roman"/>
                      <w:color w:val="auto"/>
                      <w:szCs w:val="21"/>
                      <w:highlight w:val="none"/>
                    </w:rPr>
                  </w:pPr>
                </w:p>
              </w:tc>
              <w:tc>
                <w:tcPr>
                  <w:tcW w:w="761" w:type="pct"/>
                  <w:vMerge w:val="continue"/>
                  <w:tcBorders>
                    <w:tl2br w:val="nil"/>
                    <w:tr2bl w:val="nil"/>
                  </w:tcBorders>
                  <w:shd w:val="clear" w:color="auto" w:fill="auto"/>
                  <w:noWrap w:val="0"/>
                  <w:vAlign w:val="center"/>
                </w:tcPr>
                <w:p w14:paraId="32518201">
                  <w:pPr>
                    <w:adjustRightInd w:val="0"/>
                    <w:snapToGrid w:val="0"/>
                    <w:jc w:val="center"/>
                    <w:rPr>
                      <w:rFonts w:hint="default" w:ascii="Times New Roman" w:hAnsi="Times New Roman" w:cs="Times New Roman"/>
                      <w:color w:val="auto"/>
                      <w:szCs w:val="21"/>
                      <w:highlight w:val="none"/>
                    </w:rPr>
                  </w:pPr>
                </w:p>
              </w:tc>
              <w:tc>
                <w:tcPr>
                  <w:tcW w:w="1094" w:type="pct"/>
                  <w:tcBorders>
                    <w:tl2br w:val="nil"/>
                    <w:tr2bl w:val="nil"/>
                  </w:tcBorders>
                  <w:shd w:val="clear" w:color="auto" w:fill="auto"/>
                  <w:noWrap w:val="0"/>
                  <w:vAlign w:val="center"/>
                </w:tcPr>
                <w:p w14:paraId="6CC78F7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X</w:t>
                  </w:r>
                </w:p>
              </w:tc>
              <w:tc>
                <w:tcPr>
                  <w:tcW w:w="1199" w:type="pct"/>
                  <w:tcBorders>
                    <w:tl2br w:val="nil"/>
                    <w:tr2bl w:val="nil"/>
                  </w:tcBorders>
                  <w:shd w:val="clear" w:color="auto" w:fill="auto"/>
                  <w:noWrap w:val="0"/>
                  <w:vAlign w:val="center"/>
                </w:tcPr>
                <w:p w14:paraId="4573B9F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千克/吨</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原料</w:t>
                  </w:r>
                </w:p>
              </w:tc>
              <w:tc>
                <w:tcPr>
                  <w:tcW w:w="1183" w:type="pct"/>
                  <w:tcBorders>
                    <w:tl2br w:val="nil"/>
                    <w:tr2bl w:val="nil"/>
                  </w:tcBorders>
                  <w:shd w:val="clear" w:color="auto" w:fill="auto"/>
                  <w:noWrap w:val="0"/>
                  <w:vAlign w:val="center"/>
                </w:tcPr>
                <w:p w14:paraId="3E0544B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1.02</w:t>
                  </w:r>
                </w:p>
              </w:tc>
            </w:tr>
            <w:tr w14:paraId="0C88F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5000" w:type="pct"/>
                  <w:gridSpan w:val="5"/>
                  <w:tcBorders>
                    <w:tl2br w:val="nil"/>
                    <w:tr2bl w:val="nil"/>
                  </w:tcBorders>
                  <w:shd w:val="clear" w:color="auto" w:fill="auto"/>
                  <w:noWrap w:val="0"/>
                  <w:vAlign w:val="center"/>
                </w:tcPr>
                <w:p w14:paraId="5757A317">
                  <w:pPr>
                    <w:adjustRightInd w:val="0"/>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p w14:paraId="38BA5204">
                  <w:pPr>
                    <w:adjustRightInd w:val="0"/>
                    <w:snapToGrid w:val="0"/>
                    <w:ind w:firstLine="420" w:firstLineChars="200"/>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eastAsia="zh-CN"/>
                    </w:rPr>
                    <w:t>①</w:t>
                  </w:r>
                  <w:r>
                    <w:rPr>
                      <w:rFonts w:hint="default" w:ascii="Times New Roman" w:hAnsi="Times New Roman" w:cs="Times New Roman"/>
                      <w:color w:val="auto"/>
                      <w:szCs w:val="21"/>
                      <w:highlight w:val="none"/>
                    </w:rPr>
                    <w:t>二氧化硫的产污系数是以含硫量（S</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）的形式表示的，其中含硫量（S</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）是指</w:t>
                  </w:r>
                  <w:r>
                    <w:rPr>
                      <w:rFonts w:hint="eastAsia" w:ascii="Times New Roman" w:hAnsi="Times New Roman" w:cs="Times New Roman"/>
                      <w:color w:val="auto"/>
                      <w:szCs w:val="21"/>
                      <w:highlight w:val="none"/>
                      <w:lang w:eastAsia="zh-CN"/>
                    </w:rPr>
                    <w:t>燃煤、</w:t>
                  </w:r>
                  <w:r>
                    <w:rPr>
                      <w:rFonts w:hint="default" w:ascii="Times New Roman" w:hAnsi="Times New Roman" w:cs="Times New Roman"/>
                      <w:color w:val="auto"/>
                      <w:szCs w:val="21"/>
                      <w:highlight w:val="none"/>
                    </w:rPr>
                    <w:t>生物质收到基硫分含量，以质量百分数的形式表示。本次环评</w:t>
                  </w:r>
                  <w:r>
                    <w:rPr>
                      <w:rFonts w:hint="eastAsia" w:ascii="Times New Roman" w:hAnsi="Times New Roman" w:cs="Times New Roman"/>
                      <w:color w:val="auto"/>
                      <w:szCs w:val="21"/>
                      <w:highlight w:val="none"/>
                      <w:lang w:val="en-US" w:eastAsia="zh-CN"/>
                    </w:rPr>
                    <w:t>生物质</w:t>
                  </w:r>
                  <w:r>
                    <w:rPr>
                      <w:rFonts w:hint="eastAsia" w:ascii="Times New Roman" w:hAnsi="Times New Roman" w:cs="Times New Roman"/>
                      <w:color w:val="auto"/>
                      <w:szCs w:val="21"/>
                      <w:highlight w:val="none"/>
                      <w:lang w:eastAsia="zh-CN"/>
                    </w:rPr>
                    <w:t>燃料</w:t>
                  </w:r>
                  <w:r>
                    <w:rPr>
                      <w:rFonts w:hint="default" w:ascii="Times New Roman" w:hAnsi="Times New Roman" w:cs="Times New Roman"/>
                      <w:color w:val="auto"/>
                      <w:szCs w:val="21"/>
                      <w:highlight w:val="none"/>
                    </w:rPr>
                    <w:t>S取值</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1。</w:t>
                  </w:r>
                </w:p>
              </w:tc>
            </w:tr>
          </w:tbl>
          <w:p w14:paraId="722E09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技改前热风炉治理设施为多管旋风除尘+水洗，运营期生物质燃料燃烧污染物产排情况如下。</w:t>
            </w:r>
          </w:p>
          <w:p w14:paraId="55E1CD47">
            <w:pPr>
              <w:pStyle w:val="7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pacing w:val="7"/>
                <w:sz w:val="24"/>
                <w:szCs w:val="24"/>
              </w:rPr>
              <w:t>表2-</w:t>
            </w:r>
            <w:r>
              <w:rPr>
                <w:rFonts w:hint="eastAsia" w:ascii="Times New Roman" w:hAnsi="Times New Roman" w:cs="Times New Roman"/>
                <w:b w:val="0"/>
                <w:bCs w:val="0"/>
                <w:color w:val="auto"/>
                <w:spacing w:val="7"/>
                <w:sz w:val="24"/>
                <w:szCs w:val="24"/>
                <w:lang w:val="en-US" w:eastAsia="zh-CN"/>
              </w:rPr>
              <w:t>5</w:t>
            </w:r>
            <w:r>
              <w:rPr>
                <w:rFonts w:hint="default" w:ascii="Times New Roman" w:hAnsi="Times New Roman" w:cs="Times New Roman"/>
                <w:b w:val="0"/>
                <w:bCs w:val="0"/>
                <w:color w:val="auto"/>
                <w:spacing w:val="7"/>
                <w:sz w:val="24"/>
                <w:szCs w:val="24"/>
              </w:rPr>
              <w:t xml:space="preserve">  </w:t>
            </w:r>
            <w:r>
              <w:rPr>
                <w:rFonts w:hint="eastAsia" w:ascii="Times New Roman" w:hAnsi="Times New Roman" w:cs="Times New Roman"/>
                <w:b w:val="0"/>
                <w:bCs w:val="0"/>
                <w:color w:val="auto"/>
                <w:spacing w:val="7"/>
                <w:sz w:val="24"/>
                <w:szCs w:val="24"/>
                <w:lang w:eastAsia="zh-CN"/>
              </w:rPr>
              <w:t>技改前生物质燃料燃烧</w:t>
            </w:r>
            <w:r>
              <w:rPr>
                <w:rFonts w:hint="default" w:ascii="Times New Roman" w:hAnsi="Times New Roman" w:cs="Times New Roman"/>
                <w:b w:val="0"/>
                <w:bCs w:val="0"/>
                <w:color w:val="auto"/>
                <w:spacing w:val="7"/>
                <w:sz w:val="24"/>
                <w:szCs w:val="24"/>
              </w:rPr>
              <w:t>污染物排放一览表</w:t>
            </w:r>
          </w:p>
          <w:tbl>
            <w:tblPr>
              <w:tblStyle w:val="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979"/>
              <w:gridCol w:w="1157"/>
              <w:gridCol w:w="1196"/>
              <w:gridCol w:w="1116"/>
              <w:gridCol w:w="1271"/>
              <w:gridCol w:w="1105"/>
              <w:gridCol w:w="1333"/>
            </w:tblGrid>
            <w:tr w14:paraId="56145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5" w:hRule="atLeast"/>
                <w:jc w:val="center"/>
              </w:trPr>
              <w:tc>
                <w:tcPr>
                  <w:tcW w:w="600" w:type="pct"/>
                  <w:vMerge w:val="restart"/>
                  <w:tcBorders>
                    <w:tl2br w:val="nil"/>
                    <w:tr2bl w:val="nil"/>
                  </w:tcBorders>
                  <w:shd w:val="clear" w:color="auto" w:fill="auto"/>
                  <w:noWrap w:val="0"/>
                  <w:vAlign w:val="center"/>
                </w:tcPr>
                <w:p w14:paraId="6F3A5AAF">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5"/>
                      <w:sz w:val="21"/>
                      <w:szCs w:val="21"/>
                    </w:rPr>
                    <w:t>名称</w:t>
                  </w:r>
                </w:p>
              </w:tc>
              <w:tc>
                <w:tcPr>
                  <w:tcW w:w="709" w:type="pct"/>
                  <w:vMerge w:val="restart"/>
                  <w:tcBorders>
                    <w:tl2br w:val="nil"/>
                    <w:tr2bl w:val="nil"/>
                  </w:tcBorders>
                  <w:shd w:val="clear" w:color="auto" w:fill="auto"/>
                  <w:noWrap w:val="0"/>
                  <w:vAlign w:val="center"/>
                </w:tcPr>
                <w:p w14:paraId="3FD8A6D1">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pacing w:val="-2"/>
                      <w:sz w:val="21"/>
                      <w:szCs w:val="21"/>
                    </w:rPr>
                  </w:pPr>
                  <w:r>
                    <w:rPr>
                      <w:rFonts w:hint="default" w:ascii="Times New Roman" w:hAnsi="Times New Roman" w:cs="Times New Roman"/>
                      <w:b w:val="0"/>
                      <w:bCs w:val="0"/>
                      <w:color w:val="auto"/>
                      <w:spacing w:val="-2"/>
                      <w:sz w:val="21"/>
                      <w:szCs w:val="21"/>
                    </w:rPr>
                    <w:t>年使用量</w:t>
                  </w:r>
                </w:p>
                <w:p w14:paraId="7E62FEFA">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7"/>
                      <w:sz w:val="21"/>
                      <w:szCs w:val="21"/>
                    </w:rPr>
                    <w:t>（t）</w:t>
                  </w:r>
                </w:p>
              </w:tc>
              <w:tc>
                <w:tcPr>
                  <w:tcW w:w="1417" w:type="pct"/>
                  <w:gridSpan w:val="2"/>
                  <w:vMerge w:val="restart"/>
                  <w:tcBorders>
                    <w:tl2br w:val="nil"/>
                    <w:tr2bl w:val="nil"/>
                  </w:tcBorders>
                  <w:shd w:val="clear" w:color="auto" w:fill="auto"/>
                  <w:noWrap w:val="0"/>
                  <w:vAlign w:val="center"/>
                </w:tcPr>
                <w:p w14:paraId="565377DF">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pacing w:val="6"/>
                      <w:sz w:val="21"/>
                      <w:szCs w:val="21"/>
                    </w:rPr>
                  </w:pPr>
                  <w:r>
                    <w:rPr>
                      <w:rFonts w:hint="default" w:ascii="Times New Roman" w:hAnsi="Times New Roman" w:cs="Times New Roman"/>
                      <w:b w:val="0"/>
                      <w:bCs w:val="0"/>
                      <w:color w:val="auto"/>
                      <w:spacing w:val="6"/>
                      <w:sz w:val="21"/>
                      <w:szCs w:val="21"/>
                    </w:rPr>
                    <w:t>产物系数</w:t>
                  </w:r>
                </w:p>
                <w:p w14:paraId="6FEB8D34">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6"/>
                      <w:sz w:val="21"/>
                      <w:szCs w:val="21"/>
                    </w:rPr>
                    <w:t>（千克/吨</w:t>
                  </w:r>
                  <w:r>
                    <w:rPr>
                      <w:rFonts w:hint="eastAsia" w:ascii="Times New Roman" w:hAnsi="Times New Roman" w:cs="Times New Roman"/>
                      <w:b w:val="0"/>
                      <w:bCs w:val="0"/>
                      <w:color w:val="auto"/>
                      <w:spacing w:val="6"/>
                      <w:sz w:val="21"/>
                      <w:szCs w:val="21"/>
                      <w:lang w:eastAsia="zh-CN"/>
                    </w:rPr>
                    <w:t>－</w:t>
                  </w:r>
                  <w:r>
                    <w:rPr>
                      <w:rFonts w:hint="default" w:ascii="Times New Roman" w:hAnsi="Times New Roman" w:cs="Times New Roman"/>
                      <w:b w:val="0"/>
                      <w:bCs w:val="0"/>
                      <w:color w:val="auto"/>
                      <w:spacing w:val="-3"/>
                      <w:sz w:val="21"/>
                      <w:szCs w:val="21"/>
                    </w:rPr>
                    <w:t>燃料）</w:t>
                  </w:r>
                </w:p>
              </w:tc>
              <w:tc>
                <w:tcPr>
                  <w:tcW w:w="779" w:type="pct"/>
                  <w:vMerge w:val="restart"/>
                  <w:tcBorders>
                    <w:tl2br w:val="nil"/>
                    <w:tr2bl w:val="nil"/>
                  </w:tcBorders>
                  <w:shd w:val="clear" w:color="auto" w:fill="auto"/>
                  <w:noWrap w:val="0"/>
                  <w:vAlign w:val="center"/>
                </w:tcPr>
                <w:p w14:paraId="270DFCDF">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3"/>
                      <w:sz w:val="21"/>
                      <w:szCs w:val="21"/>
                    </w:rPr>
                    <w:t>产生量</w:t>
                  </w:r>
                  <w:r>
                    <w:rPr>
                      <w:rFonts w:hint="default" w:ascii="Times New Roman" w:hAnsi="Times New Roman" w:cs="Times New Roman"/>
                      <w:b w:val="0"/>
                      <w:bCs w:val="0"/>
                      <w:color w:val="auto"/>
                      <w:spacing w:val="-34"/>
                      <w:sz w:val="21"/>
                      <w:szCs w:val="21"/>
                    </w:rPr>
                    <w:t xml:space="preserve"> </w:t>
                  </w:r>
                  <w:r>
                    <w:rPr>
                      <w:rFonts w:hint="default" w:ascii="Times New Roman" w:hAnsi="Times New Roman" w:cs="Times New Roman"/>
                      <w:b w:val="0"/>
                      <w:bCs w:val="0"/>
                      <w:color w:val="auto"/>
                      <w:spacing w:val="-3"/>
                      <w:sz w:val="21"/>
                      <w:szCs w:val="21"/>
                    </w:rPr>
                    <w:t>t/a</w:t>
                  </w:r>
                </w:p>
              </w:tc>
              <w:tc>
                <w:tcPr>
                  <w:tcW w:w="677" w:type="pct"/>
                  <w:vMerge w:val="restart"/>
                  <w:tcBorders>
                    <w:tl2br w:val="nil"/>
                    <w:tr2bl w:val="nil"/>
                  </w:tcBorders>
                  <w:shd w:val="clear" w:color="auto" w:fill="auto"/>
                  <w:noWrap w:val="0"/>
                  <w:vAlign w:val="center"/>
                </w:tcPr>
                <w:p w14:paraId="0B895977">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3"/>
                      <w:sz w:val="21"/>
                      <w:szCs w:val="21"/>
                    </w:rPr>
                    <w:t>治理效果</w:t>
                  </w:r>
                </w:p>
              </w:tc>
              <w:tc>
                <w:tcPr>
                  <w:tcW w:w="817" w:type="pct"/>
                  <w:tcBorders>
                    <w:tl2br w:val="nil"/>
                    <w:tr2bl w:val="nil"/>
                  </w:tcBorders>
                  <w:shd w:val="clear" w:color="auto" w:fill="auto"/>
                  <w:noWrap w:val="0"/>
                  <w:vAlign w:val="center"/>
                </w:tcPr>
                <w:p w14:paraId="4F4C2F3C">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2"/>
                      <w:sz w:val="21"/>
                      <w:szCs w:val="21"/>
                    </w:rPr>
                    <w:t>有组织排放</w:t>
                  </w:r>
                </w:p>
              </w:tc>
            </w:tr>
            <w:tr w14:paraId="5D9F4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600" w:type="pct"/>
                  <w:vMerge w:val="continue"/>
                  <w:tcBorders>
                    <w:tl2br w:val="nil"/>
                    <w:tr2bl w:val="nil"/>
                  </w:tcBorders>
                  <w:shd w:val="clear" w:color="auto" w:fill="auto"/>
                  <w:noWrap w:val="0"/>
                  <w:vAlign w:val="center"/>
                </w:tcPr>
                <w:p w14:paraId="34D8117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p>
              </w:tc>
              <w:tc>
                <w:tcPr>
                  <w:tcW w:w="709" w:type="pct"/>
                  <w:vMerge w:val="continue"/>
                  <w:tcBorders>
                    <w:tl2br w:val="nil"/>
                    <w:tr2bl w:val="nil"/>
                  </w:tcBorders>
                  <w:shd w:val="clear" w:color="auto" w:fill="auto"/>
                  <w:noWrap w:val="0"/>
                  <w:vAlign w:val="center"/>
                </w:tcPr>
                <w:p w14:paraId="5821594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p>
              </w:tc>
              <w:tc>
                <w:tcPr>
                  <w:tcW w:w="1417" w:type="pct"/>
                  <w:gridSpan w:val="2"/>
                  <w:vMerge w:val="continue"/>
                  <w:tcBorders>
                    <w:tl2br w:val="nil"/>
                    <w:tr2bl w:val="nil"/>
                  </w:tcBorders>
                  <w:shd w:val="clear" w:color="auto" w:fill="auto"/>
                  <w:noWrap w:val="0"/>
                  <w:vAlign w:val="center"/>
                </w:tcPr>
                <w:p w14:paraId="3B61F34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p>
              </w:tc>
              <w:tc>
                <w:tcPr>
                  <w:tcW w:w="779" w:type="pct"/>
                  <w:vMerge w:val="continue"/>
                  <w:tcBorders>
                    <w:tl2br w:val="nil"/>
                    <w:tr2bl w:val="nil"/>
                  </w:tcBorders>
                  <w:shd w:val="clear" w:color="auto" w:fill="auto"/>
                  <w:noWrap w:val="0"/>
                  <w:vAlign w:val="center"/>
                </w:tcPr>
                <w:p w14:paraId="336D854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p>
              </w:tc>
              <w:tc>
                <w:tcPr>
                  <w:tcW w:w="677" w:type="pct"/>
                  <w:vMerge w:val="continue"/>
                  <w:tcBorders>
                    <w:tl2br w:val="nil"/>
                    <w:tr2bl w:val="nil"/>
                  </w:tcBorders>
                  <w:shd w:val="clear" w:color="auto" w:fill="auto"/>
                  <w:noWrap w:val="0"/>
                  <w:vAlign w:val="center"/>
                </w:tcPr>
                <w:p w14:paraId="4EC105F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p>
              </w:tc>
              <w:tc>
                <w:tcPr>
                  <w:tcW w:w="817" w:type="pct"/>
                  <w:tcBorders>
                    <w:tl2br w:val="nil"/>
                    <w:tr2bl w:val="nil"/>
                  </w:tcBorders>
                  <w:shd w:val="clear" w:color="auto" w:fill="auto"/>
                  <w:noWrap w:val="0"/>
                  <w:vAlign w:val="center"/>
                </w:tcPr>
                <w:p w14:paraId="1BC76C87">
                  <w:pPr>
                    <w:pStyle w:val="7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3"/>
                      <w:sz w:val="21"/>
                      <w:szCs w:val="21"/>
                    </w:rPr>
                    <w:t>排放量</w:t>
                  </w:r>
                  <w:r>
                    <w:rPr>
                      <w:rFonts w:hint="default" w:ascii="Times New Roman" w:hAnsi="Times New Roman" w:cs="Times New Roman"/>
                      <w:b w:val="0"/>
                      <w:bCs w:val="0"/>
                      <w:color w:val="auto"/>
                      <w:spacing w:val="-34"/>
                      <w:sz w:val="21"/>
                      <w:szCs w:val="21"/>
                    </w:rPr>
                    <w:t xml:space="preserve"> </w:t>
                  </w:r>
                  <w:r>
                    <w:rPr>
                      <w:rFonts w:hint="default" w:ascii="Times New Roman" w:hAnsi="Times New Roman" w:cs="Times New Roman"/>
                      <w:b w:val="0"/>
                      <w:bCs w:val="0"/>
                      <w:color w:val="auto"/>
                      <w:spacing w:val="-3"/>
                      <w:sz w:val="21"/>
                      <w:szCs w:val="21"/>
                    </w:rPr>
                    <w:t>t/a</w:t>
                  </w:r>
                </w:p>
              </w:tc>
            </w:tr>
            <w:tr w14:paraId="5CFC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600" w:type="pct"/>
                  <w:vMerge w:val="restart"/>
                  <w:tcBorders>
                    <w:tl2br w:val="nil"/>
                    <w:tr2bl w:val="nil"/>
                  </w:tcBorders>
                  <w:shd w:val="clear" w:color="auto" w:fill="auto"/>
                  <w:noWrap w:val="0"/>
                  <w:vAlign w:val="center"/>
                </w:tcPr>
                <w:p w14:paraId="15E2984C">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zh-HK"/>
                    </w:rPr>
                    <w:t>生物质</w:t>
                  </w:r>
                </w:p>
              </w:tc>
              <w:tc>
                <w:tcPr>
                  <w:tcW w:w="709" w:type="pct"/>
                  <w:vMerge w:val="restart"/>
                  <w:tcBorders>
                    <w:tl2br w:val="nil"/>
                    <w:tr2bl w:val="nil"/>
                  </w:tcBorders>
                  <w:shd w:val="clear" w:color="auto" w:fill="auto"/>
                  <w:noWrap w:val="0"/>
                  <w:vAlign w:val="center"/>
                </w:tcPr>
                <w:p w14:paraId="17DE234B">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color w:val="auto"/>
                      <w:kern w:val="0"/>
                      <w:sz w:val="21"/>
                      <w:szCs w:val="21"/>
                      <w:vertAlign w:val="baseline"/>
                      <w:lang w:val="en-US" w:eastAsia="zh-CN"/>
                    </w:rPr>
                    <w:t>15568.36</w:t>
                  </w:r>
                </w:p>
              </w:tc>
              <w:tc>
                <w:tcPr>
                  <w:tcW w:w="733" w:type="pct"/>
                  <w:tcBorders>
                    <w:tl2br w:val="nil"/>
                    <w:tr2bl w:val="nil"/>
                  </w:tcBorders>
                  <w:shd w:val="clear" w:color="auto" w:fill="auto"/>
                  <w:noWrap w:val="0"/>
                  <w:vAlign w:val="center"/>
                </w:tcPr>
                <w:p w14:paraId="52193EB7">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zh-HK"/>
                    </w:rPr>
                    <w:t>颗粒物</w:t>
                  </w:r>
                </w:p>
              </w:tc>
              <w:tc>
                <w:tcPr>
                  <w:tcW w:w="684" w:type="pct"/>
                  <w:tcBorders>
                    <w:tl2br w:val="nil"/>
                    <w:tr2bl w:val="nil"/>
                  </w:tcBorders>
                  <w:shd w:val="clear" w:color="auto" w:fill="auto"/>
                  <w:noWrap w:val="0"/>
                  <w:vAlign w:val="center"/>
                </w:tcPr>
                <w:p w14:paraId="16BD18E9">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zh-HK"/>
                    </w:rPr>
                    <w:t>37.6</w:t>
                  </w:r>
                </w:p>
              </w:tc>
              <w:tc>
                <w:tcPr>
                  <w:tcW w:w="779" w:type="pct"/>
                  <w:tcBorders>
                    <w:tl2br w:val="nil"/>
                    <w:tr2bl w:val="nil"/>
                  </w:tcBorders>
                  <w:shd w:val="clear" w:color="auto" w:fill="auto"/>
                  <w:noWrap w:val="0"/>
                  <w:vAlign w:val="center"/>
                </w:tcPr>
                <w:p w14:paraId="11E70935">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i w:val="0"/>
                      <w:iCs w:val="0"/>
                      <w:color w:val="auto"/>
                      <w:kern w:val="0"/>
                      <w:sz w:val="21"/>
                      <w:szCs w:val="21"/>
                      <w:u w:val="none"/>
                      <w:lang w:val="en-US" w:eastAsia="zh-CN" w:bidi="zh-HK"/>
                    </w:rPr>
                    <w:t>585.37</w:t>
                  </w:r>
                </w:p>
              </w:tc>
              <w:tc>
                <w:tcPr>
                  <w:tcW w:w="677" w:type="pct"/>
                  <w:tcBorders>
                    <w:tl2br w:val="nil"/>
                    <w:tr2bl w:val="nil"/>
                  </w:tcBorders>
                  <w:shd w:val="clear" w:color="auto" w:fill="auto"/>
                  <w:noWrap w:val="0"/>
                  <w:vAlign w:val="center"/>
                </w:tcPr>
                <w:p w14:paraId="284F8D3C">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zh-HK"/>
                    </w:rPr>
                    <w:t>95.5</w:t>
                  </w:r>
                  <w:r>
                    <w:rPr>
                      <w:rFonts w:hint="default" w:ascii="Times New Roman" w:hAnsi="Times New Roman" w:eastAsia="宋体" w:cs="Times New Roman"/>
                      <w:b w:val="0"/>
                      <w:bCs w:val="0"/>
                      <w:i w:val="0"/>
                      <w:iCs w:val="0"/>
                      <w:color w:val="auto"/>
                      <w:kern w:val="0"/>
                      <w:sz w:val="21"/>
                      <w:szCs w:val="21"/>
                      <w:u w:val="none"/>
                      <w:lang w:val="en-US" w:eastAsia="zh-CN" w:bidi="zh-HK"/>
                    </w:rPr>
                    <w:t>%</w:t>
                  </w:r>
                </w:p>
              </w:tc>
              <w:tc>
                <w:tcPr>
                  <w:tcW w:w="817" w:type="pct"/>
                  <w:tcBorders>
                    <w:tl2br w:val="nil"/>
                    <w:tr2bl w:val="nil"/>
                  </w:tcBorders>
                  <w:shd w:val="clear" w:color="auto" w:fill="auto"/>
                  <w:noWrap w:val="0"/>
                  <w:vAlign w:val="center"/>
                </w:tcPr>
                <w:p w14:paraId="619F72F8">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i w:val="0"/>
                      <w:iCs w:val="0"/>
                      <w:color w:val="auto"/>
                      <w:kern w:val="0"/>
                      <w:sz w:val="21"/>
                      <w:szCs w:val="21"/>
                      <w:u w:val="none"/>
                      <w:lang w:val="en-US" w:eastAsia="zh-CN" w:bidi="zh-HK"/>
                    </w:rPr>
                    <w:t>26.34</w:t>
                  </w:r>
                </w:p>
              </w:tc>
            </w:tr>
            <w:tr w14:paraId="55114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600" w:type="pct"/>
                  <w:vMerge w:val="continue"/>
                  <w:tcBorders>
                    <w:tl2br w:val="nil"/>
                    <w:tr2bl w:val="nil"/>
                  </w:tcBorders>
                  <w:shd w:val="clear" w:color="auto" w:fill="auto"/>
                  <w:noWrap w:val="0"/>
                  <w:vAlign w:val="center"/>
                </w:tcPr>
                <w:p w14:paraId="60614ED8">
                  <w:pPr>
                    <w:jc w:val="center"/>
                    <w:rPr>
                      <w:rFonts w:hint="default" w:ascii="Times New Roman" w:hAnsi="Times New Roman" w:cs="Times New Roman"/>
                      <w:b w:val="0"/>
                      <w:bCs w:val="0"/>
                      <w:color w:val="auto"/>
                      <w:sz w:val="21"/>
                      <w:szCs w:val="21"/>
                    </w:rPr>
                  </w:pPr>
                </w:p>
              </w:tc>
              <w:tc>
                <w:tcPr>
                  <w:tcW w:w="709" w:type="pct"/>
                  <w:vMerge w:val="continue"/>
                  <w:tcBorders>
                    <w:tl2br w:val="nil"/>
                    <w:tr2bl w:val="nil"/>
                  </w:tcBorders>
                  <w:shd w:val="clear" w:color="auto" w:fill="auto"/>
                  <w:noWrap w:val="0"/>
                  <w:vAlign w:val="center"/>
                </w:tcPr>
                <w:p w14:paraId="2E8C282C">
                  <w:pPr>
                    <w:jc w:val="center"/>
                    <w:rPr>
                      <w:rFonts w:hint="default" w:ascii="Times New Roman" w:hAnsi="Times New Roman" w:cs="Times New Roman"/>
                      <w:b w:val="0"/>
                      <w:bCs w:val="0"/>
                      <w:color w:val="auto"/>
                      <w:sz w:val="21"/>
                      <w:szCs w:val="21"/>
                    </w:rPr>
                  </w:pPr>
                </w:p>
              </w:tc>
              <w:tc>
                <w:tcPr>
                  <w:tcW w:w="733" w:type="pct"/>
                  <w:tcBorders>
                    <w:tl2br w:val="nil"/>
                    <w:tr2bl w:val="nil"/>
                  </w:tcBorders>
                  <w:shd w:val="clear" w:color="auto" w:fill="auto"/>
                  <w:noWrap w:val="0"/>
                  <w:vAlign w:val="center"/>
                </w:tcPr>
                <w:p w14:paraId="5330C0D4">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zh-HK"/>
                    </w:rPr>
                    <w:t>二氧化硫</w:t>
                  </w:r>
                </w:p>
              </w:tc>
              <w:tc>
                <w:tcPr>
                  <w:tcW w:w="684" w:type="pct"/>
                  <w:tcBorders>
                    <w:tl2br w:val="nil"/>
                    <w:tr2bl w:val="nil"/>
                  </w:tcBorders>
                  <w:shd w:val="clear" w:color="auto" w:fill="auto"/>
                  <w:noWrap w:val="0"/>
                  <w:vAlign w:val="center"/>
                </w:tcPr>
                <w:p w14:paraId="64FF2A82">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i w:val="0"/>
                      <w:iCs w:val="0"/>
                      <w:color w:val="auto"/>
                      <w:kern w:val="0"/>
                      <w:sz w:val="21"/>
                      <w:szCs w:val="21"/>
                      <w:u w:val="none"/>
                      <w:lang w:val="en-US" w:eastAsia="zh-CN" w:bidi="zh-HK"/>
                    </w:rPr>
                    <w:t>1.7</w:t>
                  </w:r>
                </w:p>
              </w:tc>
              <w:tc>
                <w:tcPr>
                  <w:tcW w:w="779" w:type="pct"/>
                  <w:tcBorders>
                    <w:tl2br w:val="nil"/>
                    <w:tr2bl w:val="nil"/>
                  </w:tcBorders>
                  <w:shd w:val="clear" w:color="auto" w:fill="auto"/>
                  <w:noWrap w:val="0"/>
                  <w:vAlign w:val="center"/>
                </w:tcPr>
                <w:p w14:paraId="6998A6C0">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i w:val="0"/>
                      <w:iCs w:val="0"/>
                      <w:color w:val="auto"/>
                      <w:kern w:val="0"/>
                      <w:sz w:val="21"/>
                      <w:szCs w:val="21"/>
                      <w:u w:val="none"/>
                      <w:lang w:val="en-US" w:eastAsia="zh-CN" w:bidi="zh-HK"/>
                    </w:rPr>
                    <w:t>26.47</w:t>
                  </w:r>
                </w:p>
              </w:tc>
              <w:tc>
                <w:tcPr>
                  <w:tcW w:w="677" w:type="pct"/>
                  <w:tcBorders>
                    <w:tl2br w:val="nil"/>
                    <w:tr2bl w:val="nil"/>
                  </w:tcBorders>
                  <w:shd w:val="clear" w:color="auto" w:fill="auto"/>
                  <w:noWrap w:val="0"/>
                  <w:vAlign w:val="center"/>
                </w:tcPr>
                <w:p w14:paraId="2EC9CF3C">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zh-HK"/>
                    </w:rPr>
                    <w:t>0</w:t>
                  </w:r>
                  <w:r>
                    <w:rPr>
                      <w:rFonts w:hint="default" w:ascii="Times New Roman" w:hAnsi="Times New Roman" w:eastAsia="宋体" w:cs="Times New Roman"/>
                      <w:b w:val="0"/>
                      <w:bCs w:val="0"/>
                      <w:i w:val="0"/>
                      <w:iCs w:val="0"/>
                      <w:color w:val="auto"/>
                      <w:kern w:val="0"/>
                      <w:sz w:val="21"/>
                      <w:szCs w:val="21"/>
                      <w:u w:val="none"/>
                      <w:lang w:val="en-US" w:eastAsia="zh-CN" w:bidi="zh-HK"/>
                    </w:rPr>
                    <w:t>%</w:t>
                  </w:r>
                </w:p>
              </w:tc>
              <w:tc>
                <w:tcPr>
                  <w:tcW w:w="817" w:type="pct"/>
                  <w:tcBorders>
                    <w:tl2br w:val="nil"/>
                    <w:tr2bl w:val="nil"/>
                  </w:tcBorders>
                  <w:shd w:val="clear" w:color="auto" w:fill="auto"/>
                  <w:noWrap w:val="0"/>
                  <w:vAlign w:val="center"/>
                </w:tcPr>
                <w:p w14:paraId="2F5C7242">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i w:val="0"/>
                      <w:iCs w:val="0"/>
                      <w:color w:val="auto"/>
                      <w:kern w:val="0"/>
                      <w:sz w:val="21"/>
                      <w:szCs w:val="21"/>
                      <w:u w:val="none"/>
                      <w:lang w:val="en-US" w:eastAsia="zh-CN" w:bidi="zh-HK"/>
                    </w:rPr>
                    <w:t>26.47</w:t>
                  </w:r>
                </w:p>
              </w:tc>
            </w:tr>
            <w:tr w14:paraId="2CE67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600" w:type="pct"/>
                  <w:vMerge w:val="continue"/>
                  <w:tcBorders>
                    <w:tl2br w:val="nil"/>
                    <w:tr2bl w:val="nil"/>
                  </w:tcBorders>
                  <w:shd w:val="clear" w:color="auto" w:fill="auto"/>
                  <w:noWrap w:val="0"/>
                  <w:vAlign w:val="center"/>
                </w:tcPr>
                <w:p w14:paraId="0B526B86">
                  <w:pPr>
                    <w:jc w:val="center"/>
                    <w:rPr>
                      <w:rFonts w:hint="default" w:ascii="Times New Roman" w:hAnsi="Times New Roman" w:cs="Times New Roman"/>
                      <w:b w:val="0"/>
                      <w:bCs w:val="0"/>
                      <w:color w:val="auto"/>
                      <w:sz w:val="21"/>
                      <w:szCs w:val="21"/>
                    </w:rPr>
                  </w:pPr>
                </w:p>
              </w:tc>
              <w:tc>
                <w:tcPr>
                  <w:tcW w:w="709" w:type="pct"/>
                  <w:vMerge w:val="continue"/>
                  <w:tcBorders>
                    <w:tl2br w:val="nil"/>
                    <w:tr2bl w:val="nil"/>
                  </w:tcBorders>
                  <w:shd w:val="clear" w:color="auto" w:fill="auto"/>
                  <w:noWrap w:val="0"/>
                  <w:vAlign w:val="center"/>
                </w:tcPr>
                <w:p w14:paraId="5E1C9A08">
                  <w:pPr>
                    <w:jc w:val="center"/>
                    <w:rPr>
                      <w:rFonts w:hint="default" w:ascii="Times New Roman" w:hAnsi="Times New Roman" w:cs="Times New Roman"/>
                      <w:b w:val="0"/>
                      <w:bCs w:val="0"/>
                      <w:color w:val="auto"/>
                      <w:sz w:val="21"/>
                      <w:szCs w:val="21"/>
                    </w:rPr>
                  </w:pPr>
                </w:p>
              </w:tc>
              <w:tc>
                <w:tcPr>
                  <w:tcW w:w="733" w:type="pct"/>
                  <w:tcBorders>
                    <w:tl2br w:val="nil"/>
                    <w:tr2bl w:val="nil"/>
                  </w:tcBorders>
                  <w:shd w:val="clear" w:color="auto" w:fill="auto"/>
                  <w:noWrap w:val="0"/>
                  <w:vAlign w:val="center"/>
                </w:tcPr>
                <w:p w14:paraId="13AF9424">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zh-HK"/>
                    </w:rPr>
                    <w:t>氮氧化物</w:t>
                  </w:r>
                </w:p>
              </w:tc>
              <w:tc>
                <w:tcPr>
                  <w:tcW w:w="684" w:type="pct"/>
                  <w:tcBorders>
                    <w:tl2br w:val="nil"/>
                    <w:tr2bl w:val="nil"/>
                  </w:tcBorders>
                  <w:shd w:val="clear" w:color="auto" w:fill="auto"/>
                  <w:noWrap w:val="0"/>
                  <w:vAlign w:val="center"/>
                </w:tcPr>
                <w:p w14:paraId="21508FEF">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zh-HK"/>
                    </w:rPr>
                    <w:t>1.02</w:t>
                  </w:r>
                </w:p>
              </w:tc>
              <w:tc>
                <w:tcPr>
                  <w:tcW w:w="779" w:type="pct"/>
                  <w:tcBorders>
                    <w:tl2br w:val="nil"/>
                    <w:tr2bl w:val="nil"/>
                  </w:tcBorders>
                  <w:shd w:val="clear" w:color="auto" w:fill="auto"/>
                  <w:noWrap w:val="0"/>
                  <w:vAlign w:val="center"/>
                </w:tcPr>
                <w:p w14:paraId="4F8A7138">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i w:val="0"/>
                      <w:iCs w:val="0"/>
                      <w:color w:val="auto"/>
                      <w:kern w:val="0"/>
                      <w:sz w:val="21"/>
                      <w:szCs w:val="21"/>
                      <w:u w:val="none"/>
                      <w:lang w:val="en-US" w:eastAsia="zh-CN" w:bidi="zh-HK"/>
                    </w:rPr>
                    <w:t>15.88</w:t>
                  </w:r>
                </w:p>
              </w:tc>
              <w:tc>
                <w:tcPr>
                  <w:tcW w:w="677" w:type="pct"/>
                  <w:tcBorders>
                    <w:tl2br w:val="nil"/>
                    <w:tr2bl w:val="nil"/>
                  </w:tcBorders>
                  <w:shd w:val="clear" w:color="auto" w:fill="auto"/>
                  <w:noWrap w:val="0"/>
                  <w:vAlign w:val="center"/>
                </w:tcPr>
                <w:p w14:paraId="7D2D508A">
                  <w:pPr>
                    <w:keepNext w:val="0"/>
                    <w:keepLines w:val="0"/>
                    <w:widowControl/>
                    <w:suppressLineNumbers w:val="0"/>
                    <w:jc w:val="center"/>
                    <w:textAlignment w:val="center"/>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zh-HK"/>
                    </w:rPr>
                    <w:t>0</w:t>
                  </w:r>
                  <w:r>
                    <w:rPr>
                      <w:rFonts w:hint="default" w:ascii="Times New Roman" w:hAnsi="Times New Roman" w:eastAsia="宋体" w:cs="Times New Roman"/>
                      <w:b w:val="0"/>
                      <w:bCs w:val="0"/>
                      <w:i w:val="0"/>
                      <w:iCs w:val="0"/>
                      <w:color w:val="auto"/>
                      <w:kern w:val="0"/>
                      <w:sz w:val="21"/>
                      <w:szCs w:val="21"/>
                      <w:u w:val="none"/>
                      <w:lang w:val="en-US" w:eastAsia="zh-CN" w:bidi="zh-HK"/>
                    </w:rPr>
                    <w:t>%</w:t>
                  </w:r>
                </w:p>
              </w:tc>
              <w:tc>
                <w:tcPr>
                  <w:tcW w:w="817" w:type="pct"/>
                  <w:tcBorders>
                    <w:tl2br w:val="nil"/>
                    <w:tr2bl w:val="nil"/>
                  </w:tcBorders>
                  <w:shd w:val="clear" w:color="auto" w:fill="auto"/>
                  <w:noWrap w:val="0"/>
                  <w:vAlign w:val="center"/>
                </w:tcPr>
                <w:p w14:paraId="460BA74C">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rPr>
                  </w:pPr>
                  <w:r>
                    <w:rPr>
                      <w:rFonts w:hint="eastAsia" w:ascii="Times New Roman" w:hAnsi="Times New Roman" w:eastAsia="宋体" w:cs="Times New Roman"/>
                      <w:b w:val="0"/>
                      <w:bCs w:val="0"/>
                      <w:i w:val="0"/>
                      <w:iCs w:val="0"/>
                      <w:color w:val="auto"/>
                      <w:kern w:val="0"/>
                      <w:sz w:val="21"/>
                      <w:szCs w:val="21"/>
                      <w:u w:val="none"/>
                      <w:lang w:val="en-US" w:eastAsia="zh-CN" w:bidi="zh-HK"/>
                    </w:rPr>
                    <w:t>15.88</w:t>
                  </w:r>
                </w:p>
              </w:tc>
            </w:tr>
            <w:tr w14:paraId="1A627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600" w:type="pct"/>
                  <w:vMerge w:val="continue"/>
                  <w:tcBorders>
                    <w:tl2br w:val="nil"/>
                    <w:tr2bl w:val="nil"/>
                  </w:tcBorders>
                  <w:shd w:val="clear" w:color="auto" w:fill="auto"/>
                  <w:noWrap w:val="0"/>
                  <w:vAlign w:val="center"/>
                </w:tcPr>
                <w:p w14:paraId="37DFF2BF">
                  <w:pPr>
                    <w:jc w:val="center"/>
                    <w:rPr>
                      <w:rFonts w:hint="default" w:ascii="Times New Roman" w:hAnsi="Times New Roman" w:cs="Times New Roman"/>
                      <w:b w:val="0"/>
                      <w:bCs w:val="0"/>
                      <w:color w:val="auto"/>
                      <w:sz w:val="21"/>
                      <w:szCs w:val="21"/>
                    </w:rPr>
                  </w:pPr>
                </w:p>
              </w:tc>
              <w:tc>
                <w:tcPr>
                  <w:tcW w:w="709" w:type="pct"/>
                  <w:vMerge w:val="restart"/>
                  <w:tcBorders>
                    <w:tl2br w:val="nil"/>
                    <w:tr2bl w:val="nil"/>
                  </w:tcBorders>
                  <w:shd w:val="clear" w:color="auto" w:fill="auto"/>
                  <w:noWrap w:val="0"/>
                  <w:vAlign w:val="center"/>
                </w:tcPr>
                <w:p w14:paraId="71072B74">
                  <w:pPr>
                    <w:jc w:val="center"/>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color w:val="auto"/>
                      <w:kern w:val="0"/>
                      <w:sz w:val="21"/>
                      <w:szCs w:val="21"/>
                      <w:vertAlign w:val="baseline"/>
                      <w:lang w:val="en-US" w:eastAsia="zh-CN"/>
                    </w:rPr>
                    <w:t>5604.61</w:t>
                  </w:r>
                </w:p>
              </w:tc>
              <w:tc>
                <w:tcPr>
                  <w:tcW w:w="733" w:type="pct"/>
                  <w:tcBorders>
                    <w:tl2br w:val="nil"/>
                    <w:tr2bl w:val="nil"/>
                  </w:tcBorders>
                  <w:shd w:val="clear" w:color="auto" w:fill="auto"/>
                  <w:noWrap w:val="0"/>
                  <w:vAlign w:val="center"/>
                </w:tcPr>
                <w:p w14:paraId="523638F6">
                  <w:pPr>
                    <w:keepNext w:val="0"/>
                    <w:keepLines w:val="0"/>
                    <w:widowControl/>
                    <w:suppressLineNumbers w:val="0"/>
                    <w:jc w:val="center"/>
                    <w:textAlignment w:val="center"/>
                    <w:rPr>
                      <w:rFonts w:hint="eastAsia" w:ascii="Times New Roman" w:hAnsi="Times New Roman" w:cs="Times New Roman"/>
                      <w:b w:val="0"/>
                      <w:bCs w:val="0"/>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zh-HK"/>
                    </w:rPr>
                    <w:t>颗粒物</w:t>
                  </w:r>
                </w:p>
              </w:tc>
              <w:tc>
                <w:tcPr>
                  <w:tcW w:w="684" w:type="pct"/>
                  <w:tcBorders>
                    <w:tl2br w:val="nil"/>
                    <w:tr2bl w:val="nil"/>
                  </w:tcBorders>
                  <w:shd w:val="clear" w:color="auto" w:fill="auto"/>
                  <w:noWrap w:val="0"/>
                  <w:vAlign w:val="center"/>
                </w:tcPr>
                <w:p w14:paraId="2D3A0D81">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zh-HK"/>
                    </w:rPr>
                    <w:t>37.6</w:t>
                  </w:r>
                </w:p>
              </w:tc>
              <w:tc>
                <w:tcPr>
                  <w:tcW w:w="779" w:type="pct"/>
                  <w:tcBorders>
                    <w:tl2br w:val="nil"/>
                    <w:tr2bl w:val="nil"/>
                  </w:tcBorders>
                  <w:shd w:val="clear" w:color="auto" w:fill="auto"/>
                  <w:noWrap w:val="0"/>
                  <w:vAlign w:val="center"/>
                </w:tcPr>
                <w:p w14:paraId="2D626A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zh-HK"/>
                    </w:rPr>
                  </w:pPr>
                  <w:r>
                    <w:rPr>
                      <w:rFonts w:hint="eastAsia" w:ascii="Times New Roman" w:hAnsi="Times New Roman" w:eastAsia="宋体" w:cs="Times New Roman"/>
                      <w:b w:val="0"/>
                      <w:bCs w:val="0"/>
                      <w:i w:val="0"/>
                      <w:iCs w:val="0"/>
                      <w:color w:val="auto"/>
                      <w:kern w:val="0"/>
                      <w:sz w:val="21"/>
                      <w:szCs w:val="21"/>
                      <w:u w:val="none"/>
                      <w:lang w:val="en-US" w:eastAsia="zh-CN" w:bidi="zh-HK"/>
                    </w:rPr>
                    <w:t>210.73</w:t>
                  </w:r>
                </w:p>
              </w:tc>
              <w:tc>
                <w:tcPr>
                  <w:tcW w:w="677" w:type="pct"/>
                  <w:tcBorders>
                    <w:tl2br w:val="nil"/>
                    <w:tr2bl w:val="nil"/>
                  </w:tcBorders>
                  <w:shd w:val="clear" w:color="auto" w:fill="auto"/>
                  <w:noWrap w:val="0"/>
                  <w:vAlign w:val="center"/>
                </w:tcPr>
                <w:p w14:paraId="4F10A563">
                  <w:pPr>
                    <w:keepNext w:val="0"/>
                    <w:keepLines w:val="0"/>
                    <w:widowControl/>
                    <w:suppressLineNumbers w:val="0"/>
                    <w:jc w:val="center"/>
                    <w:textAlignment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i w:val="0"/>
                      <w:iCs w:val="0"/>
                      <w:color w:val="auto"/>
                      <w:kern w:val="0"/>
                      <w:sz w:val="21"/>
                      <w:szCs w:val="21"/>
                      <w:u w:val="none"/>
                      <w:lang w:val="en-US" w:eastAsia="zh-CN" w:bidi="zh-HK"/>
                    </w:rPr>
                    <w:t>95.5</w:t>
                  </w:r>
                  <w:r>
                    <w:rPr>
                      <w:rFonts w:hint="default" w:ascii="Times New Roman" w:hAnsi="Times New Roman" w:eastAsia="宋体" w:cs="Times New Roman"/>
                      <w:b w:val="0"/>
                      <w:bCs w:val="0"/>
                      <w:i w:val="0"/>
                      <w:iCs w:val="0"/>
                      <w:color w:val="auto"/>
                      <w:kern w:val="0"/>
                      <w:sz w:val="21"/>
                      <w:szCs w:val="21"/>
                      <w:u w:val="none"/>
                      <w:lang w:val="en-US" w:eastAsia="zh-CN" w:bidi="zh-HK"/>
                    </w:rPr>
                    <w:t>%</w:t>
                  </w:r>
                </w:p>
              </w:tc>
              <w:tc>
                <w:tcPr>
                  <w:tcW w:w="817" w:type="pct"/>
                  <w:tcBorders>
                    <w:tl2br w:val="nil"/>
                    <w:tr2bl w:val="nil"/>
                  </w:tcBorders>
                  <w:shd w:val="clear" w:color="auto" w:fill="auto"/>
                  <w:noWrap w:val="0"/>
                  <w:vAlign w:val="center"/>
                </w:tcPr>
                <w:p w14:paraId="4F00BE2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zh-HK"/>
                    </w:rPr>
                  </w:pPr>
                  <w:r>
                    <w:rPr>
                      <w:rFonts w:hint="eastAsia" w:ascii="Times New Roman" w:hAnsi="Times New Roman" w:eastAsia="宋体" w:cs="Times New Roman"/>
                      <w:b w:val="0"/>
                      <w:bCs w:val="0"/>
                      <w:i w:val="0"/>
                      <w:iCs w:val="0"/>
                      <w:color w:val="auto"/>
                      <w:kern w:val="0"/>
                      <w:sz w:val="21"/>
                      <w:szCs w:val="21"/>
                      <w:u w:val="none"/>
                      <w:lang w:val="en-US" w:eastAsia="zh-CN" w:bidi="zh-HK"/>
                    </w:rPr>
                    <w:t>9.48</w:t>
                  </w:r>
                </w:p>
              </w:tc>
            </w:tr>
            <w:tr w14:paraId="3B46A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600" w:type="pct"/>
                  <w:vMerge w:val="continue"/>
                  <w:tcBorders>
                    <w:tl2br w:val="nil"/>
                    <w:tr2bl w:val="nil"/>
                  </w:tcBorders>
                  <w:shd w:val="clear" w:color="auto" w:fill="auto"/>
                  <w:noWrap w:val="0"/>
                  <w:vAlign w:val="center"/>
                </w:tcPr>
                <w:p w14:paraId="07D73598">
                  <w:pPr>
                    <w:jc w:val="center"/>
                    <w:rPr>
                      <w:rFonts w:hint="default" w:ascii="Times New Roman" w:hAnsi="Times New Roman" w:cs="Times New Roman"/>
                      <w:b w:val="0"/>
                      <w:bCs w:val="0"/>
                      <w:color w:val="auto"/>
                      <w:sz w:val="21"/>
                      <w:szCs w:val="21"/>
                    </w:rPr>
                  </w:pPr>
                </w:p>
              </w:tc>
              <w:tc>
                <w:tcPr>
                  <w:tcW w:w="709" w:type="pct"/>
                  <w:vMerge w:val="continue"/>
                  <w:tcBorders>
                    <w:tl2br w:val="nil"/>
                    <w:tr2bl w:val="nil"/>
                  </w:tcBorders>
                  <w:shd w:val="clear" w:color="auto" w:fill="auto"/>
                  <w:noWrap w:val="0"/>
                  <w:vAlign w:val="center"/>
                </w:tcPr>
                <w:p w14:paraId="13AB4C34">
                  <w:pPr>
                    <w:jc w:val="center"/>
                    <w:rPr>
                      <w:rFonts w:hint="default" w:ascii="Times New Roman" w:hAnsi="Times New Roman" w:cs="Times New Roman"/>
                      <w:b w:val="0"/>
                      <w:bCs w:val="0"/>
                      <w:color w:val="auto"/>
                      <w:sz w:val="21"/>
                      <w:szCs w:val="21"/>
                    </w:rPr>
                  </w:pPr>
                </w:p>
              </w:tc>
              <w:tc>
                <w:tcPr>
                  <w:tcW w:w="733" w:type="pct"/>
                  <w:tcBorders>
                    <w:tl2br w:val="nil"/>
                    <w:tr2bl w:val="nil"/>
                  </w:tcBorders>
                  <w:shd w:val="clear" w:color="auto" w:fill="auto"/>
                  <w:noWrap w:val="0"/>
                  <w:vAlign w:val="center"/>
                </w:tcPr>
                <w:p w14:paraId="1439F2EF">
                  <w:pPr>
                    <w:keepNext w:val="0"/>
                    <w:keepLines w:val="0"/>
                    <w:widowControl/>
                    <w:suppressLineNumbers w:val="0"/>
                    <w:jc w:val="center"/>
                    <w:textAlignment w:val="center"/>
                    <w:rPr>
                      <w:rFonts w:hint="eastAsia" w:ascii="Times New Roman" w:hAnsi="Times New Roman" w:cs="Times New Roman"/>
                      <w:b w:val="0"/>
                      <w:bCs w:val="0"/>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zh-HK"/>
                    </w:rPr>
                    <w:t>二氧化硫</w:t>
                  </w:r>
                </w:p>
              </w:tc>
              <w:tc>
                <w:tcPr>
                  <w:tcW w:w="684" w:type="pct"/>
                  <w:tcBorders>
                    <w:tl2br w:val="nil"/>
                    <w:tr2bl w:val="nil"/>
                  </w:tcBorders>
                  <w:shd w:val="clear" w:color="auto" w:fill="auto"/>
                  <w:noWrap w:val="0"/>
                  <w:vAlign w:val="center"/>
                </w:tcPr>
                <w:p w14:paraId="1FC305F6">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i w:val="0"/>
                      <w:iCs w:val="0"/>
                      <w:color w:val="auto"/>
                      <w:kern w:val="0"/>
                      <w:sz w:val="21"/>
                      <w:szCs w:val="21"/>
                      <w:u w:val="none"/>
                      <w:lang w:val="en-US" w:eastAsia="zh-CN" w:bidi="zh-HK"/>
                    </w:rPr>
                    <w:t>1.7</w:t>
                  </w:r>
                </w:p>
              </w:tc>
              <w:tc>
                <w:tcPr>
                  <w:tcW w:w="779" w:type="pct"/>
                  <w:tcBorders>
                    <w:tl2br w:val="nil"/>
                    <w:tr2bl w:val="nil"/>
                  </w:tcBorders>
                  <w:shd w:val="clear" w:color="auto" w:fill="auto"/>
                  <w:noWrap w:val="0"/>
                  <w:vAlign w:val="center"/>
                </w:tcPr>
                <w:p w14:paraId="04FBEAE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zh-HK"/>
                    </w:rPr>
                  </w:pPr>
                  <w:r>
                    <w:rPr>
                      <w:rFonts w:hint="eastAsia" w:ascii="Times New Roman" w:hAnsi="Times New Roman" w:eastAsia="宋体" w:cs="Times New Roman"/>
                      <w:b w:val="0"/>
                      <w:bCs w:val="0"/>
                      <w:i w:val="0"/>
                      <w:iCs w:val="0"/>
                      <w:color w:val="auto"/>
                      <w:kern w:val="0"/>
                      <w:sz w:val="21"/>
                      <w:szCs w:val="21"/>
                      <w:u w:val="none"/>
                      <w:lang w:val="en-US" w:eastAsia="zh-CN" w:bidi="zh-HK"/>
                    </w:rPr>
                    <w:t>9.53</w:t>
                  </w:r>
                </w:p>
              </w:tc>
              <w:tc>
                <w:tcPr>
                  <w:tcW w:w="677" w:type="pct"/>
                  <w:tcBorders>
                    <w:tl2br w:val="nil"/>
                    <w:tr2bl w:val="nil"/>
                  </w:tcBorders>
                  <w:shd w:val="clear" w:color="auto" w:fill="auto"/>
                  <w:noWrap w:val="0"/>
                  <w:vAlign w:val="center"/>
                </w:tcPr>
                <w:p w14:paraId="737B2726">
                  <w:pPr>
                    <w:keepNext w:val="0"/>
                    <w:keepLines w:val="0"/>
                    <w:widowControl/>
                    <w:suppressLineNumbers w:val="0"/>
                    <w:jc w:val="center"/>
                    <w:textAlignment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i w:val="0"/>
                      <w:iCs w:val="0"/>
                      <w:color w:val="auto"/>
                      <w:kern w:val="0"/>
                      <w:sz w:val="21"/>
                      <w:szCs w:val="21"/>
                      <w:u w:val="none"/>
                      <w:lang w:val="en-US" w:eastAsia="zh-CN" w:bidi="zh-HK"/>
                    </w:rPr>
                    <w:t>0</w:t>
                  </w:r>
                  <w:r>
                    <w:rPr>
                      <w:rFonts w:hint="default" w:ascii="Times New Roman" w:hAnsi="Times New Roman" w:eastAsia="宋体" w:cs="Times New Roman"/>
                      <w:b w:val="0"/>
                      <w:bCs w:val="0"/>
                      <w:i w:val="0"/>
                      <w:iCs w:val="0"/>
                      <w:color w:val="auto"/>
                      <w:kern w:val="0"/>
                      <w:sz w:val="21"/>
                      <w:szCs w:val="21"/>
                      <w:u w:val="none"/>
                      <w:lang w:val="en-US" w:eastAsia="zh-CN" w:bidi="zh-HK"/>
                    </w:rPr>
                    <w:t>%</w:t>
                  </w:r>
                </w:p>
              </w:tc>
              <w:tc>
                <w:tcPr>
                  <w:tcW w:w="817" w:type="pct"/>
                  <w:tcBorders>
                    <w:tl2br w:val="nil"/>
                    <w:tr2bl w:val="nil"/>
                  </w:tcBorders>
                  <w:shd w:val="clear" w:color="auto" w:fill="auto"/>
                  <w:noWrap w:val="0"/>
                  <w:vAlign w:val="center"/>
                </w:tcPr>
                <w:p w14:paraId="7F603263">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zh-HK"/>
                    </w:rPr>
                  </w:pPr>
                  <w:r>
                    <w:rPr>
                      <w:rFonts w:hint="eastAsia" w:ascii="Times New Roman" w:hAnsi="Times New Roman" w:eastAsia="宋体" w:cs="Times New Roman"/>
                      <w:b w:val="0"/>
                      <w:bCs w:val="0"/>
                      <w:i w:val="0"/>
                      <w:iCs w:val="0"/>
                      <w:color w:val="auto"/>
                      <w:kern w:val="0"/>
                      <w:sz w:val="21"/>
                      <w:szCs w:val="21"/>
                      <w:u w:val="none"/>
                      <w:lang w:val="en-US" w:eastAsia="zh-CN" w:bidi="zh-HK"/>
                    </w:rPr>
                    <w:t>9.53</w:t>
                  </w:r>
                </w:p>
              </w:tc>
            </w:tr>
            <w:tr w14:paraId="6C298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600" w:type="pct"/>
                  <w:vMerge w:val="continue"/>
                  <w:tcBorders>
                    <w:tl2br w:val="nil"/>
                    <w:tr2bl w:val="nil"/>
                  </w:tcBorders>
                  <w:shd w:val="clear" w:color="auto" w:fill="auto"/>
                  <w:noWrap w:val="0"/>
                  <w:vAlign w:val="center"/>
                </w:tcPr>
                <w:p w14:paraId="112B5DAC">
                  <w:pPr>
                    <w:jc w:val="center"/>
                    <w:rPr>
                      <w:rFonts w:hint="default" w:ascii="Times New Roman" w:hAnsi="Times New Roman" w:cs="Times New Roman"/>
                      <w:b w:val="0"/>
                      <w:bCs w:val="0"/>
                      <w:color w:val="auto"/>
                      <w:sz w:val="21"/>
                      <w:szCs w:val="21"/>
                    </w:rPr>
                  </w:pPr>
                </w:p>
              </w:tc>
              <w:tc>
                <w:tcPr>
                  <w:tcW w:w="709" w:type="pct"/>
                  <w:vMerge w:val="continue"/>
                  <w:tcBorders>
                    <w:tl2br w:val="nil"/>
                    <w:tr2bl w:val="nil"/>
                  </w:tcBorders>
                  <w:shd w:val="clear" w:color="auto" w:fill="auto"/>
                  <w:noWrap w:val="0"/>
                  <w:vAlign w:val="center"/>
                </w:tcPr>
                <w:p w14:paraId="55F4B2B4">
                  <w:pPr>
                    <w:jc w:val="center"/>
                    <w:rPr>
                      <w:rFonts w:hint="default" w:ascii="Times New Roman" w:hAnsi="Times New Roman" w:cs="Times New Roman"/>
                      <w:b w:val="0"/>
                      <w:bCs w:val="0"/>
                      <w:color w:val="auto"/>
                      <w:sz w:val="21"/>
                      <w:szCs w:val="21"/>
                    </w:rPr>
                  </w:pPr>
                </w:p>
              </w:tc>
              <w:tc>
                <w:tcPr>
                  <w:tcW w:w="733" w:type="pct"/>
                  <w:tcBorders>
                    <w:tl2br w:val="nil"/>
                    <w:tr2bl w:val="nil"/>
                  </w:tcBorders>
                  <w:shd w:val="clear" w:color="auto" w:fill="auto"/>
                  <w:noWrap w:val="0"/>
                  <w:vAlign w:val="center"/>
                </w:tcPr>
                <w:p w14:paraId="16F23E67">
                  <w:pPr>
                    <w:keepNext w:val="0"/>
                    <w:keepLines w:val="0"/>
                    <w:widowControl/>
                    <w:suppressLineNumbers w:val="0"/>
                    <w:jc w:val="center"/>
                    <w:textAlignment w:val="center"/>
                    <w:rPr>
                      <w:rFonts w:hint="eastAsia" w:ascii="Times New Roman" w:hAnsi="Times New Roman" w:cs="Times New Roman"/>
                      <w:b w:val="0"/>
                      <w:bCs w:val="0"/>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zh-HK"/>
                    </w:rPr>
                    <w:t>氮氧化物</w:t>
                  </w:r>
                </w:p>
              </w:tc>
              <w:tc>
                <w:tcPr>
                  <w:tcW w:w="684" w:type="pct"/>
                  <w:tcBorders>
                    <w:tl2br w:val="nil"/>
                    <w:tr2bl w:val="nil"/>
                  </w:tcBorders>
                  <w:shd w:val="clear" w:color="auto" w:fill="auto"/>
                  <w:noWrap w:val="0"/>
                  <w:vAlign w:val="center"/>
                </w:tcPr>
                <w:p w14:paraId="273C488C">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zh-HK"/>
                    </w:rPr>
                    <w:t>1.02</w:t>
                  </w:r>
                </w:p>
              </w:tc>
              <w:tc>
                <w:tcPr>
                  <w:tcW w:w="779" w:type="pct"/>
                  <w:tcBorders>
                    <w:tl2br w:val="nil"/>
                    <w:tr2bl w:val="nil"/>
                  </w:tcBorders>
                  <w:shd w:val="clear" w:color="auto" w:fill="auto"/>
                  <w:noWrap w:val="0"/>
                  <w:vAlign w:val="center"/>
                </w:tcPr>
                <w:p w14:paraId="653E57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zh-HK"/>
                    </w:rPr>
                  </w:pPr>
                  <w:r>
                    <w:rPr>
                      <w:rFonts w:hint="eastAsia" w:ascii="Times New Roman" w:hAnsi="Times New Roman" w:eastAsia="宋体" w:cs="Times New Roman"/>
                      <w:b w:val="0"/>
                      <w:bCs w:val="0"/>
                      <w:i w:val="0"/>
                      <w:iCs w:val="0"/>
                      <w:color w:val="auto"/>
                      <w:kern w:val="0"/>
                      <w:sz w:val="21"/>
                      <w:szCs w:val="21"/>
                      <w:u w:val="none"/>
                      <w:lang w:val="en-US" w:eastAsia="zh-CN" w:bidi="zh-HK"/>
                    </w:rPr>
                    <w:t>5.72</w:t>
                  </w:r>
                </w:p>
              </w:tc>
              <w:tc>
                <w:tcPr>
                  <w:tcW w:w="677" w:type="pct"/>
                  <w:tcBorders>
                    <w:tl2br w:val="nil"/>
                    <w:tr2bl w:val="nil"/>
                  </w:tcBorders>
                  <w:shd w:val="clear" w:color="auto" w:fill="auto"/>
                  <w:noWrap w:val="0"/>
                  <w:vAlign w:val="center"/>
                </w:tcPr>
                <w:p w14:paraId="2DA20232">
                  <w:pPr>
                    <w:keepNext w:val="0"/>
                    <w:keepLines w:val="0"/>
                    <w:widowControl/>
                    <w:suppressLineNumbers w:val="0"/>
                    <w:jc w:val="center"/>
                    <w:textAlignment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i w:val="0"/>
                      <w:iCs w:val="0"/>
                      <w:color w:val="auto"/>
                      <w:kern w:val="0"/>
                      <w:sz w:val="21"/>
                      <w:szCs w:val="21"/>
                      <w:u w:val="none"/>
                      <w:lang w:val="en-US" w:eastAsia="zh-CN" w:bidi="zh-HK"/>
                    </w:rPr>
                    <w:t>0</w:t>
                  </w:r>
                  <w:r>
                    <w:rPr>
                      <w:rFonts w:hint="default" w:ascii="Times New Roman" w:hAnsi="Times New Roman" w:eastAsia="宋体" w:cs="Times New Roman"/>
                      <w:b w:val="0"/>
                      <w:bCs w:val="0"/>
                      <w:i w:val="0"/>
                      <w:iCs w:val="0"/>
                      <w:color w:val="auto"/>
                      <w:kern w:val="0"/>
                      <w:sz w:val="21"/>
                      <w:szCs w:val="21"/>
                      <w:u w:val="none"/>
                      <w:lang w:val="en-US" w:eastAsia="zh-CN" w:bidi="zh-HK"/>
                    </w:rPr>
                    <w:t>%</w:t>
                  </w:r>
                </w:p>
              </w:tc>
              <w:tc>
                <w:tcPr>
                  <w:tcW w:w="817" w:type="pct"/>
                  <w:tcBorders>
                    <w:tl2br w:val="nil"/>
                    <w:tr2bl w:val="nil"/>
                  </w:tcBorders>
                  <w:shd w:val="clear" w:color="auto" w:fill="auto"/>
                  <w:noWrap w:val="0"/>
                  <w:vAlign w:val="center"/>
                </w:tcPr>
                <w:p w14:paraId="6F243F37">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zh-HK"/>
                    </w:rPr>
                  </w:pPr>
                  <w:r>
                    <w:rPr>
                      <w:rFonts w:hint="eastAsia" w:ascii="Times New Roman" w:hAnsi="Times New Roman" w:eastAsia="宋体" w:cs="Times New Roman"/>
                      <w:b w:val="0"/>
                      <w:bCs w:val="0"/>
                      <w:i w:val="0"/>
                      <w:iCs w:val="0"/>
                      <w:color w:val="auto"/>
                      <w:kern w:val="0"/>
                      <w:sz w:val="21"/>
                      <w:szCs w:val="21"/>
                      <w:u w:val="none"/>
                      <w:lang w:val="en-US" w:eastAsia="zh-CN" w:bidi="zh-HK"/>
                    </w:rPr>
                    <w:t>5.72</w:t>
                  </w:r>
                </w:p>
              </w:tc>
            </w:tr>
          </w:tbl>
          <w:p w14:paraId="71ECFC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kern w:val="0"/>
                <w:sz w:val="24"/>
                <w:szCs w:val="24"/>
                <w:lang w:eastAsia="zh-CN"/>
              </w:rPr>
            </w:pPr>
            <w:r>
              <w:rPr>
                <w:rFonts w:hint="eastAsia" w:ascii="宋体" w:hAnsi="宋体" w:eastAsia="宋体" w:cs="宋体"/>
                <w:b w:val="0"/>
                <w:bCs/>
                <w:kern w:val="0"/>
                <w:sz w:val="24"/>
                <w:szCs w:val="24"/>
                <w:lang w:eastAsia="zh-CN"/>
              </w:rPr>
              <w:t>②</w:t>
            </w:r>
            <w:r>
              <w:rPr>
                <w:rFonts w:hint="eastAsia" w:ascii="Times New Roman" w:hAnsi="Times New Roman" w:eastAsia="宋体" w:cs="Times New Roman"/>
                <w:b w:val="0"/>
                <w:bCs/>
                <w:kern w:val="0"/>
                <w:sz w:val="24"/>
                <w:szCs w:val="24"/>
                <w:lang w:eastAsia="zh-CN"/>
              </w:rPr>
              <w:t>技改后燃料使用情况</w:t>
            </w:r>
          </w:p>
          <w:p w14:paraId="2728FE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val="0"/>
                <w:sz w:val="24"/>
                <w:szCs w:val="24"/>
                <w:lang w:val="en-US" w:eastAsia="zh-CN"/>
              </w:rPr>
              <w:t>本次技术改造</w:t>
            </w:r>
            <w:r>
              <w:rPr>
                <w:rFonts w:hint="eastAsia" w:ascii="Times New Roman" w:hAnsi="Times New Roman" w:eastAsia="宋体" w:cs="Times New Roman"/>
                <w:b w:val="0"/>
                <w:bCs/>
                <w:kern w:val="0"/>
                <w:sz w:val="24"/>
                <w:szCs w:val="24"/>
                <w:lang w:eastAsia="zh-CN"/>
              </w:rPr>
              <w:t>替换原有萘系减水剂粉剂热风炉的生物质燃料，利用原有</w:t>
            </w:r>
            <w:r>
              <w:rPr>
                <w:rFonts w:hint="eastAsia" w:ascii="Times New Roman" w:hAnsi="Times New Roman" w:eastAsia="宋体" w:cs="Times New Roman"/>
                <w:b w:val="0"/>
                <w:bCs w:val="0"/>
                <w:sz w:val="24"/>
                <w:szCs w:val="24"/>
                <w:lang w:val="en-US" w:eastAsia="zh-CN"/>
              </w:rPr>
              <w:t>甲醛生产线</w:t>
            </w:r>
            <w:r>
              <w:rPr>
                <w:rFonts w:hint="eastAsia" w:ascii="Times New Roman" w:hAnsi="Times New Roman" w:eastAsia="宋体" w:cs="Times New Roman"/>
                <w:b w:val="0"/>
                <w:bCs/>
                <w:kern w:val="0"/>
                <w:sz w:val="24"/>
                <w:szCs w:val="24"/>
                <w:lang w:eastAsia="zh-CN"/>
              </w:rPr>
              <w:t>产生的甲醛尾气，甲醛尾气经热风炉点燃后产生的热能，生产萘系减水剂粉剂。</w:t>
            </w:r>
          </w:p>
          <w:p w14:paraId="3296CE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lang w:eastAsia="zh-CN"/>
              </w:rPr>
            </w:pPr>
            <w:r>
              <w:rPr>
                <w:rFonts w:hint="default" w:ascii="Times New Roman" w:hAnsi="Times New Roman" w:eastAsia="宋体" w:cs="Times New Roman"/>
                <w:b w:val="0"/>
                <w:bCs/>
                <w:color w:val="auto"/>
                <w:kern w:val="0"/>
                <w:sz w:val="24"/>
                <w:szCs w:val="24"/>
                <w:lang w:val="en-US" w:eastAsia="zh-CN"/>
              </w:rPr>
              <w:t>A.</w:t>
            </w:r>
            <w:r>
              <w:rPr>
                <w:rFonts w:hint="default" w:ascii="Times New Roman" w:hAnsi="Times New Roman" w:eastAsia="宋体" w:cs="Times New Roman"/>
                <w:b w:val="0"/>
                <w:bCs/>
                <w:color w:val="auto"/>
                <w:kern w:val="0"/>
                <w:sz w:val="24"/>
                <w:szCs w:val="24"/>
                <w:lang w:eastAsia="zh-CN"/>
              </w:rPr>
              <w:t>企业所产甲醛尾气热值及产量情况</w:t>
            </w:r>
          </w:p>
          <w:p w14:paraId="4C0B6B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kern w:val="0"/>
                <w:sz w:val="24"/>
                <w:szCs w:val="24"/>
                <w:lang w:eastAsia="zh-CN"/>
              </w:rPr>
              <w:t>根据企业提供数据，每吨甲醛产出尾气</w:t>
            </w:r>
            <w:r>
              <w:rPr>
                <w:rFonts w:hint="default" w:ascii="Times New Roman" w:hAnsi="Times New Roman" w:eastAsia="宋体" w:cs="Times New Roman"/>
                <w:b w:val="0"/>
                <w:bCs/>
                <w:color w:val="auto"/>
                <w:kern w:val="0"/>
                <w:sz w:val="24"/>
                <w:szCs w:val="24"/>
                <w:lang w:val="en-US" w:eastAsia="zh-CN"/>
              </w:rPr>
              <w:t>650m</w:t>
            </w:r>
            <w:r>
              <w:rPr>
                <w:rFonts w:hint="default" w:ascii="Times New Roman" w:hAnsi="Times New Roman" w:eastAsia="宋体" w:cs="Times New Roman"/>
                <w:b w:val="0"/>
                <w:bCs/>
                <w:color w:val="auto"/>
                <w:kern w:val="0"/>
                <w:sz w:val="24"/>
                <w:szCs w:val="24"/>
                <w:vertAlign w:val="superscript"/>
                <w:lang w:val="en-US" w:eastAsia="zh-CN"/>
              </w:rPr>
              <w:t>3</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根据企业近三年的甲醛产品数量，本次取近三年平均值计算甲醛尾气的产生</w:t>
            </w:r>
            <w:r>
              <w:rPr>
                <w:rFonts w:hint="eastAsia" w:ascii="Times New Roman" w:hAnsi="Times New Roman" w:eastAsia="宋体" w:cs="Times New Roman"/>
                <w:b w:val="0"/>
                <w:bCs w:val="0"/>
                <w:color w:val="auto"/>
                <w:sz w:val="24"/>
                <w:szCs w:val="24"/>
                <w:lang w:val="en-US" w:eastAsia="zh-CN"/>
              </w:rPr>
              <w:t>量，企业现有的甲醛尾气经锅炉点燃后排放。</w:t>
            </w:r>
          </w:p>
          <w:p w14:paraId="00FAA0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表</w:t>
            </w:r>
            <w:r>
              <w:rPr>
                <w:rFonts w:hint="eastAsia" w:ascii="Times New Roman" w:hAnsi="Times New Roman" w:eastAsia="宋体" w:cs="Times New Roman"/>
                <w:kern w:val="0"/>
                <w:sz w:val="24"/>
                <w:lang w:val="en-US" w:eastAsia="zh-CN"/>
              </w:rPr>
              <w:t>2-6</w:t>
            </w:r>
            <w:r>
              <w:rPr>
                <w:rFonts w:hint="eastAsia" w:ascii="Times New Roman" w:hAnsi="Times New Roman" w:eastAsia="宋体" w:cs="Times New Roman"/>
                <w:kern w:val="0"/>
                <w:sz w:val="24"/>
              </w:rPr>
              <w:t xml:space="preserve">  </w:t>
            </w:r>
            <w:r>
              <w:rPr>
                <w:rFonts w:hint="eastAsia" w:ascii="Times New Roman" w:hAnsi="Times New Roman" w:eastAsia="宋体" w:cs="Times New Roman"/>
                <w:kern w:val="0"/>
                <w:sz w:val="24"/>
                <w:lang w:eastAsia="zh-CN"/>
              </w:rPr>
              <w:t>近三年甲醛尾气产生情况</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00"/>
              <w:gridCol w:w="3209"/>
              <w:gridCol w:w="3148"/>
            </w:tblGrid>
            <w:tr w14:paraId="500D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103" w:type="pct"/>
                  <w:vMerge w:val="restart"/>
                  <w:shd w:val="clear" w:color="auto" w:fill="auto"/>
                  <w:noWrap w:val="0"/>
                  <w:vAlign w:val="center"/>
                </w:tcPr>
                <w:p w14:paraId="6A6C9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年份</w:t>
                  </w:r>
                </w:p>
              </w:tc>
              <w:tc>
                <w:tcPr>
                  <w:tcW w:w="1966" w:type="pct"/>
                  <w:vMerge w:val="restart"/>
                  <w:shd w:val="clear" w:color="auto" w:fill="auto"/>
                  <w:noWrap w:val="0"/>
                  <w:vAlign w:val="center"/>
                </w:tcPr>
                <w:p w14:paraId="6B206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甲醛产能（</w:t>
                  </w:r>
                  <w:r>
                    <w:rPr>
                      <w:rFonts w:hint="eastAsia" w:ascii="Times New Roman" w:hAnsi="Times New Roman" w:eastAsia="宋体" w:cs="Times New Roman"/>
                      <w:sz w:val="21"/>
                      <w:szCs w:val="21"/>
                      <w:lang w:val="en-US" w:eastAsia="zh-CN"/>
                    </w:rPr>
                    <w:t>t/a</w:t>
                  </w:r>
                  <w:r>
                    <w:rPr>
                      <w:rFonts w:hint="eastAsia" w:ascii="Times New Roman" w:hAnsi="Times New Roman" w:eastAsia="宋体" w:cs="Times New Roman"/>
                      <w:sz w:val="21"/>
                      <w:szCs w:val="21"/>
                      <w:lang w:eastAsia="zh-CN"/>
                    </w:rPr>
                    <w:t>）</w:t>
                  </w:r>
                </w:p>
              </w:tc>
              <w:tc>
                <w:tcPr>
                  <w:tcW w:w="1929" w:type="pct"/>
                  <w:vMerge w:val="restart"/>
                  <w:shd w:val="clear" w:color="auto" w:fill="auto"/>
                  <w:noWrap w:val="0"/>
                  <w:vAlign w:val="center"/>
                </w:tcPr>
                <w:p w14:paraId="19175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甲醛尾气（</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eastAsia="zh-CN"/>
                    </w:rPr>
                    <w:t>）</w:t>
                  </w:r>
                </w:p>
              </w:tc>
            </w:tr>
            <w:tr w14:paraId="6EC0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3" w:type="pct"/>
                  <w:vMerge w:val="continue"/>
                  <w:shd w:val="clear" w:color="auto" w:fill="auto"/>
                  <w:noWrap w:val="0"/>
                  <w:vAlign w:val="center"/>
                </w:tcPr>
                <w:p w14:paraId="42A5E0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p>
              </w:tc>
              <w:tc>
                <w:tcPr>
                  <w:tcW w:w="1966" w:type="pct"/>
                  <w:vMerge w:val="continue"/>
                  <w:shd w:val="clear" w:color="auto" w:fill="auto"/>
                  <w:noWrap w:val="0"/>
                  <w:vAlign w:val="center"/>
                </w:tcPr>
                <w:p w14:paraId="0B4FF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p>
              </w:tc>
              <w:tc>
                <w:tcPr>
                  <w:tcW w:w="1929" w:type="pct"/>
                  <w:vMerge w:val="continue"/>
                  <w:shd w:val="clear" w:color="auto" w:fill="auto"/>
                  <w:noWrap w:val="0"/>
                  <w:vAlign w:val="center"/>
                </w:tcPr>
                <w:p w14:paraId="5A17C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p>
              </w:tc>
            </w:tr>
            <w:tr w14:paraId="3FAD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pct"/>
                  <w:shd w:val="clear" w:color="auto" w:fill="auto"/>
                  <w:noWrap w:val="0"/>
                  <w:vAlign w:val="center"/>
                </w:tcPr>
                <w:p w14:paraId="2D3696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2022</w:t>
                  </w:r>
                </w:p>
              </w:tc>
              <w:tc>
                <w:tcPr>
                  <w:tcW w:w="1966" w:type="pct"/>
                  <w:shd w:val="clear" w:color="auto" w:fill="auto"/>
                  <w:noWrap w:val="0"/>
                  <w:vAlign w:val="center"/>
                </w:tcPr>
                <w:p w14:paraId="66D42E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32723.32 </w:t>
                  </w:r>
                </w:p>
              </w:tc>
              <w:tc>
                <w:tcPr>
                  <w:tcW w:w="1929" w:type="pct"/>
                  <w:shd w:val="clear" w:color="auto" w:fill="auto"/>
                  <w:noWrap w:val="0"/>
                  <w:vAlign w:val="center"/>
                </w:tcPr>
                <w:p w14:paraId="1DC2C0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21270158</w:t>
                  </w:r>
                  <w:r>
                    <w:rPr>
                      <w:rFonts w:hint="eastAsia" w:ascii="Times New Roman" w:hAnsi="Times New Roman" w:eastAsia="宋体" w:cs="Times New Roman"/>
                      <w:sz w:val="21"/>
                      <w:szCs w:val="21"/>
                      <w:lang w:val="en-US" w:eastAsia="zh-CN"/>
                    </w:rPr>
                    <w:t>（折22376.88t）</w:t>
                  </w:r>
                </w:p>
              </w:tc>
            </w:tr>
            <w:tr w14:paraId="78B8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pct"/>
                  <w:shd w:val="clear" w:color="auto" w:fill="auto"/>
                  <w:noWrap w:val="0"/>
                  <w:vAlign w:val="center"/>
                </w:tcPr>
                <w:p w14:paraId="1C4ED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w:t>
                  </w:r>
                </w:p>
              </w:tc>
              <w:tc>
                <w:tcPr>
                  <w:tcW w:w="1966" w:type="pct"/>
                  <w:shd w:val="clear" w:color="auto" w:fill="auto"/>
                  <w:noWrap w:val="0"/>
                  <w:vAlign w:val="center"/>
                </w:tcPr>
                <w:p w14:paraId="6B81B8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35792.92</w:t>
                  </w:r>
                </w:p>
              </w:tc>
              <w:tc>
                <w:tcPr>
                  <w:tcW w:w="1929" w:type="pct"/>
                  <w:shd w:val="clear" w:color="auto" w:fill="auto"/>
                  <w:noWrap w:val="0"/>
                  <w:vAlign w:val="center"/>
                </w:tcPr>
                <w:p w14:paraId="7E66C8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23265398（折24475.94t）</w:t>
                  </w:r>
                </w:p>
              </w:tc>
            </w:tr>
            <w:tr w14:paraId="7237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pct"/>
                  <w:shd w:val="clear" w:color="auto" w:fill="auto"/>
                  <w:noWrap w:val="0"/>
                  <w:vAlign w:val="center"/>
                </w:tcPr>
                <w:p w14:paraId="181D29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w:t>
                  </w:r>
                </w:p>
              </w:tc>
              <w:tc>
                <w:tcPr>
                  <w:tcW w:w="1966" w:type="pct"/>
                  <w:shd w:val="clear" w:color="auto" w:fill="auto"/>
                  <w:noWrap w:val="0"/>
                  <w:vAlign w:val="center"/>
                </w:tcPr>
                <w:p w14:paraId="0B9F6A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35939.66</w:t>
                  </w:r>
                </w:p>
              </w:tc>
              <w:tc>
                <w:tcPr>
                  <w:tcW w:w="1929" w:type="pct"/>
                  <w:shd w:val="clear" w:color="auto" w:fill="auto"/>
                  <w:noWrap w:val="0"/>
                  <w:vAlign w:val="center"/>
                </w:tcPr>
                <w:p w14:paraId="1167D4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23360779（折24576.28t）</w:t>
                  </w:r>
                </w:p>
              </w:tc>
            </w:tr>
            <w:tr w14:paraId="6647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pct"/>
                  <w:shd w:val="clear" w:color="auto" w:fill="auto"/>
                  <w:noWrap w:val="0"/>
                  <w:vAlign w:val="center"/>
                </w:tcPr>
                <w:p w14:paraId="570888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近三年平均值</w:t>
                  </w:r>
                </w:p>
              </w:tc>
              <w:tc>
                <w:tcPr>
                  <w:tcW w:w="1966" w:type="pct"/>
                  <w:shd w:val="clear" w:color="auto" w:fill="auto"/>
                  <w:noWrap w:val="0"/>
                  <w:vAlign w:val="center"/>
                </w:tcPr>
                <w:p w14:paraId="785789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34818.63</w:t>
                  </w:r>
                </w:p>
              </w:tc>
              <w:tc>
                <w:tcPr>
                  <w:tcW w:w="1929" w:type="pct"/>
                  <w:shd w:val="clear" w:color="auto" w:fill="auto"/>
                  <w:noWrap w:val="0"/>
                  <w:vAlign w:val="center"/>
                </w:tcPr>
                <w:p w14:paraId="101F0C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22632111.67（折23809.7t）</w:t>
                  </w:r>
                </w:p>
              </w:tc>
            </w:tr>
            <w:tr w14:paraId="3EDC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pct"/>
                  <w:shd w:val="clear" w:color="auto" w:fill="auto"/>
                  <w:noWrap w:val="0"/>
                  <w:vAlign w:val="center"/>
                </w:tcPr>
                <w:p w14:paraId="1E06E0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满负荷生产</w:t>
                  </w:r>
                </w:p>
              </w:tc>
              <w:tc>
                <w:tcPr>
                  <w:tcW w:w="1966" w:type="pct"/>
                  <w:shd w:val="clear" w:color="auto" w:fill="auto"/>
                  <w:noWrap w:val="0"/>
                  <w:vAlign w:val="center"/>
                </w:tcPr>
                <w:p w14:paraId="4FAFB8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50000</w:t>
                  </w:r>
                </w:p>
              </w:tc>
              <w:tc>
                <w:tcPr>
                  <w:tcW w:w="1929" w:type="pct"/>
                  <w:shd w:val="clear" w:color="auto" w:fill="auto"/>
                  <w:noWrap w:val="0"/>
                  <w:vAlign w:val="center"/>
                </w:tcPr>
                <w:p w14:paraId="5835EE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32500000（折34191.03t）</w:t>
                  </w:r>
                </w:p>
              </w:tc>
            </w:tr>
          </w:tbl>
          <w:p w14:paraId="3C0BA72C">
            <w:pPr>
              <w:pStyle w:val="40"/>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sz w:val="24"/>
                <w:szCs w:val="24"/>
                <w:lang w:val="en-US" w:eastAsia="zh-CN"/>
              </w:rPr>
            </w:pPr>
            <w:r>
              <w:rPr>
                <w:rFonts w:hint="eastAsia"/>
                <w:sz w:val="24"/>
                <w:szCs w:val="24"/>
                <w:lang w:val="en-US" w:eastAsia="zh-CN"/>
              </w:rPr>
              <w:t>本次环评取近三年平均值作为核算依据，则甲醛尾气量为22632111.67</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（折23809.7t）。</w:t>
            </w:r>
          </w:p>
          <w:p w14:paraId="2A2679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sz w:val="24"/>
                <w:szCs w:val="24"/>
              </w:rPr>
            </w:pPr>
            <w:r>
              <w:rPr>
                <w:rFonts w:hint="eastAsia" w:ascii="Times New Roman" w:hAnsi="Times New Roman" w:eastAsia="宋体" w:cs="Times New Roman"/>
                <w:b w:val="0"/>
                <w:bCs/>
                <w:kern w:val="0"/>
                <w:sz w:val="24"/>
                <w:szCs w:val="24"/>
              </w:rPr>
              <w:t>根据</w:t>
            </w:r>
            <w:r>
              <w:rPr>
                <w:rFonts w:ascii="Times New Roman" w:hAnsi="Times New Roman" w:eastAsia="宋体" w:cs="Times New Roman"/>
                <w:b w:val="0"/>
                <w:bCs/>
                <w:sz w:val="24"/>
                <w:szCs w:val="24"/>
              </w:rPr>
              <w:t>甲醛生产工艺，</w:t>
            </w:r>
            <w:r>
              <w:rPr>
                <w:rFonts w:hint="eastAsia" w:ascii="Times New Roman" w:hAnsi="Times New Roman" w:eastAsia="宋体" w:cs="Times New Roman"/>
                <w:b w:val="0"/>
                <w:bCs/>
                <w:sz w:val="24"/>
                <w:szCs w:val="24"/>
              </w:rPr>
              <w:t>甲醛尾气主要包含甲醛、甲醇、水蒸气、氮气、</w:t>
            </w:r>
            <w:r>
              <w:rPr>
                <w:rFonts w:hint="eastAsia" w:ascii="Times New Roman" w:hAnsi="Times New Roman" w:eastAsia="宋体" w:cs="Times New Roman"/>
                <w:b w:val="0"/>
                <w:bCs/>
                <w:sz w:val="24"/>
                <w:szCs w:val="24"/>
                <w:lang w:eastAsia="zh-CN"/>
              </w:rPr>
              <w:t>氢气、一氧化碳、</w:t>
            </w:r>
            <w:r>
              <w:rPr>
                <w:rFonts w:hint="eastAsia" w:ascii="Times New Roman" w:hAnsi="Times New Roman" w:eastAsia="宋体" w:cs="Times New Roman"/>
                <w:b w:val="0"/>
                <w:bCs/>
                <w:sz w:val="24"/>
                <w:szCs w:val="24"/>
              </w:rPr>
              <w:t>二氧化碳等成分</w:t>
            </w: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kern w:val="0"/>
                <w:sz w:val="24"/>
                <w:szCs w:val="24"/>
                <w:lang w:eastAsia="zh-CN"/>
              </w:rPr>
              <w:t>其中可燃成</w:t>
            </w:r>
            <w:r>
              <w:rPr>
                <w:rFonts w:hint="eastAsia" w:ascii="宋体" w:hAnsi="宋体" w:eastAsia="宋体" w:cs="宋体"/>
                <w:sz w:val="24"/>
                <w:lang w:eastAsia="zh-CN"/>
              </w:rPr>
              <w:t>分为</w:t>
            </w:r>
            <w:r>
              <w:rPr>
                <w:rFonts w:hint="eastAsia" w:ascii="Times New Roman" w:hAnsi="Times New Roman" w:eastAsia="宋体" w:cs="Times New Roman"/>
                <w:b w:val="0"/>
                <w:bCs/>
                <w:sz w:val="24"/>
                <w:szCs w:val="24"/>
                <w:lang w:val="en-US" w:eastAsia="zh-CN"/>
              </w:rPr>
              <w:t>H</w:t>
            </w:r>
            <w:r>
              <w:rPr>
                <w:rFonts w:hint="eastAsia" w:ascii="Times New Roman" w:hAnsi="Times New Roman" w:eastAsia="宋体" w:cs="Times New Roman"/>
                <w:b w:val="0"/>
                <w:bCs/>
                <w:sz w:val="24"/>
                <w:szCs w:val="24"/>
                <w:vertAlign w:val="subscript"/>
                <w:lang w:val="en-US" w:eastAsia="zh-CN"/>
              </w:rPr>
              <w:t>2</w:t>
            </w:r>
            <w:r>
              <w:rPr>
                <w:rFonts w:hint="eastAsia" w:ascii="Times New Roman" w:hAnsi="Times New Roman" w:eastAsia="宋体" w:cs="Times New Roman"/>
                <w:b w:val="0"/>
                <w:bCs/>
                <w:sz w:val="24"/>
                <w:szCs w:val="24"/>
                <w:vertAlign w:val="baseline"/>
                <w:lang w:val="en-US" w:eastAsia="zh-CN"/>
              </w:rPr>
              <w:t>和</w:t>
            </w:r>
            <w:r>
              <w:rPr>
                <w:rFonts w:hint="eastAsia" w:ascii="Times New Roman" w:hAnsi="Times New Roman" w:eastAsia="宋体" w:cs="Times New Roman"/>
                <w:sz w:val="21"/>
                <w:szCs w:val="21"/>
              </w:rPr>
              <w:t>CO</w:t>
            </w: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rPr>
              <w:t>具体</w:t>
            </w:r>
            <w:r>
              <w:rPr>
                <w:rFonts w:hint="eastAsia" w:ascii="Times New Roman" w:hAnsi="Times New Roman" w:eastAsia="宋体" w:cs="Times New Roman"/>
                <w:b w:val="0"/>
                <w:bCs/>
                <w:sz w:val="24"/>
                <w:szCs w:val="24"/>
                <w:lang w:eastAsia="zh-CN"/>
              </w:rPr>
              <w:t>组分</w:t>
            </w:r>
            <w:r>
              <w:rPr>
                <w:rFonts w:hint="eastAsia" w:ascii="Times New Roman" w:hAnsi="Times New Roman" w:eastAsia="宋体" w:cs="Times New Roman"/>
                <w:b w:val="0"/>
                <w:bCs/>
                <w:sz w:val="24"/>
                <w:szCs w:val="24"/>
              </w:rPr>
              <w:t>见表</w:t>
            </w:r>
            <w:r>
              <w:rPr>
                <w:rFonts w:hint="eastAsia" w:ascii="Times New Roman" w:hAnsi="Times New Roman" w:eastAsia="宋体" w:cs="Times New Roman"/>
                <w:b w:val="0"/>
                <w:bCs/>
                <w:sz w:val="24"/>
                <w:szCs w:val="24"/>
                <w:lang w:val="en-US" w:eastAsia="zh-CN"/>
              </w:rPr>
              <w:t>2-7</w:t>
            </w:r>
            <w:r>
              <w:rPr>
                <w:rFonts w:hint="eastAsia" w:ascii="Times New Roman" w:hAnsi="Times New Roman" w:eastAsia="宋体" w:cs="Times New Roman"/>
                <w:b w:val="0"/>
                <w:bCs/>
                <w:sz w:val="24"/>
                <w:szCs w:val="24"/>
              </w:rPr>
              <w:t>。</w:t>
            </w:r>
          </w:p>
          <w:p w14:paraId="1EBF73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4"/>
              </w:rPr>
            </w:pPr>
            <w:r>
              <w:rPr>
                <w:rFonts w:hint="eastAsia" w:ascii="Times New Roman" w:hAnsi="Times New Roman" w:eastAsia="宋体" w:cs="Times New Roman"/>
                <w:kern w:val="0"/>
                <w:sz w:val="24"/>
              </w:rPr>
              <w:t>表</w:t>
            </w:r>
            <w:r>
              <w:rPr>
                <w:rFonts w:hint="eastAsia" w:ascii="Times New Roman" w:hAnsi="Times New Roman" w:eastAsia="宋体" w:cs="Times New Roman"/>
                <w:kern w:val="0"/>
                <w:sz w:val="24"/>
                <w:lang w:val="en-US" w:eastAsia="zh-CN"/>
              </w:rPr>
              <w:t>2-7</w:t>
            </w:r>
            <w:r>
              <w:rPr>
                <w:rFonts w:hint="eastAsia" w:ascii="Times New Roman" w:hAnsi="Times New Roman" w:eastAsia="宋体" w:cs="Times New Roman"/>
                <w:kern w:val="0"/>
                <w:sz w:val="24"/>
              </w:rPr>
              <w:t xml:space="preserve">  甲醛尾气</w:t>
            </w:r>
            <w:r>
              <w:rPr>
                <w:rFonts w:hint="eastAsia" w:ascii="Times New Roman" w:hAnsi="Times New Roman" w:eastAsia="宋体" w:cs="Times New Roman"/>
                <w:kern w:val="0"/>
                <w:sz w:val="24"/>
                <w:lang w:eastAsia="zh-CN"/>
              </w:rPr>
              <w:t>组分</w:t>
            </w:r>
            <w:r>
              <w:rPr>
                <w:rFonts w:hint="eastAsia" w:ascii="Times New Roman" w:hAnsi="Times New Roman" w:eastAsia="宋体" w:cs="Times New Roman"/>
                <w:kern w:val="0"/>
                <w:sz w:val="24"/>
              </w:rPr>
              <w:t>统计表</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80"/>
              <w:gridCol w:w="2715"/>
              <w:gridCol w:w="3262"/>
            </w:tblGrid>
            <w:tr w14:paraId="6EC3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2B404D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663" w:type="pct"/>
                  <w:shd w:val="clear" w:color="auto" w:fill="auto"/>
                  <w:noWrap w:val="0"/>
                  <w:vAlign w:val="center"/>
                </w:tcPr>
                <w:p w14:paraId="37208A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组分</w:t>
                  </w:r>
                </w:p>
              </w:tc>
              <w:tc>
                <w:tcPr>
                  <w:tcW w:w="1999" w:type="pct"/>
                  <w:shd w:val="clear" w:color="auto" w:fill="auto"/>
                  <w:noWrap w:val="0"/>
                  <w:vAlign w:val="center"/>
                </w:tcPr>
                <w:p w14:paraId="1CB650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体积分数（</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eastAsia="zh-CN"/>
                    </w:rPr>
                    <w:t>）</w:t>
                  </w:r>
                </w:p>
              </w:tc>
            </w:tr>
            <w:tr w14:paraId="38FB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27D19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663" w:type="pct"/>
                  <w:shd w:val="clear" w:color="auto" w:fill="auto"/>
                  <w:noWrap w:val="0"/>
                  <w:vAlign w:val="center"/>
                </w:tcPr>
                <w:p w14:paraId="5BF29E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甲醛</w:t>
                  </w:r>
                </w:p>
              </w:tc>
              <w:tc>
                <w:tcPr>
                  <w:tcW w:w="1999" w:type="pct"/>
                  <w:shd w:val="clear" w:color="auto" w:fill="auto"/>
                  <w:noWrap w:val="0"/>
                  <w:vAlign w:val="center"/>
                </w:tcPr>
                <w:p w14:paraId="54C77B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r>
            <w:tr w14:paraId="0062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1ED20C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663" w:type="pct"/>
                  <w:shd w:val="clear" w:color="auto" w:fill="auto"/>
                  <w:noWrap w:val="0"/>
                  <w:vAlign w:val="center"/>
                </w:tcPr>
                <w:p w14:paraId="3F4879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甲醇</w:t>
                  </w:r>
                </w:p>
              </w:tc>
              <w:tc>
                <w:tcPr>
                  <w:tcW w:w="1999" w:type="pct"/>
                  <w:shd w:val="clear" w:color="auto" w:fill="auto"/>
                  <w:noWrap w:val="0"/>
                  <w:vAlign w:val="center"/>
                </w:tcPr>
                <w:p w14:paraId="309A8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0.15</w:t>
                  </w:r>
                </w:p>
              </w:tc>
            </w:tr>
            <w:tr w14:paraId="54B3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1314F2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663" w:type="pct"/>
                  <w:shd w:val="clear" w:color="auto" w:fill="auto"/>
                  <w:noWrap w:val="0"/>
                  <w:vAlign w:val="center"/>
                </w:tcPr>
                <w:p w14:paraId="45D08D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H</w:t>
                  </w:r>
                  <w:r>
                    <w:rPr>
                      <w:rFonts w:hint="eastAsia" w:ascii="Times New Roman" w:hAnsi="Times New Roman" w:eastAsia="宋体" w:cs="Times New Roman"/>
                      <w:sz w:val="21"/>
                      <w:szCs w:val="21"/>
                      <w:vertAlign w:val="subscript"/>
                    </w:rPr>
                    <w:t>2</w:t>
                  </w:r>
                </w:p>
              </w:tc>
              <w:tc>
                <w:tcPr>
                  <w:tcW w:w="1999" w:type="pct"/>
                  <w:shd w:val="clear" w:color="auto" w:fill="auto"/>
                  <w:noWrap w:val="0"/>
                  <w:vAlign w:val="center"/>
                </w:tcPr>
                <w:p w14:paraId="038EF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r>
            <w:tr w14:paraId="3799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5233F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663" w:type="pct"/>
                  <w:shd w:val="clear" w:color="auto" w:fill="auto"/>
                  <w:noWrap w:val="0"/>
                  <w:vAlign w:val="center"/>
                </w:tcPr>
                <w:p w14:paraId="43DCE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CH</w:t>
                  </w:r>
                  <w:r>
                    <w:rPr>
                      <w:rFonts w:hint="eastAsia" w:ascii="Times New Roman" w:hAnsi="Times New Roman" w:eastAsia="宋体" w:cs="Times New Roman"/>
                      <w:strike/>
                      <w:sz w:val="21"/>
                      <w:szCs w:val="21"/>
                      <w:vertAlign w:val="subscript"/>
                    </w:rPr>
                    <w:t>4</w:t>
                  </w:r>
                </w:p>
              </w:tc>
              <w:tc>
                <w:tcPr>
                  <w:tcW w:w="1999" w:type="pct"/>
                  <w:shd w:val="clear" w:color="auto" w:fill="auto"/>
                  <w:noWrap w:val="0"/>
                  <w:vAlign w:val="center"/>
                </w:tcPr>
                <w:p w14:paraId="04C2E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w:t>
                  </w:r>
                </w:p>
              </w:tc>
            </w:tr>
            <w:tr w14:paraId="5C0C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0F06C5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663" w:type="pct"/>
                  <w:shd w:val="clear" w:color="auto" w:fill="auto"/>
                  <w:noWrap w:val="0"/>
                  <w:vAlign w:val="center"/>
                </w:tcPr>
                <w:p w14:paraId="3ADB11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CO</w:t>
                  </w:r>
                </w:p>
              </w:tc>
              <w:tc>
                <w:tcPr>
                  <w:tcW w:w="1999" w:type="pct"/>
                  <w:shd w:val="clear" w:color="auto" w:fill="auto"/>
                  <w:noWrap w:val="0"/>
                  <w:vAlign w:val="center"/>
                </w:tcPr>
                <w:p w14:paraId="2756B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r>
            <w:tr w14:paraId="5541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1B8D8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663" w:type="pct"/>
                  <w:shd w:val="clear" w:color="auto" w:fill="auto"/>
                  <w:noWrap w:val="0"/>
                  <w:vAlign w:val="center"/>
                </w:tcPr>
                <w:p w14:paraId="78DB1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CO</w:t>
                  </w:r>
                  <w:r>
                    <w:rPr>
                      <w:rFonts w:hint="eastAsia" w:ascii="Times New Roman" w:hAnsi="Times New Roman" w:eastAsia="宋体" w:cs="Times New Roman"/>
                      <w:sz w:val="21"/>
                      <w:szCs w:val="21"/>
                      <w:vertAlign w:val="subscript"/>
                    </w:rPr>
                    <w:t>2</w:t>
                  </w:r>
                </w:p>
              </w:tc>
              <w:tc>
                <w:tcPr>
                  <w:tcW w:w="1999" w:type="pct"/>
                  <w:shd w:val="clear" w:color="auto" w:fill="auto"/>
                  <w:noWrap w:val="0"/>
                  <w:vAlign w:val="center"/>
                </w:tcPr>
                <w:p w14:paraId="3E26AA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r>
            <w:tr w14:paraId="7B08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2F84BE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1663" w:type="pct"/>
                  <w:shd w:val="clear" w:color="auto" w:fill="auto"/>
                  <w:noWrap w:val="0"/>
                  <w:vAlign w:val="center"/>
                </w:tcPr>
                <w:p w14:paraId="5FFC2E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N</w:t>
                  </w:r>
                  <w:r>
                    <w:rPr>
                      <w:rFonts w:hint="eastAsia" w:ascii="Times New Roman" w:hAnsi="Times New Roman" w:eastAsia="宋体" w:cs="Times New Roman"/>
                      <w:sz w:val="21"/>
                      <w:szCs w:val="21"/>
                      <w:vertAlign w:val="subscript"/>
                    </w:rPr>
                    <w:t>2</w:t>
                  </w:r>
                </w:p>
              </w:tc>
              <w:tc>
                <w:tcPr>
                  <w:tcW w:w="1999" w:type="pct"/>
                  <w:shd w:val="clear" w:color="auto" w:fill="auto"/>
                  <w:noWrap w:val="0"/>
                  <w:vAlign w:val="center"/>
                </w:tcPr>
                <w:p w14:paraId="77EA4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74.5</w:t>
                  </w:r>
                </w:p>
              </w:tc>
            </w:tr>
            <w:tr w14:paraId="218A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19F666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1663" w:type="pct"/>
                  <w:shd w:val="clear" w:color="auto" w:fill="auto"/>
                  <w:noWrap w:val="0"/>
                  <w:vAlign w:val="center"/>
                </w:tcPr>
                <w:p w14:paraId="2BBE4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O</w:t>
                  </w:r>
                  <w:r>
                    <w:rPr>
                      <w:rFonts w:hint="eastAsia" w:ascii="Times New Roman" w:hAnsi="Times New Roman" w:eastAsia="宋体" w:cs="Times New Roman"/>
                      <w:sz w:val="21"/>
                      <w:szCs w:val="21"/>
                      <w:vertAlign w:val="subscript"/>
                    </w:rPr>
                    <w:t>2</w:t>
                  </w:r>
                </w:p>
              </w:tc>
              <w:tc>
                <w:tcPr>
                  <w:tcW w:w="1999" w:type="pct"/>
                  <w:shd w:val="clear" w:color="auto" w:fill="auto"/>
                  <w:noWrap w:val="0"/>
                  <w:vAlign w:val="center"/>
                </w:tcPr>
                <w:p w14:paraId="157C39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w:t>
                  </w:r>
                </w:p>
              </w:tc>
            </w:tr>
            <w:tr w14:paraId="6B62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18244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9</w:t>
                  </w:r>
                </w:p>
              </w:tc>
              <w:tc>
                <w:tcPr>
                  <w:tcW w:w="1663" w:type="pct"/>
                  <w:shd w:val="clear" w:color="auto" w:fill="auto"/>
                  <w:noWrap w:val="0"/>
                  <w:vAlign w:val="center"/>
                </w:tcPr>
                <w:p w14:paraId="4119F3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O</w:t>
                  </w:r>
                </w:p>
              </w:tc>
              <w:tc>
                <w:tcPr>
                  <w:tcW w:w="1999" w:type="pct"/>
                  <w:shd w:val="clear" w:color="auto" w:fill="auto"/>
                  <w:noWrap w:val="0"/>
                  <w:vAlign w:val="center"/>
                </w:tcPr>
                <w:p w14:paraId="2F3A42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14:paraId="4ED8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pct"/>
                  <w:shd w:val="clear" w:color="auto" w:fill="auto"/>
                  <w:noWrap w:val="0"/>
                  <w:vAlign w:val="center"/>
                </w:tcPr>
                <w:p w14:paraId="620F40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1663" w:type="pct"/>
                  <w:shd w:val="clear" w:color="auto" w:fill="auto"/>
                  <w:noWrap w:val="0"/>
                  <w:vAlign w:val="center"/>
                </w:tcPr>
                <w:p w14:paraId="3283A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999" w:type="pct"/>
                  <w:shd w:val="clear" w:color="auto" w:fill="auto"/>
                  <w:noWrap w:val="0"/>
                  <w:vAlign w:val="center"/>
                </w:tcPr>
                <w:p w14:paraId="0219F4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14:paraId="0C83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pct"/>
                  <w:gridSpan w:val="2"/>
                  <w:shd w:val="clear" w:color="auto" w:fill="auto"/>
                  <w:noWrap w:val="0"/>
                  <w:vAlign w:val="center"/>
                </w:tcPr>
                <w:p w14:paraId="618E28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合计</w:t>
                  </w:r>
                </w:p>
              </w:tc>
              <w:tc>
                <w:tcPr>
                  <w:tcW w:w="1999" w:type="pct"/>
                  <w:shd w:val="clear" w:color="auto" w:fill="auto"/>
                  <w:noWrap w:val="0"/>
                  <w:vAlign w:val="center"/>
                </w:tcPr>
                <w:p w14:paraId="57078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r>
          </w:tbl>
          <w:p w14:paraId="589813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kern w:val="0"/>
                <w:sz w:val="24"/>
                <w:szCs w:val="24"/>
              </w:rPr>
            </w:pPr>
            <w:r>
              <w:rPr>
                <w:rFonts w:hint="eastAsia" w:ascii="Times New Roman" w:hAnsi="Times New Roman" w:eastAsia="宋体" w:cs="Times New Roman"/>
                <w:b w:val="0"/>
                <w:bCs/>
                <w:kern w:val="0"/>
                <w:sz w:val="24"/>
                <w:szCs w:val="24"/>
                <w:lang w:eastAsia="zh-CN"/>
              </w:rPr>
              <w:t>根据设计单位提供的</w:t>
            </w:r>
            <w:r>
              <w:rPr>
                <w:rFonts w:hint="eastAsia" w:ascii="Times New Roman" w:hAnsi="Times New Roman" w:eastAsia="宋体" w:cs="Times New Roman"/>
                <w:b w:val="0"/>
                <w:bCs/>
                <w:kern w:val="0"/>
                <w:sz w:val="24"/>
                <w:szCs w:val="24"/>
              </w:rPr>
              <w:t>甲醛尾气热值见表</w:t>
            </w:r>
            <w:r>
              <w:rPr>
                <w:rFonts w:hint="eastAsia" w:ascii="Times New Roman" w:hAnsi="Times New Roman" w:eastAsia="宋体" w:cs="Times New Roman"/>
                <w:b w:val="0"/>
                <w:bCs/>
                <w:kern w:val="0"/>
                <w:sz w:val="24"/>
                <w:szCs w:val="24"/>
                <w:lang w:val="en-US" w:eastAsia="zh-CN"/>
              </w:rPr>
              <w:t>2-8</w:t>
            </w:r>
            <w:r>
              <w:rPr>
                <w:rFonts w:hint="eastAsia" w:ascii="Times New Roman" w:hAnsi="Times New Roman" w:eastAsia="宋体" w:cs="Times New Roman"/>
                <w:b w:val="0"/>
                <w:bCs/>
                <w:kern w:val="0"/>
                <w:sz w:val="24"/>
                <w:szCs w:val="24"/>
              </w:rPr>
              <w:t>。</w:t>
            </w:r>
          </w:p>
          <w:p w14:paraId="31AB6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4"/>
              </w:rPr>
            </w:pPr>
            <w:r>
              <w:rPr>
                <w:rFonts w:hint="eastAsia" w:ascii="Times New Roman" w:hAnsi="Times New Roman" w:eastAsia="宋体" w:cs="Times New Roman"/>
                <w:kern w:val="0"/>
                <w:sz w:val="24"/>
              </w:rPr>
              <w:t>表</w:t>
            </w:r>
            <w:r>
              <w:rPr>
                <w:rFonts w:hint="eastAsia" w:ascii="Times New Roman" w:hAnsi="Times New Roman" w:eastAsia="宋体" w:cs="Times New Roman"/>
                <w:kern w:val="0"/>
                <w:sz w:val="24"/>
                <w:lang w:val="en-US" w:eastAsia="zh-CN"/>
              </w:rPr>
              <w:t>2-8</w:t>
            </w:r>
            <w:r>
              <w:rPr>
                <w:rFonts w:hint="eastAsia" w:ascii="Times New Roman" w:hAnsi="Times New Roman" w:eastAsia="宋体" w:cs="Times New Roman"/>
                <w:kern w:val="0"/>
                <w:sz w:val="24"/>
              </w:rPr>
              <w:t xml:space="preserve">  甲醛尾气热值计算表</w:t>
            </w:r>
          </w:p>
          <w:p w14:paraId="7ED90A87">
            <w:pPr>
              <w:spacing w:line="360" w:lineRule="auto"/>
              <w:rPr>
                <w:rFonts w:hint="eastAsia" w:ascii="Times New Roman" w:hAnsi="Times New Roman" w:eastAsia="宋体" w:cs="Times New Roman"/>
                <w:sz w:val="28"/>
                <w:szCs w:val="28"/>
              </w:rPr>
            </w:pPr>
            <w:r>
              <w:rPr>
                <w:rFonts w:ascii="仿宋_GB2312" w:hAnsi="Calibri" w:eastAsia="仿宋_GB2312"/>
                <w:szCs w:val="20"/>
              </w:rPr>
              <w:pict>
                <v:shape id="_x0000_i1029" o:spt="75" alt="表格&#10;&#10;描述已自动生成" type="#_x0000_t75" style="height:137.5pt;width:404.65pt;" filled="f" o:preferrelative="t" stroked="t" coordsize="21600,21600">
                  <v:path/>
                  <v:fill on="f" focussize="0,0"/>
                  <v:stroke/>
                  <v:imagedata r:id="rId15" o:title="表格&#10;&#10;描述已自动生成"/>
                  <o:lock v:ext="edit" aspectratio="t"/>
                  <w10:wrap type="none"/>
                  <w10:anchorlock/>
                </v:shape>
              </w:pict>
            </w:r>
          </w:p>
          <w:p w14:paraId="007BDB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kern w:val="0"/>
                <w:sz w:val="24"/>
                <w:szCs w:val="24"/>
              </w:rPr>
            </w:pPr>
            <w:r>
              <w:rPr>
                <w:rFonts w:hint="eastAsia" w:ascii="Times New Roman" w:hAnsi="Times New Roman" w:eastAsia="宋体" w:cs="Times New Roman"/>
                <w:b w:val="0"/>
                <w:bCs w:val="0"/>
                <w:sz w:val="24"/>
                <w:szCs w:val="24"/>
              </w:rPr>
              <w:t>通过表</w:t>
            </w:r>
            <w:r>
              <w:rPr>
                <w:rFonts w:hint="eastAsia" w:ascii="Times New Roman" w:hAnsi="Times New Roman" w:eastAsia="宋体" w:cs="Times New Roman"/>
                <w:b w:val="0"/>
                <w:bCs w:val="0"/>
                <w:sz w:val="24"/>
                <w:szCs w:val="24"/>
                <w:lang w:val="en-US" w:eastAsia="zh-CN"/>
              </w:rPr>
              <w:t>2-5</w:t>
            </w:r>
            <w:r>
              <w:rPr>
                <w:rFonts w:hint="eastAsia" w:ascii="Times New Roman" w:hAnsi="Times New Roman" w:eastAsia="宋体" w:cs="Times New Roman"/>
                <w:b w:val="0"/>
                <w:bCs w:val="0"/>
                <w:sz w:val="24"/>
                <w:szCs w:val="24"/>
              </w:rPr>
              <w:t>的计算，</w:t>
            </w:r>
            <w:bookmarkStart w:id="10" w:name="OLE_LINK73"/>
            <w:r>
              <w:rPr>
                <w:rFonts w:hint="eastAsia" w:ascii="Times New Roman" w:hAnsi="Times New Roman" w:eastAsia="宋体" w:cs="Times New Roman"/>
                <w:b w:val="0"/>
                <w:bCs w:val="0"/>
                <w:sz w:val="24"/>
                <w:szCs w:val="24"/>
              </w:rPr>
              <w:t>甲醛尾气热值</w:t>
            </w:r>
            <w:r>
              <w:rPr>
                <w:rFonts w:hint="eastAsia" w:cs="Times New Roman"/>
                <w:b w:val="0"/>
                <w:bCs w:val="0"/>
                <w:sz w:val="24"/>
                <w:szCs w:val="24"/>
                <w:lang w:eastAsia="zh-CN"/>
              </w:rPr>
              <w:t>为</w:t>
            </w:r>
            <w:r>
              <w:rPr>
                <w:rFonts w:hint="eastAsia" w:ascii="Times New Roman" w:hAnsi="Times New Roman" w:eastAsia="宋体" w:cs="Times New Roman"/>
                <w:b w:val="0"/>
                <w:bCs w:val="0"/>
                <w:sz w:val="24"/>
                <w:szCs w:val="24"/>
              </w:rPr>
              <w:t>1.88MJ/Nm</w:t>
            </w:r>
            <w:r>
              <w:rPr>
                <w:rFonts w:hint="eastAsia" w:ascii="Times New Roman" w:hAnsi="Times New Roman" w:eastAsia="宋体" w:cs="Times New Roman"/>
                <w:b w:val="0"/>
                <w:bCs w:val="0"/>
                <w:sz w:val="24"/>
                <w:szCs w:val="24"/>
                <w:vertAlign w:val="superscript"/>
              </w:rPr>
              <w:t>3</w:t>
            </w:r>
            <w:bookmarkEnd w:id="10"/>
            <w:r>
              <w:rPr>
                <w:rFonts w:hint="eastAsia" w:ascii="Times New Roman" w:hAnsi="Times New Roman" w:eastAsia="宋体" w:cs="Times New Roman"/>
                <w:b w:val="0"/>
                <w:bCs w:val="0"/>
                <w:sz w:val="24"/>
                <w:szCs w:val="24"/>
              </w:rPr>
              <w:t>。</w:t>
            </w:r>
          </w:p>
          <w:p w14:paraId="0F90DE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val="0"/>
                <w:bCs/>
                <w:color w:val="auto"/>
                <w:kern w:val="0"/>
                <w:sz w:val="24"/>
                <w:szCs w:val="24"/>
                <w:lang w:val="en-US" w:eastAsia="zh-CN"/>
              </w:rPr>
              <w:t>B.</w:t>
            </w:r>
            <w:r>
              <w:rPr>
                <w:rFonts w:hint="eastAsia" w:ascii="Times New Roman" w:hAnsi="Times New Roman" w:eastAsia="宋体" w:cs="Times New Roman"/>
                <w:b w:val="0"/>
                <w:bCs/>
                <w:color w:val="auto"/>
                <w:kern w:val="0"/>
                <w:sz w:val="24"/>
                <w:szCs w:val="24"/>
                <w:lang w:eastAsia="zh-CN"/>
              </w:rPr>
              <w:t>技改后干燥</w:t>
            </w:r>
            <w:r>
              <w:rPr>
                <w:rFonts w:hint="eastAsia" w:ascii="宋体" w:hAnsi="宋体" w:eastAsia="宋体" w:cs="宋体"/>
                <w:kern w:val="0"/>
                <w:sz w:val="24"/>
                <w:lang w:eastAsia="zh-CN"/>
              </w:rPr>
              <w:t>萘系减水剂粉剂所需燃料的热量</w:t>
            </w:r>
          </w:p>
          <w:p w14:paraId="5258C351">
            <w:pPr>
              <w:spacing w:line="360" w:lineRule="auto"/>
              <w:ind w:firstLine="480" w:firstLineChars="200"/>
              <w:rPr>
                <w:rFonts w:hint="eastAsia"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eastAsia="zh-CN"/>
              </w:rPr>
              <w:t>技改后减水剂粉料热风炉的燃料为原有工程甲醛吸收塔尾气，减水剂粉料产量缩减为</w:t>
            </w:r>
            <w:r>
              <w:rPr>
                <w:rFonts w:hint="eastAsia" w:ascii="Times New Roman" w:hAnsi="Times New Roman" w:eastAsia="宋体" w:cs="Times New Roman"/>
                <w:b w:val="0"/>
                <w:bCs w:val="0"/>
                <w:sz w:val="24"/>
                <w:szCs w:val="24"/>
                <w:lang w:val="en-US" w:eastAsia="zh-CN"/>
              </w:rPr>
              <w:t>7200t，</w:t>
            </w:r>
            <w:r>
              <w:rPr>
                <w:rFonts w:hint="eastAsia" w:ascii="Times New Roman" w:hAnsi="Times New Roman" w:eastAsia="宋体" w:cs="Times New Roman"/>
                <w:b w:val="0"/>
                <w:bCs w:val="0"/>
                <w:kern w:val="0"/>
                <w:sz w:val="24"/>
                <w:szCs w:val="24"/>
                <w:lang w:eastAsia="zh-CN"/>
              </w:rPr>
              <w:t>根据</w:t>
            </w:r>
            <w:r>
              <w:rPr>
                <w:rFonts w:hint="eastAsia" w:ascii="Times New Roman" w:hAnsi="Times New Roman" w:eastAsia="宋体" w:cs="Times New Roman"/>
                <w:b w:val="0"/>
                <w:bCs w:val="0"/>
                <w:kern w:val="0"/>
                <w:sz w:val="24"/>
                <w:szCs w:val="24"/>
              </w:rPr>
              <w:t>设计资料，按照产量计算每</w:t>
            </w:r>
            <w:r>
              <w:rPr>
                <w:rFonts w:hint="eastAsia" w:ascii="Times New Roman" w:hAnsi="Times New Roman" w:eastAsia="宋体" w:cs="Times New Roman"/>
                <w:b w:val="0"/>
                <w:bCs w:val="0"/>
                <w:kern w:val="0"/>
                <w:sz w:val="24"/>
                <w:szCs w:val="24"/>
                <w:lang w:eastAsia="zh-CN"/>
              </w:rPr>
              <w:t>小时</w:t>
            </w:r>
            <w:r>
              <w:rPr>
                <w:rFonts w:hint="eastAsia" w:ascii="Times New Roman" w:hAnsi="Times New Roman" w:eastAsia="宋体" w:cs="Times New Roman"/>
                <w:b w:val="0"/>
                <w:bCs w:val="0"/>
                <w:kern w:val="0"/>
                <w:sz w:val="24"/>
                <w:szCs w:val="24"/>
              </w:rPr>
              <w:t>产粉量</w:t>
            </w:r>
            <w:r>
              <w:rPr>
                <w:rFonts w:hint="eastAsia" w:ascii="Times New Roman" w:hAnsi="Times New Roman" w:eastAsia="宋体" w:cs="Times New Roman"/>
                <w:b w:val="0"/>
                <w:bCs w:val="0"/>
                <w:kern w:val="0"/>
                <w:sz w:val="24"/>
                <w:szCs w:val="24"/>
                <w:lang w:val="en-US" w:eastAsia="zh-CN"/>
              </w:rPr>
              <w:t>1.0</w:t>
            </w:r>
            <w:r>
              <w:rPr>
                <w:rFonts w:hint="eastAsia" w:ascii="Times New Roman" w:hAnsi="Times New Roman" w:eastAsia="宋体" w:cs="Times New Roman"/>
                <w:b w:val="0"/>
                <w:bCs w:val="0"/>
                <w:kern w:val="0"/>
                <w:sz w:val="24"/>
                <w:szCs w:val="24"/>
              </w:rPr>
              <w:t>t，</w:t>
            </w:r>
            <w:r>
              <w:rPr>
                <w:rFonts w:hint="eastAsia" w:ascii="Times New Roman" w:hAnsi="Times New Roman" w:eastAsia="宋体" w:cs="Times New Roman"/>
                <w:b w:val="0"/>
                <w:bCs w:val="0"/>
                <w:kern w:val="0"/>
                <w:sz w:val="24"/>
                <w:szCs w:val="24"/>
                <w:lang w:eastAsia="zh-CN"/>
              </w:rPr>
              <w:t>热风炉</w:t>
            </w:r>
            <w:r>
              <w:rPr>
                <w:rFonts w:hint="eastAsia"/>
                <w:b w:val="0"/>
                <w:bCs w:val="0"/>
                <w:kern w:val="0"/>
                <w:sz w:val="24"/>
                <w:szCs w:val="24"/>
              </w:rPr>
              <w:t>每吨粉料核算用</w:t>
            </w:r>
            <w:r>
              <w:rPr>
                <w:rFonts w:hint="eastAsia"/>
                <w:b w:val="0"/>
                <w:bCs w:val="0"/>
                <w:kern w:val="0"/>
                <w:sz w:val="24"/>
                <w:szCs w:val="24"/>
                <w:lang w:eastAsia="zh-CN"/>
              </w:rPr>
              <w:t>热量为</w:t>
            </w:r>
            <w:r>
              <w:rPr>
                <w:rFonts w:hint="eastAsia" w:ascii="Times New Roman" w:hAnsi="Times New Roman" w:eastAsia="宋体" w:cs="Times New Roman"/>
                <w:b w:val="0"/>
                <w:bCs w:val="0"/>
                <w:sz w:val="24"/>
                <w:szCs w:val="24"/>
              </w:rPr>
              <w:t>240万kcal，折1033</w:t>
            </w:r>
            <w:r>
              <w:rPr>
                <w:rFonts w:hint="eastAsia" w:ascii="Times New Roman" w:hAnsi="Times New Roman" w:eastAsia="宋体" w:cs="Times New Roman"/>
                <w:b w:val="0"/>
                <w:bCs w:val="0"/>
                <w:kern w:val="0"/>
                <w:sz w:val="24"/>
                <w:szCs w:val="24"/>
              </w:rPr>
              <w:t>.2MJ，每</w:t>
            </w:r>
            <w:r>
              <w:rPr>
                <w:rFonts w:hint="eastAsia" w:ascii="Times New Roman" w:hAnsi="Times New Roman" w:eastAsia="宋体" w:cs="Times New Roman"/>
                <w:b w:val="0"/>
                <w:bCs w:val="0"/>
                <w:kern w:val="0"/>
                <w:sz w:val="24"/>
                <w:szCs w:val="24"/>
                <w:lang w:eastAsia="zh-CN"/>
              </w:rPr>
              <w:t>吨</w:t>
            </w:r>
            <w:r>
              <w:rPr>
                <w:rFonts w:hint="eastAsia" w:ascii="Times New Roman" w:hAnsi="Times New Roman" w:eastAsia="宋体" w:cs="Times New Roman"/>
                <w:b w:val="0"/>
                <w:bCs w:val="0"/>
                <w:kern w:val="0"/>
                <w:sz w:val="24"/>
                <w:szCs w:val="24"/>
              </w:rPr>
              <w:t>最大需要燃烧</w:t>
            </w:r>
            <w:r>
              <w:rPr>
                <w:rFonts w:hint="eastAsia" w:ascii="Times New Roman" w:hAnsi="Times New Roman" w:eastAsia="宋体" w:cs="Times New Roman"/>
                <w:b w:val="0"/>
                <w:bCs w:val="0"/>
                <w:kern w:val="0"/>
                <w:sz w:val="24"/>
                <w:szCs w:val="24"/>
                <w:lang w:eastAsia="zh-CN"/>
              </w:rPr>
              <w:t>甲醛尾气</w:t>
            </w:r>
            <w:r>
              <w:rPr>
                <w:rFonts w:hint="eastAsia" w:ascii="Times New Roman" w:hAnsi="Times New Roman" w:eastAsia="宋体" w:cs="Times New Roman"/>
                <w:b w:val="0"/>
                <w:bCs w:val="0"/>
                <w:kern w:val="0"/>
                <w:sz w:val="24"/>
                <w:szCs w:val="24"/>
                <w:lang w:val="en-US" w:eastAsia="zh-CN"/>
              </w:rPr>
              <w:t>549.57m</w:t>
            </w:r>
            <w:r>
              <w:rPr>
                <w:rFonts w:hint="eastAsia" w:ascii="Times New Roman" w:hAnsi="Times New Roman" w:eastAsia="宋体" w:cs="Times New Roman"/>
                <w:b w:val="0"/>
                <w:bCs w:val="0"/>
                <w:kern w:val="0"/>
                <w:sz w:val="24"/>
                <w:szCs w:val="24"/>
                <w:vertAlign w:val="superscript"/>
                <w:lang w:val="en-US" w:eastAsia="zh-CN"/>
              </w:rPr>
              <w:t>3</w:t>
            </w:r>
            <w:r>
              <w:rPr>
                <w:rFonts w:hint="eastAsia" w:ascii="Times New Roman" w:hAnsi="Times New Roman" w:eastAsia="宋体" w:cs="Times New Roman"/>
                <w:b w:val="0"/>
                <w:bCs w:val="0"/>
                <w:kern w:val="0"/>
                <w:sz w:val="24"/>
                <w:szCs w:val="24"/>
              </w:rPr>
              <w:t>，</w:t>
            </w:r>
            <w:r>
              <w:rPr>
                <w:rFonts w:hint="eastAsia" w:ascii="Times New Roman" w:hAnsi="Times New Roman" w:eastAsia="宋体" w:cs="Times New Roman"/>
                <w:b w:val="0"/>
                <w:bCs w:val="0"/>
                <w:kern w:val="0"/>
                <w:sz w:val="24"/>
                <w:szCs w:val="24"/>
                <w:lang w:eastAsia="zh-CN"/>
              </w:rPr>
              <w:t>则年生产减水剂粉剂</w:t>
            </w:r>
            <w:r>
              <w:rPr>
                <w:rFonts w:hint="eastAsia" w:ascii="Times New Roman" w:hAnsi="Times New Roman" w:eastAsia="宋体" w:cs="Times New Roman"/>
                <w:b w:val="0"/>
                <w:bCs w:val="0"/>
                <w:kern w:val="0"/>
                <w:sz w:val="24"/>
                <w:szCs w:val="24"/>
                <w:lang w:val="en-US" w:eastAsia="zh-CN"/>
              </w:rPr>
              <w:t>7200t，</w:t>
            </w:r>
            <w:r>
              <w:rPr>
                <w:rFonts w:hint="eastAsia" w:ascii="Times New Roman" w:hAnsi="Times New Roman" w:eastAsia="宋体" w:cs="Times New Roman"/>
                <w:b w:val="0"/>
                <w:bCs w:val="0"/>
                <w:kern w:val="0"/>
                <w:sz w:val="24"/>
                <w:szCs w:val="24"/>
              </w:rPr>
              <w:t>需要热量7439040MJ</w:t>
            </w:r>
            <w:r>
              <w:rPr>
                <w:rFonts w:hint="eastAsia" w:ascii="Times New Roman" w:hAnsi="Times New Roman" w:eastAsia="宋体" w:cs="Times New Roman"/>
                <w:b w:val="0"/>
                <w:bCs w:val="0"/>
                <w:kern w:val="0"/>
                <w:sz w:val="24"/>
                <w:szCs w:val="24"/>
                <w:lang w:eastAsia="zh-CN"/>
              </w:rPr>
              <w:t>，</w:t>
            </w:r>
            <w:r>
              <w:rPr>
                <w:rFonts w:hint="eastAsia"/>
                <w:kern w:val="0"/>
                <w:sz w:val="24"/>
                <w:lang w:eastAsia="zh-CN"/>
              </w:rPr>
              <w:t>需要燃烧甲醛尾气</w:t>
            </w:r>
            <w:r>
              <w:rPr>
                <w:rFonts w:hint="eastAsia"/>
                <w:kern w:val="0"/>
                <w:sz w:val="24"/>
                <w:lang w:val="en-US" w:eastAsia="zh-CN"/>
              </w:rPr>
              <w:t>4162.79t</w:t>
            </w:r>
            <w:r>
              <w:rPr>
                <w:rFonts w:hint="eastAsia"/>
                <w:kern w:val="0"/>
                <w:sz w:val="24"/>
                <w:lang w:eastAsia="zh-CN"/>
              </w:rPr>
              <w:t>（</w:t>
            </w:r>
            <w:r>
              <w:rPr>
                <w:rFonts w:hint="eastAsia"/>
                <w:kern w:val="0"/>
                <w:sz w:val="24"/>
                <w:lang w:val="en-US" w:eastAsia="zh-CN"/>
              </w:rPr>
              <w:t>3956904m</w:t>
            </w:r>
            <w:r>
              <w:rPr>
                <w:rFonts w:hint="eastAsia"/>
                <w:kern w:val="0"/>
                <w:sz w:val="24"/>
                <w:vertAlign w:val="superscript"/>
                <w:lang w:val="en-US" w:eastAsia="zh-CN"/>
              </w:rPr>
              <w:t>3</w:t>
            </w:r>
            <w:r>
              <w:rPr>
                <w:rFonts w:hint="eastAsia"/>
                <w:kern w:val="0"/>
                <w:sz w:val="24"/>
                <w:lang w:eastAsia="zh-CN"/>
              </w:rPr>
              <w:t>）。此热量</w:t>
            </w:r>
            <w:r>
              <w:rPr>
                <w:rFonts w:hint="eastAsia"/>
                <w:kern w:val="0"/>
                <w:sz w:val="24"/>
              </w:rPr>
              <w:t>全部用于干燥</w:t>
            </w:r>
            <w:r>
              <w:rPr>
                <w:rFonts w:hint="eastAsia" w:ascii="Times New Roman" w:hAnsi="Times New Roman" w:eastAsia="宋体" w:cs="Times New Roman"/>
                <w:b w:val="0"/>
                <w:bCs w:val="0"/>
                <w:sz w:val="24"/>
                <w:szCs w:val="24"/>
                <w:lang w:eastAsia="zh-CN"/>
              </w:rPr>
              <w:t>喷雾塔</w:t>
            </w:r>
            <w:r>
              <w:rPr>
                <w:rFonts w:hint="eastAsia" w:ascii="Times New Roman" w:hAnsi="Times New Roman" w:eastAsia="宋体" w:cs="Times New Roman"/>
                <w:b w:val="0"/>
                <w:bCs w:val="0"/>
                <w:sz w:val="24"/>
                <w:szCs w:val="24"/>
              </w:rPr>
              <w:t>。</w:t>
            </w:r>
          </w:p>
          <w:p w14:paraId="78DCA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表</w:t>
            </w:r>
            <w:r>
              <w:rPr>
                <w:rFonts w:hint="eastAsia" w:ascii="Times New Roman" w:hAnsi="Times New Roman" w:eastAsia="宋体" w:cs="Times New Roman"/>
                <w:kern w:val="0"/>
                <w:sz w:val="24"/>
                <w:lang w:val="en-US" w:eastAsia="zh-CN"/>
              </w:rPr>
              <w:t>2-9</w:t>
            </w:r>
            <w:r>
              <w:rPr>
                <w:rFonts w:hint="eastAsia" w:ascii="Times New Roman" w:hAnsi="Times New Roman" w:eastAsia="宋体" w:cs="Times New Roman"/>
                <w:kern w:val="0"/>
                <w:sz w:val="24"/>
              </w:rPr>
              <w:t xml:space="preserve">  </w:t>
            </w:r>
            <w:r>
              <w:rPr>
                <w:rFonts w:hint="eastAsia" w:ascii="Times New Roman" w:hAnsi="Times New Roman" w:eastAsia="宋体" w:cs="Times New Roman"/>
                <w:kern w:val="0"/>
                <w:sz w:val="24"/>
                <w:lang w:eastAsia="zh-CN"/>
              </w:rPr>
              <w:t>改造前后干燥萘系减水剂粉剂所需燃料的热量对照表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75"/>
              <w:gridCol w:w="1925"/>
              <w:gridCol w:w="1975"/>
              <w:gridCol w:w="2383"/>
            </w:tblGrid>
            <w:tr w14:paraId="22EA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875" w:type="dxa"/>
                  <w:shd w:val="clear" w:color="auto" w:fill="auto"/>
                  <w:noWrap w:val="0"/>
                  <w:vAlign w:val="center"/>
                </w:tcPr>
                <w:p w14:paraId="6EFD7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color w:val="auto"/>
                      <w:kern w:val="0"/>
                      <w:sz w:val="21"/>
                      <w:szCs w:val="21"/>
                      <w:vertAlign w:val="baseline"/>
                      <w:lang w:eastAsia="zh-CN"/>
                    </w:rPr>
                    <w:t>产能</w:t>
                  </w:r>
                </w:p>
              </w:tc>
              <w:tc>
                <w:tcPr>
                  <w:tcW w:w="1925" w:type="dxa"/>
                  <w:shd w:val="clear" w:color="auto" w:fill="auto"/>
                  <w:noWrap w:val="0"/>
                  <w:vAlign w:val="center"/>
                </w:tcPr>
                <w:p w14:paraId="07BFDD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color w:val="auto"/>
                      <w:kern w:val="0"/>
                      <w:sz w:val="21"/>
                      <w:szCs w:val="21"/>
                      <w:vertAlign w:val="baseline"/>
                      <w:lang w:eastAsia="zh-CN"/>
                    </w:rPr>
                    <w:t>生物质使用量（</w:t>
                  </w:r>
                  <w:r>
                    <w:rPr>
                      <w:rFonts w:hint="eastAsia" w:ascii="Times New Roman" w:hAnsi="Times New Roman" w:eastAsia="宋体" w:cs="Times New Roman"/>
                      <w:b w:val="0"/>
                      <w:bCs/>
                      <w:color w:val="auto"/>
                      <w:kern w:val="0"/>
                      <w:sz w:val="21"/>
                      <w:szCs w:val="21"/>
                      <w:vertAlign w:val="baseline"/>
                      <w:lang w:val="en-US" w:eastAsia="zh-CN"/>
                    </w:rPr>
                    <w:t>t</w:t>
                  </w:r>
                  <w:r>
                    <w:rPr>
                      <w:rFonts w:hint="eastAsia" w:ascii="Times New Roman" w:hAnsi="Times New Roman" w:eastAsia="宋体" w:cs="Times New Roman"/>
                      <w:b w:val="0"/>
                      <w:bCs/>
                      <w:color w:val="auto"/>
                      <w:kern w:val="0"/>
                      <w:sz w:val="21"/>
                      <w:szCs w:val="21"/>
                      <w:vertAlign w:val="baseline"/>
                      <w:lang w:eastAsia="zh-CN"/>
                    </w:rPr>
                    <w:t>）</w:t>
                  </w:r>
                </w:p>
              </w:tc>
              <w:tc>
                <w:tcPr>
                  <w:tcW w:w="1975" w:type="dxa"/>
                  <w:shd w:val="clear" w:color="auto" w:fill="auto"/>
                  <w:noWrap w:val="0"/>
                  <w:vAlign w:val="center"/>
                </w:tcPr>
                <w:p w14:paraId="5E58D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eastAsia="zh-CN"/>
                    </w:rPr>
                    <w:t>所需的热量（</w:t>
                  </w:r>
                  <w:r>
                    <w:rPr>
                      <w:rFonts w:hint="eastAsia" w:ascii="Times New Roman" w:hAnsi="Times New Roman" w:eastAsia="宋体" w:cs="Times New Roman"/>
                      <w:sz w:val="21"/>
                      <w:szCs w:val="21"/>
                    </w:rPr>
                    <w:t>MJ</w:t>
                  </w:r>
                  <w:r>
                    <w:rPr>
                      <w:rFonts w:hint="eastAsia" w:ascii="Times New Roman" w:hAnsi="Times New Roman" w:eastAsia="宋体" w:cs="Times New Roman"/>
                      <w:b w:val="0"/>
                      <w:bCs/>
                      <w:color w:val="auto"/>
                      <w:kern w:val="0"/>
                      <w:sz w:val="21"/>
                      <w:szCs w:val="21"/>
                      <w:vertAlign w:val="baseline"/>
                      <w:lang w:eastAsia="zh-CN"/>
                    </w:rPr>
                    <w:t>）</w:t>
                  </w:r>
                </w:p>
              </w:tc>
              <w:tc>
                <w:tcPr>
                  <w:tcW w:w="2383" w:type="dxa"/>
                  <w:shd w:val="clear" w:color="auto" w:fill="auto"/>
                  <w:noWrap w:val="0"/>
                  <w:vAlign w:val="center"/>
                </w:tcPr>
                <w:p w14:paraId="1EE360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color w:val="auto"/>
                      <w:kern w:val="0"/>
                      <w:sz w:val="21"/>
                      <w:szCs w:val="21"/>
                      <w:vertAlign w:val="baseline"/>
                      <w:lang w:eastAsia="zh-CN"/>
                    </w:rPr>
                    <w:t>所需的甲醛尾气量</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eastAsia="zh-CN"/>
                    </w:rPr>
                    <w:t>）</w:t>
                  </w:r>
                </w:p>
              </w:tc>
            </w:tr>
            <w:tr w14:paraId="1BD6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shd w:val="clear" w:color="auto" w:fill="auto"/>
                  <w:noWrap w:val="0"/>
                  <w:vAlign w:val="center"/>
                </w:tcPr>
                <w:p w14:paraId="46695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eastAsia="zh-CN"/>
                    </w:rPr>
                    <w:t>改造前干燥粉剂</w:t>
                  </w:r>
                  <w:r>
                    <w:rPr>
                      <w:rFonts w:hint="eastAsia" w:ascii="Times New Roman" w:hAnsi="Times New Roman" w:eastAsia="宋体" w:cs="Times New Roman"/>
                      <w:b w:val="0"/>
                      <w:bCs/>
                      <w:color w:val="auto"/>
                      <w:kern w:val="0"/>
                      <w:sz w:val="21"/>
                      <w:szCs w:val="21"/>
                      <w:vertAlign w:val="baseline"/>
                      <w:lang w:val="en-US" w:eastAsia="zh-CN"/>
                    </w:rPr>
                    <w:t>20000t</w:t>
                  </w:r>
                </w:p>
              </w:tc>
              <w:tc>
                <w:tcPr>
                  <w:tcW w:w="1925" w:type="dxa"/>
                  <w:shd w:val="clear" w:color="auto" w:fill="auto"/>
                  <w:noWrap w:val="0"/>
                  <w:vAlign w:val="center"/>
                </w:tcPr>
                <w:p w14:paraId="499C8E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15568.36</w:t>
                  </w:r>
                </w:p>
              </w:tc>
              <w:tc>
                <w:tcPr>
                  <w:tcW w:w="1975" w:type="dxa"/>
                  <w:shd w:val="clear" w:color="auto" w:fill="auto"/>
                  <w:noWrap w:val="0"/>
                  <w:vAlign w:val="center"/>
                </w:tcPr>
                <w:p w14:paraId="403028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200831844</w:t>
                  </w:r>
                </w:p>
              </w:tc>
              <w:tc>
                <w:tcPr>
                  <w:tcW w:w="2383" w:type="dxa"/>
                  <w:shd w:val="clear" w:color="auto" w:fill="auto"/>
                  <w:noWrap w:val="0"/>
                  <w:vAlign w:val="center"/>
                </w:tcPr>
                <w:p w14:paraId="0D7018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w:t>
                  </w:r>
                </w:p>
              </w:tc>
            </w:tr>
            <w:tr w14:paraId="7F4F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shd w:val="clear" w:color="auto" w:fill="auto"/>
                  <w:noWrap w:val="0"/>
                  <w:vAlign w:val="center"/>
                </w:tcPr>
                <w:p w14:paraId="30C602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color w:val="auto"/>
                      <w:kern w:val="0"/>
                      <w:sz w:val="21"/>
                      <w:szCs w:val="21"/>
                      <w:vertAlign w:val="baseline"/>
                      <w:lang w:eastAsia="zh-CN"/>
                    </w:rPr>
                    <w:t>改造后干燥粉剂</w:t>
                  </w:r>
                  <w:r>
                    <w:rPr>
                      <w:rFonts w:hint="eastAsia" w:ascii="Times New Roman" w:hAnsi="Times New Roman" w:eastAsia="宋体" w:cs="Times New Roman"/>
                      <w:b w:val="0"/>
                      <w:bCs/>
                      <w:color w:val="auto"/>
                      <w:kern w:val="0"/>
                      <w:sz w:val="21"/>
                      <w:szCs w:val="21"/>
                      <w:vertAlign w:val="baseline"/>
                      <w:lang w:val="en-US" w:eastAsia="zh-CN"/>
                    </w:rPr>
                    <w:t>7200t</w:t>
                  </w:r>
                </w:p>
              </w:tc>
              <w:tc>
                <w:tcPr>
                  <w:tcW w:w="1925" w:type="dxa"/>
                  <w:shd w:val="clear" w:color="auto" w:fill="auto"/>
                  <w:noWrap w:val="0"/>
                  <w:vAlign w:val="center"/>
                </w:tcPr>
                <w:p w14:paraId="2074F0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0.0</w:t>
                  </w:r>
                </w:p>
              </w:tc>
              <w:tc>
                <w:tcPr>
                  <w:tcW w:w="1975" w:type="dxa"/>
                  <w:shd w:val="clear" w:color="auto" w:fill="auto"/>
                  <w:noWrap w:val="0"/>
                  <w:vAlign w:val="center"/>
                </w:tcPr>
                <w:p w14:paraId="7D0CA9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eastAsia="zh-CN"/>
                    </w:rPr>
                  </w:pPr>
                  <w:r>
                    <w:rPr>
                      <w:rFonts w:hint="eastAsia" w:ascii="Times New Roman" w:hAnsi="Times New Roman" w:eastAsia="宋体" w:cs="Times New Roman"/>
                      <w:b w:val="0"/>
                      <w:bCs w:val="0"/>
                      <w:kern w:val="0"/>
                      <w:sz w:val="21"/>
                      <w:szCs w:val="21"/>
                    </w:rPr>
                    <w:t>7439040</w:t>
                  </w:r>
                </w:p>
              </w:tc>
              <w:tc>
                <w:tcPr>
                  <w:tcW w:w="2383" w:type="dxa"/>
                  <w:shd w:val="clear" w:color="auto" w:fill="auto"/>
                  <w:noWrap w:val="0"/>
                  <w:vAlign w:val="center"/>
                </w:tcPr>
                <w:p w14:paraId="172C73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rPr>
                  </w:pPr>
                  <w:r>
                    <w:rPr>
                      <w:rFonts w:hint="eastAsia" w:ascii="Times New Roman" w:hAnsi="Times New Roman" w:eastAsia="宋体" w:cs="Times New Roman"/>
                      <w:sz w:val="21"/>
                      <w:szCs w:val="21"/>
                      <w:lang w:val="en-US" w:eastAsia="zh-CN"/>
                    </w:rPr>
                    <w:t>3956904</w:t>
                  </w:r>
                </w:p>
              </w:tc>
            </w:tr>
          </w:tbl>
          <w:p w14:paraId="1C5FE4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rPr>
            </w:pPr>
            <w:r>
              <w:rPr>
                <w:rFonts w:hint="default" w:ascii="Times New Roman" w:hAnsi="Times New Roman" w:eastAsia="宋体" w:cs="Times New Roman"/>
                <w:b w:val="0"/>
                <w:bCs/>
                <w:color w:val="auto"/>
                <w:kern w:val="0"/>
                <w:sz w:val="24"/>
                <w:szCs w:val="24"/>
                <w:lang w:eastAsia="zh-CN"/>
              </w:rPr>
              <w:t>本次萘系减水剂粉剂产能变为</w:t>
            </w:r>
            <w:r>
              <w:rPr>
                <w:rFonts w:hint="default" w:ascii="Times New Roman" w:hAnsi="Times New Roman" w:eastAsia="宋体" w:cs="Times New Roman"/>
                <w:b w:val="0"/>
                <w:bCs/>
                <w:color w:val="auto"/>
                <w:kern w:val="0"/>
                <w:sz w:val="24"/>
                <w:szCs w:val="24"/>
                <w:lang w:val="en-US" w:eastAsia="zh-CN"/>
              </w:rPr>
              <w:t>7200t</w:t>
            </w:r>
            <w:r>
              <w:rPr>
                <w:rFonts w:hint="eastAsia" w:eastAsia="宋体" w:cs="Times New Roman"/>
                <w:b w:val="0"/>
                <w:bCs/>
                <w:color w:val="auto"/>
                <w:kern w:val="0"/>
                <w:sz w:val="24"/>
                <w:szCs w:val="24"/>
                <w:lang w:val="en-US" w:eastAsia="zh-CN"/>
              </w:rPr>
              <w:t>，</w:t>
            </w:r>
            <w:r>
              <w:rPr>
                <w:rFonts w:hint="default" w:ascii="Times New Roman" w:hAnsi="Times New Roman" w:eastAsia="宋体" w:cs="Times New Roman"/>
                <w:b w:val="0"/>
                <w:bCs/>
                <w:color w:val="auto"/>
                <w:kern w:val="0"/>
                <w:sz w:val="24"/>
                <w:szCs w:val="24"/>
                <w:lang w:val="en-US" w:eastAsia="zh-CN"/>
              </w:rPr>
              <w:t>以新带老措施减少生物质燃料</w:t>
            </w:r>
            <w:r>
              <w:rPr>
                <w:rFonts w:hint="eastAsia" w:eastAsia="宋体" w:cs="Times New Roman"/>
                <w:b w:val="0"/>
                <w:bCs/>
                <w:color w:val="auto"/>
                <w:kern w:val="0"/>
                <w:sz w:val="24"/>
                <w:szCs w:val="24"/>
                <w:lang w:val="en-US" w:eastAsia="zh-CN"/>
              </w:rPr>
              <w:t>15568.36</w:t>
            </w:r>
            <w:r>
              <w:rPr>
                <w:rFonts w:hint="default" w:ascii="Times New Roman" w:hAnsi="Times New Roman" w:eastAsia="宋体" w:cs="Times New Roman"/>
                <w:b w:val="0"/>
                <w:bCs/>
                <w:color w:val="auto"/>
                <w:kern w:val="0"/>
                <w:sz w:val="24"/>
                <w:szCs w:val="24"/>
                <w:lang w:val="en-US" w:eastAsia="zh-CN"/>
              </w:rPr>
              <w:t>t。</w:t>
            </w:r>
          </w:p>
          <w:p w14:paraId="32E86D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4"/>
              </w:rPr>
            </w:pPr>
            <w:r>
              <w:rPr>
                <w:rFonts w:hint="eastAsia"/>
                <w:kern w:val="0"/>
                <w:sz w:val="24"/>
              </w:rPr>
              <w:t>表2-</w:t>
            </w:r>
            <w:r>
              <w:rPr>
                <w:rFonts w:hint="eastAsia"/>
                <w:kern w:val="0"/>
                <w:sz w:val="24"/>
                <w:lang w:val="en-US" w:eastAsia="zh-CN"/>
              </w:rPr>
              <w:t>10</w:t>
            </w:r>
            <w:r>
              <w:rPr>
                <w:rFonts w:hint="eastAsia"/>
                <w:kern w:val="0"/>
                <w:sz w:val="24"/>
              </w:rPr>
              <w:t xml:space="preserve">  热力生产环节产品及产能变化表</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038"/>
              <w:gridCol w:w="1467"/>
              <w:gridCol w:w="1351"/>
              <w:gridCol w:w="1301"/>
            </w:tblGrid>
            <w:tr w14:paraId="17E2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4" w:type="pct"/>
                  <w:vMerge w:val="restart"/>
                  <w:shd w:val="clear" w:color="auto" w:fill="auto"/>
                  <w:noWrap w:val="0"/>
                  <w:vAlign w:val="center"/>
                </w:tcPr>
                <w:p w14:paraId="5BBFE5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kern w:val="0"/>
                      <w:sz w:val="21"/>
                      <w:szCs w:val="21"/>
                      <w:vertAlign w:val="baseline"/>
                      <w:lang w:val="en-US" w:eastAsia="zh-CN"/>
                    </w:rPr>
                    <w:t>燃料</w:t>
                  </w:r>
                </w:p>
              </w:tc>
              <w:tc>
                <w:tcPr>
                  <w:tcW w:w="1727" w:type="pct"/>
                  <w:gridSpan w:val="2"/>
                  <w:shd w:val="clear" w:color="auto" w:fill="auto"/>
                  <w:noWrap w:val="0"/>
                  <w:vAlign w:val="center"/>
                </w:tcPr>
                <w:p w14:paraId="20C260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0"/>
                      <w:sz w:val="21"/>
                      <w:szCs w:val="21"/>
                      <w:vertAlign w:val="baseline"/>
                      <w:lang w:eastAsia="zh-CN"/>
                    </w:rPr>
                  </w:pPr>
                  <w:r>
                    <w:rPr>
                      <w:rFonts w:hint="eastAsia"/>
                      <w:kern w:val="0"/>
                      <w:sz w:val="21"/>
                      <w:szCs w:val="21"/>
                      <w:vertAlign w:val="baseline"/>
                      <w:lang w:eastAsia="zh-CN"/>
                    </w:rPr>
                    <w:t>热风炉工序</w:t>
                  </w:r>
                </w:p>
              </w:tc>
              <w:tc>
                <w:tcPr>
                  <w:tcW w:w="797" w:type="pct"/>
                  <w:vMerge w:val="restart"/>
                  <w:shd w:val="clear" w:color="auto" w:fill="auto"/>
                  <w:noWrap w:val="0"/>
                  <w:vAlign w:val="center"/>
                </w:tcPr>
                <w:p w14:paraId="624720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0"/>
                      <w:sz w:val="21"/>
                      <w:szCs w:val="21"/>
                      <w:vertAlign w:val="baseline"/>
                      <w:lang w:eastAsia="zh-CN"/>
                    </w:rPr>
                  </w:pPr>
                  <w:r>
                    <w:rPr>
                      <w:rFonts w:hint="eastAsia"/>
                      <w:kern w:val="0"/>
                      <w:sz w:val="21"/>
                      <w:szCs w:val="21"/>
                      <w:vertAlign w:val="baseline"/>
                      <w:lang w:eastAsia="zh-CN"/>
                    </w:rPr>
                    <w:t>变化量</w:t>
                  </w:r>
                </w:p>
              </w:tc>
            </w:tr>
            <w:tr w14:paraId="31C3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4" w:type="pct"/>
                  <w:vMerge w:val="continue"/>
                  <w:shd w:val="clear" w:color="auto" w:fill="auto"/>
                  <w:noWrap w:val="0"/>
                  <w:vAlign w:val="center"/>
                </w:tcPr>
                <w:p w14:paraId="327E1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1"/>
                      <w:szCs w:val="21"/>
                      <w:vertAlign w:val="baseline"/>
                      <w:lang w:val="en-US" w:eastAsia="zh-CN"/>
                    </w:rPr>
                  </w:pPr>
                </w:p>
              </w:tc>
              <w:tc>
                <w:tcPr>
                  <w:tcW w:w="899" w:type="pct"/>
                  <w:shd w:val="clear" w:color="auto" w:fill="auto"/>
                  <w:noWrap w:val="0"/>
                  <w:vAlign w:val="center"/>
                </w:tcPr>
                <w:p w14:paraId="4538F0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1"/>
                      <w:szCs w:val="21"/>
                      <w:vertAlign w:val="baseline"/>
                    </w:rPr>
                  </w:pPr>
                  <w:r>
                    <w:rPr>
                      <w:rFonts w:hint="eastAsia"/>
                      <w:kern w:val="0"/>
                      <w:sz w:val="21"/>
                      <w:szCs w:val="21"/>
                      <w:vertAlign w:val="baseline"/>
                      <w:lang w:eastAsia="zh-CN"/>
                    </w:rPr>
                    <w:t>技改前</w:t>
                  </w:r>
                </w:p>
              </w:tc>
              <w:tc>
                <w:tcPr>
                  <w:tcW w:w="828" w:type="pct"/>
                  <w:shd w:val="clear" w:color="auto" w:fill="auto"/>
                  <w:noWrap w:val="0"/>
                  <w:vAlign w:val="center"/>
                </w:tcPr>
                <w:p w14:paraId="3BFDA6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1"/>
                      <w:szCs w:val="21"/>
                      <w:vertAlign w:val="baseline"/>
                    </w:rPr>
                  </w:pPr>
                  <w:r>
                    <w:rPr>
                      <w:rFonts w:hint="eastAsia"/>
                      <w:kern w:val="0"/>
                      <w:sz w:val="21"/>
                      <w:szCs w:val="21"/>
                      <w:vertAlign w:val="baseline"/>
                      <w:lang w:eastAsia="zh-CN"/>
                    </w:rPr>
                    <w:t>技改后</w:t>
                  </w:r>
                </w:p>
              </w:tc>
              <w:tc>
                <w:tcPr>
                  <w:tcW w:w="797" w:type="pct"/>
                  <w:vMerge w:val="continue"/>
                  <w:shd w:val="clear" w:color="auto" w:fill="auto"/>
                  <w:noWrap w:val="0"/>
                  <w:vAlign w:val="center"/>
                </w:tcPr>
                <w:p w14:paraId="4D9776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1"/>
                      <w:szCs w:val="21"/>
                      <w:vertAlign w:val="baseline"/>
                    </w:rPr>
                  </w:pPr>
                </w:p>
              </w:tc>
            </w:tr>
            <w:tr w14:paraId="50AA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4" w:type="pct"/>
                  <w:shd w:val="clear" w:color="auto" w:fill="auto"/>
                  <w:noWrap w:val="0"/>
                  <w:vAlign w:val="center"/>
                </w:tcPr>
                <w:p w14:paraId="505155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0"/>
                      <w:sz w:val="21"/>
                      <w:szCs w:val="21"/>
                      <w:vertAlign w:val="baseline"/>
                      <w:lang w:eastAsia="zh-CN"/>
                    </w:rPr>
                  </w:pPr>
                  <w:r>
                    <w:rPr>
                      <w:rFonts w:hint="eastAsia"/>
                      <w:kern w:val="0"/>
                      <w:sz w:val="21"/>
                      <w:szCs w:val="21"/>
                      <w:vertAlign w:val="baseline"/>
                      <w:lang w:eastAsia="zh-CN"/>
                    </w:rPr>
                    <w:t>生物质燃料使用量（</w:t>
                  </w:r>
                  <w:r>
                    <w:rPr>
                      <w:rFonts w:hint="eastAsia"/>
                      <w:kern w:val="0"/>
                      <w:sz w:val="21"/>
                      <w:szCs w:val="21"/>
                      <w:vertAlign w:val="baseline"/>
                      <w:lang w:val="en-US" w:eastAsia="zh-CN"/>
                    </w:rPr>
                    <w:t>t/a</w:t>
                  </w:r>
                  <w:r>
                    <w:rPr>
                      <w:rFonts w:hint="eastAsia"/>
                      <w:kern w:val="0"/>
                      <w:sz w:val="21"/>
                      <w:szCs w:val="21"/>
                      <w:vertAlign w:val="baseline"/>
                      <w:lang w:eastAsia="zh-CN"/>
                    </w:rPr>
                    <w:t>）</w:t>
                  </w:r>
                </w:p>
              </w:tc>
              <w:tc>
                <w:tcPr>
                  <w:tcW w:w="899" w:type="pct"/>
                  <w:shd w:val="clear" w:color="auto" w:fill="auto"/>
                  <w:noWrap w:val="0"/>
                  <w:vAlign w:val="center"/>
                </w:tcPr>
                <w:p w14:paraId="2A341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15568.36</w:t>
                  </w:r>
                </w:p>
              </w:tc>
              <w:tc>
                <w:tcPr>
                  <w:tcW w:w="828" w:type="pct"/>
                  <w:shd w:val="clear" w:color="auto" w:fill="auto"/>
                  <w:noWrap w:val="0"/>
                  <w:vAlign w:val="center"/>
                </w:tcPr>
                <w:p w14:paraId="41A72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kern w:val="0"/>
                      <w:sz w:val="21"/>
                      <w:szCs w:val="21"/>
                      <w:vertAlign w:val="baseline"/>
                      <w:lang w:val="en-US" w:eastAsia="zh-CN"/>
                    </w:rPr>
                    <w:t>0.0</w:t>
                  </w:r>
                </w:p>
              </w:tc>
              <w:tc>
                <w:tcPr>
                  <w:tcW w:w="797" w:type="pct"/>
                  <w:shd w:val="clear" w:color="auto" w:fill="auto"/>
                  <w:noWrap w:val="0"/>
                  <w:vAlign w:val="center"/>
                </w:tcPr>
                <w:p w14:paraId="1F7129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kern w:val="0"/>
                      <w:sz w:val="21"/>
                      <w:szCs w:val="21"/>
                      <w:vertAlign w:val="baseline"/>
                      <w:lang w:val="en-US" w:eastAsia="zh-CN"/>
                    </w:rPr>
                    <w:t>-15568.36</w:t>
                  </w:r>
                </w:p>
              </w:tc>
            </w:tr>
            <w:tr w14:paraId="5E10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4" w:type="pct"/>
                  <w:shd w:val="clear" w:color="auto" w:fill="auto"/>
                  <w:noWrap w:val="0"/>
                  <w:vAlign w:val="center"/>
                </w:tcPr>
                <w:p w14:paraId="617D5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1"/>
                      <w:szCs w:val="21"/>
                      <w:vertAlign w:val="baseline"/>
                    </w:rPr>
                  </w:pPr>
                  <w:r>
                    <w:rPr>
                      <w:rFonts w:hint="eastAsia"/>
                      <w:kern w:val="0"/>
                      <w:sz w:val="21"/>
                      <w:szCs w:val="21"/>
                      <w:vertAlign w:val="baseline"/>
                      <w:lang w:eastAsia="zh-CN"/>
                    </w:rPr>
                    <w:t>热风炉使用</w:t>
                  </w:r>
                  <w:r>
                    <w:rPr>
                      <w:rFonts w:hint="eastAsia"/>
                      <w:kern w:val="0"/>
                      <w:sz w:val="21"/>
                      <w:szCs w:val="21"/>
                      <w:lang w:val="en-US" w:eastAsia="zh-CN"/>
                    </w:rPr>
                    <w:t>甲醛尾气</w:t>
                  </w:r>
                  <w:r>
                    <w:rPr>
                      <w:rFonts w:hint="eastAsia"/>
                      <w:kern w:val="0"/>
                      <w:sz w:val="21"/>
                      <w:szCs w:val="21"/>
                      <w:vertAlign w:val="baseline"/>
                      <w:lang w:eastAsia="zh-CN"/>
                    </w:rPr>
                    <w:t>量（</w:t>
                  </w:r>
                  <w:r>
                    <w:rPr>
                      <w:rFonts w:hint="eastAsia"/>
                      <w:kern w:val="0"/>
                      <w:sz w:val="21"/>
                      <w:szCs w:val="21"/>
                      <w:vertAlign w:val="baseline"/>
                      <w:lang w:val="en-US" w:eastAsia="zh-CN"/>
                    </w:rPr>
                    <w:t>t/a</w:t>
                  </w:r>
                  <w:r>
                    <w:rPr>
                      <w:rFonts w:hint="eastAsia"/>
                      <w:kern w:val="0"/>
                      <w:sz w:val="21"/>
                      <w:szCs w:val="21"/>
                      <w:vertAlign w:val="baseline"/>
                      <w:lang w:eastAsia="zh-CN"/>
                    </w:rPr>
                    <w:t>）</w:t>
                  </w:r>
                </w:p>
              </w:tc>
              <w:tc>
                <w:tcPr>
                  <w:tcW w:w="899" w:type="pct"/>
                  <w:shd w:val="clear" w:color="auto" w:fill="auto"/>
                  <w:noWrap w:val="0"/>
                  <w:vAlign w:val="center"/>
                </w:tcPr>
                <w:p w14:paraId="4494C7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kern w:val="0"/>
                      <w:sz w:val="21"/>
                      <w:szCs w:val="21"/>
                      <w:vertAlign w:val="baseline"/>
                      <w:lang w:val="en-US" w:eastAsia="zh-CN"/>
                    </w:rPr>
                    <w:t>0.0</w:t>
                  </w:r>
                </w:p>
              </w:tc>
              <w:tc>
                <w:tcPr>
                  <w:tcW w:w="828" w:type="pct"/>
                  <w:shd w:val="clear" w:color="auto" w:fill="auto"/>
                  <w:noWrap w:val="0"/>
                  <w:vAlign w:val="center"/>
                </w:tcPr>
                <w:p w14:paraId="1B814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1"/>
                      <w:szCs w:val="21"/>
                      <w:vertAlign w:val="baseline"/>
                    </w:rPr>
                  </w:pPr>
                  <w:r>
                    <w:rPr>
                      <w:rFonts w:hint="eastAsia"/>
                      <w:kern w:val="0"/>
                      <w:sz w:val="21"/>
                      <w:szCs w:val="21"/>
                      <w:lang w:val="en-US" w:eastAsia="zh-CN"/>
                    </w:rPr>
                    <w:t>4162.79</w:t>
                  </w:r>
                </w:p>
              </w:tc>
              <w:tc>
                <w:tcPr>
                  <w:tcW w:w="797" w:type="pct"/>
                  <w:shd w:val="clear" w:color="auto" w:fill="auto"/>
                  <w:noWrap w:val="0"/>
                  <w:vAlign w:val="center"/>
                </w:tcPr>
                <w:p w14:paraId="353769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kern w:val="0"/>
                      <w:sz w:val="21"/>
                      <w:szCs w:val="21"/>
                      <w:vertAlign w:val="baseline"/>
                      <w:lang w:val="en-US" w:eastAsia="zh-CN"/>
                    </w:rPr>
                    <w:t>+4162.79</w:t>
                  </w:r>
                </w:p>
              </w:tc>
            </w:tr>
            <w:tr w14:paraId="2116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4" w:type="pct"/>
                  <w:shd w:val="clear" w:color="auto" w:fill="auto"/>
                  <w:noWrap w:val="0"/>
                  <w:vAlign w:val="center"/>
                </w:tcPr>
                <w:p w14:paraId="23DAD9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0"/>
                      <w:sz w:val="21"/>
                      <w:szCs w:val="21"/>
                      <w:vertAlign w:val="baseline"/>
                      <w:lang w:eastAsia="zh-CN"/>
                    </w:rPr>
                  </w:pPr>
                  <w:r>
                    <w:rPr>
                      <w:rFonts w:hint="eastAsia"/>
                      <w:kern w:val="0"/>
                      <w:sz w:val="21"/>
                      <w:szCs w:val="21"/>
                      <w:vertAlign w:val="baseline"/>
                      <w:lang w:eastAsia="zh-CN"/>
                    </w:rPr>
                    <w:t>甲醛生产线尾气产生量（</w:t>
                  </w:r>
                  <w:r>
                    <w:rPr>
                      <w:rFonts w:hint="eastAsia"/>
                      <w:kern w:val="0"/>
                      <w:sz w:val="21"/>
                      <w:szCs w:val="21"/>
                      <w:vertAlign w:val="baseline"/>
                      <w:lang w:val="en-US" w:eastAsia="zh-CN"/>
                    </w:rPr>
                    <w:t>t/a</w:t>
                  </w:r>
                  <w:r>
                    <w:rPr>
                      <w:rFonts w:hint="eastAsia"/>
                      <w:kern w:val="0"/>
                      <w:sz w:val="21"/>
                      <w:szCs w:val="21"/>
                      <w:vertAlign w:val="baseline"/>
                      <w:lang w:eastAsia="zh-CN"/>
                    </w:rPr>
                    <w:t>）</w:t>
                  </w:r>
                </w:p>
              </w:tc>
              <w:tc>
                <w:tcPr>
                  <w:tcW w:w="899" w:type="pct"/>
                  <w:shd w:val="clear" w:color="auto" w:fill="auto"/>
                  <w:noWrap w:val="0"/>
                  <w:vAlign w:val="center"/>
                </w:tcPr>
                <w:p w14:paraId="4E266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ascii="Times New Roman" w:hAnsi="Times New Roman" w:eastAsia="宋体" w:cs="Times New Roman"/>
                      <w:sz w:val="21"/>
                      <w:szCs w:val="21"/>
                      <w:lang w:val="en-US" w:eastAsia="zh-CN"/>
                    </w:rPr>
                    <w:t>34191.03</w:t>
                  </w:r>
                </w:p>
              </w:tc>
              <w:tc>
                <w:tcPr>
                  <w:tcW w:w="828" w:type="pct"/>
                  <w:shd w:val="clear" w:color="auto" w:fill="auto"/>
                  <w:noWrap w:val="0"/>
                  <w:vAlign w:val="center"/>
                </w:tcPr>
                <w:p w14:paraId="593B88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ascii="Times New Roman" w:hAnsi="Times New Roman" w:eastAsia="宋体" w:cs="Times New Roman"/>
                      <w:sz w:val="21"/>
                      <w:szCs w:val="21"/>
                      <w:lang w:val="en-US" w:eastAsia="zh-CN"/>
                    </w:rPr>
                    <w:t>34191.03</w:t>
                  </w:r>
                </w:p>
              </w:tc>
              <w:tc>
                <w:tcPr>
                  <w:tcW w:w="797" w:type="pct"/>
                  <w:shd w:val="clear" w:color="auto" w:fill="auto"/>
                  <w:noWrap w:val="0"/>
                  <w:vAlign w:val="center"/>
                </w:tcPr>
                <w:p w14:paraId="2CF7EE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vertAlign w:val="baseline"/>
                      <w:lang w:val="en-US" w:eastAsia="zh-CN"/>
                    </w:rPr>
                  </w:pPr>
                  <w:r>
                    <w:rPr>
                      <w:rFonts w:hint="eastAsia"/>
                      <w:kern w:val="0"/>
                      <w:sz w:val="21"/>
                      <w:szCs w:val="21"/>
                      <w:vertAlign w:val="baseline"/>
                      <w:lang w:val="en-US" w:eastAsia="zh-CN"/>
                    </w:rPr>
                    <w:t>0.0</w:t>
                  </w:r>
                </w:p>
              </w:tc>
            </w:tr>
          </w:tbl>
          <w:p w14:paraId="4BAD5833">
            <w:pPr>
              <w:spacing w:line="500" w:lineRule="exact"/>
              <w:ind w:firstLine="480" w:firstLineChars="200"/>
              <w:jc w:val="left"/>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根据上表，技改后</w:t>
            </w:r>
            <w:r>
              <w:rPr>
                <w:rFonts w:hint="eastAsia" w:ascii="Times New Roman" w:hAnsi="Times New Roman" w:eastAsia="宋体" w:cs="Times New Roman"/>
                <w:kern w:val="0"/>
                <w:sz w:val="24"/>
                <w:lang w:eastAsia="zh-CN"/>
              </w:rPr>
              <w:t>甲醛尾气</w:t>
            </w:r>
            <w:r>
              <w:rPr>
                <w:rFonts w:hint="eastAsia" w:ascii="Times New Roman" w:hAnsi="Times New Roman" w:eastAsia="宋体" w:cs="Times New Roman"/>
                <w:kern w:val="0"/>
                <w:sz w:val="24"/>
              </w:rPr>
              <w:t>的利用率有所提高，</w:t>
            </w:r>
            <w:r>
              <w:rPr>
                <w:rFonts w:hint="eastAsia" w:ascii="Times New Roman" w:hAnsi="Times New Roman" w:eastAsia="宋体" w:cs="Times New Roman"/>
                <w:kern w:val="0"/>
                <w:sz w:val="24"/>
                <w:lang w:eastAsia="zh-CN"/>
              </w:rPr>
              <w:t>减少生物质燃料的使用量，同时原有甲醛生产线甲醛尾气的产生量可以满足本项目的生产需要。</w:t>
            </w:r>
          </w:p>
          <w:p w14:paraId="7B8F66D2">
            <w:pPr>
              <w:pStyle w:val="40"/>
              <w:keepNext w:val="0"/>
              <w:keepLines w:val="0"/>
              <w:pageBreakBefore w:val="0"/>
              <w:widowControl w:val="0"/>
              <w:kinsoku/>
              <w:wordWrap/>
              <w:overflowPunct/>
              <w:topLinePunct w:val="0"/>
              <w:autoSpaceDE/>
              <w:autoSpaceDN/>
              <w:bidi w:val="0"/>
              <w:adjustRightInd/>
              <w:snapToGrid w:val="0"/>
              <w:spacing w:after="0"/>
              <w:ind w:left="0" w:leftChars="0" w:firstLine="0" w:firstLineChars="0"/>
              <w:jc w:val="center"/>
              <w:textAlignment w:val="auto"/>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object>
                <v:shape id="_x0000_i1030" o:spt="75" type="#_x0000_t75" style="height:143.25pt;width:295.5pt;" o:ole="t" filled="f" o:preferrelative="t" stroked="t" coordsize="21600,21600">
                  <v:path/>
                  <v:fill on="f" focussize="0,0"/>
                  <v:stroke joinstyle="miter"/>
                  <v:imagedata r:id="rId17" o:title=""/>
                  <o:lock v:ext="edit" aspectratio="t"/>
                  <w10:wrap type="none"/>
                  <w10:anchorlock/>
                </v:shape>
                <o:OLEObject Type="Embed" ProgID="Visio.Drawing.11" ShapeID="_x0000_i1030" DrawAspect="Content" ObjectID="_1468075727" r:id="rId16">
                  <o:LockedField>false</o:LockedField>
                </o:OLEObject>
              </w:object>
            </w:r>
          </w:p>
          <w:p w14:paraId="73C96D31">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sz w:val="24"/>
                <w:szCs w:val="24"/>
                <w:lang w:val="en-US" w:eastAsia="zh-CN"/>
              </w:rPr>
            </w:pPr>
            <w:r>
              <w:rPr>
                <w:rFonts w:hint="eastAsia"/>
                <w:sz w:val="24"/>
                <w:szCs w:val="24"/>
                <w:lang w:eastAsia="zh-CN"/>
              </w:rPr>
              <w:t>图</w:t>
            </w:r>
            <w:r>
              <w:rPr>
                <w:rFonts w:hint="eastAsia"/>
                <w:sz w:val="24"/>
                <w:szCs w:val="24"/>
                <w:lang w:val="en-US" w:eastAsia="zh-CN"/>
              </w:rPr>
              <w:t>2-3  甲醛尾气平衡图  单位：t/a</w:t>
            </w:r>
          </w:p>
          <w:p w14:paraId="1E9AD6F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b/>
                <w:kern w:val="0"/>
                <w:sz w:val="24"/>
              </w:rPr>
              <w:t>4</w:t>
            </w:r>
            <w:r>
              <w:rPr>
                <w:rFonts w:hint="eastAsia" w:hAnsi="宋体"/>
                <w:b/>
                <w:kern w:val="0"/>
                <w:sz w:val="24"/>
                <w:lang w:val="en-US" w:eastAsia="zh-CN"/>
              </w:rPr>
              <w:t>.</w:t>
            </w:r>
            <w:r>
              <w:rPr>
                <w:rFonts w:hAnsi="宋体"/>
                <w:b/>
                <w:kern w:val="0"/>
                <w:sz w:val="24"/>
              </w:rPr>
              <w:t>生产设施</w:t>
            </w:r>
          </w:p>
          <w:p w14:paraId="23BEE1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r>
              <w:rPr>
                <w:rFonts w:hint="eastAsia"/>
                <w:kern w:val="0"/>
                <w:sz w:val="24"/>
                <w:lang w:eastAsia="zh-CN"/>
              </w:rPr>
              <w:t>萘系减水剂粉剂生产线拆除现有干燥塔及热风炉，本次重建涉及的</w:t>
            </w:r>
            <w:r>
              <w:rPr>
                <w:kern w:val="0"/>
                <w:sz w:val="24"/>
              </w:rPr>
              <w:t>生产设施或环保设施见下表。</w:t>
            </w:r>
          </w:p>
          <w:p w14:paraId="31D38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kern w:val="0"/>
                <w:sz w:val="24"/>
              </w:rPr>
            </w:pPr>
            <w:r>
              <w:rPr>
                <w:rFonts w:hint="eastAsia"/>
                <w:kern w:val="0"/>
                <w:sz w:val="24"/>
              </w:rPr>
              <w:t>表2-</w:t>
            </w:r>
            <w:r>
              <w:rPr>
                <w:rFonts w:hint="eastAsia"/>
                <w:kern w:val="0"/>
                <w:sz w:val="24"/>
                <w:lang w:val="en-US" w:eastAsia="zh-CN"/>
              </w:rPr>
              <w:t>11</w:t>
            </w:r>
            <w:r>
              <w:rPr>
                <w:rFonts w:hint="eastAsia"/>
                <w:kern w:val="0"/>
                <w:sz w:val="24"/>
              </w:rPr>
              <w:t xml:space="preserve">  生产设施一览表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4"/>
              <w:gridCol w:w="516"/>
              <w:gridCol w:w="1363"/>
              <w:gridCol w:w="1934"/>
              <w:gridCol w:w="800"/>
              <w:gridCol w:w="1196"/>
              <w:gridCol w:w="1684"/>
            </w:tblGrid>
            <w:tr w14:paraId="06D9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26B94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eastAsia="zh-CN"/>
                    </w:rPr>
                  </w:pPr>
                  <w:r>
                    <w:rPr>
                      <w:rFonts w:hint="eastAsia" w:ascii="Times New Roman" w:hAnsi="Times New Roman" w:eastAsia="宋体" w:cs="Times New Roman"/>
                      <w:b w:val="0"/>
                      <w:bCs/>
                      <w:color w:val="000000"/>
                      <w:sz w:val="21"/>
                      <w:szCs w:val="21"/>
                      <w:lang w:eastAsia="zh-CN"/>
                    </w:rPr>
                    <w:t>序号</w:t>
                  </w:r>
                </w:p>
              </w:tc>
              <w:tc>
                <w:tcPr>
                  <w:tcW w:w="1151" w:type="pct"/>
                  <w:gridSpan w:val="2"/>
                  <w:shd w:val="clear" w:color="auto" w:fill="auto"/>
                  <w:noWrap w:val="0"/>
                  <w:vAlign w:val="center"/>
                </w:tcPr>
                <w:p w14:paraId="73A95A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名称</w:t>
                  </w:r>
                </w:p>
              </w:tc>
              <w:tc>
                <w:tcPr>
                  <w:tcW w:w="1185" w:type="pct"/>
                  <w:shd w:val="clear" w:color="auto" w:fill="auto"/>
                  <w:noWrap w:val="0"/>
                  <w:vAlign w:val="center"/>
                </w:tcPr>
                <w:p w14:paraId="5F5D53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eastAsia="zh-CN"/>
                    </w:rPr>
                  </w:pPr>
                  <w:r>
                    <w:rPr>
                      <w:rFonts w:hint="eastAsia" w:ascii="Times New Roman" w:hAnsi="Times New Roman" w:eastAsia="宋体" w:cs="Times New Roman"/>
                      <w:b w:val="0"/>
                      <w:bCs/>
                      <w:color w:val="000000"/>
                      <w:sz w:val="21"/>
                      <w:szCs w:val="21"/>
                      <w:lang w:eastAsia="zh-CN"/>
                    </w:rPr>
                    <w:t>参数</w:t>
                  </w:r>
                </w:p>
              </w:tc>
              <w:tc>
                <w:tcPr>
                  <w:tcW w:w="490" w:type="pct"/>
                  <w:shd w:val="clear" w:color="auto" w:fill="auto"/>
                  <w:noWrap w:val="0"/>
                  <w:vAlign w:val="center"/>
                </w:tcPr>
                <w:p w14:paraId="091C44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pacing w:val="-20"/>
                      <w:sz w:val="21"/>
                      <w:szCs w:val="21"/>
                    </w:rPr>
                  </w:pPr>
                  <w:r>
                    <w:rPr>
                      <w:rFonts w:ascii="Times New Roman" w:hAnsi="Times New Roman" w:eastAsia="宋体" w:cs="Times New Roman"/>
                      <w:b w:val="0"/>
                      <w:bCs/>
                      <w:color w:val="000000"/>
                      <w:spacing w:val="-20"/>
                      <w:sz w:val="21"/>
                      <w:szCs w:val="21"/>
                    </w:rPr>
                    <w:t>数 量</w:t>
                  </w:r>
                </w:p>
              </w:tc>
              <w:tc>
                <w:tcPr>
                  <w:tcW w:w="733" w:type="pct"/>
                  <w:shd w:val="clear" w:color="auto" w:fill="auto"/>
                  <w:noWrap w:val="0"/>
                  <w:vAlign w:val="center"/>
                </w:tcPr>
                <w:p w14:paraId="1CEEBA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材质</w:t>
                  </w:r>
                </w:p>
              </w:tc>
              <w:tc>
                <w:tcPr>
                  <w:tcW w:w="1032" w:type="pct"/>
                  <w:shd w:val="clear" w:color="auto" w:fill="auto"/>
                  <w:noWrap w:val="0"/>
                  <w:vAlign w:val="center"/>
                </w:tcPr>
                <w:p w14:paraId="1EA99B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备   注</w:t>
                  </w:r>
                </w:p>
              </w:tc>
            </w:tr>
            <w:tr w14:paraId="507B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7F3DC8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w:t>
                  </w:r>
                </w:p>
              </w:tc>
              <w:tc>
                <w:tcPr>
                  <w:tcW w:w="316" w:type="pct"/>
                  <w:vMerge w:val="restart"/>
                  <w:shd w:val="clear" w:color="auto" w:fill="auto"/>
                  <w:noWrap w:val="0"/>
                  <w:vAlign w:val="center"/>
                </w:tcPr>
                <w:p w14:paraId="0EC20D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热</w:t>
                  </w:r>
                </w:p>
                <w:p w14:paraId="494B9E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风</w:t>
                  </w:r>
                </w:p>
                <w:p w14:paraId="4D9FC7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系</w:t>
                  </w:r>
                </w:p>
                <w:p w14:paraId="3E478036">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s="Times New Roman"/>
                      <w:b w:val="0"/>
                      <w:bCs/>
                      <w:sz w:val="21"/>
                      <w:szCs w:val="21"/>
                    </w:rPr>
                  </w:pPr>
                  <w:r>
                    <w:rPr>
                      <w:rFonts w:ascii="Times New Roman" w:hAnsi="Times New Roman" w:eastAsia="宋体" w:cs="Times New Roman"/>
                      <w:b w:val="0"/>
                      <w:bCs/>
                      <w:color w:val="000000"/>
                      <w:sz w:val="21"/>
                      <w:szCs w:val="21"/>
                    </w:rPr>
                    <w:t>统</w:t>
                  </w:r>
                </w:p>
              </w:tc>
              <w:tc>
                <w:tcPr>
                  <w:tcW w:w="835" w:type="pct"/>
                  <w:shd w:val="clear" w:color="auto" w:fill="auto"/>
                  <w:noWrap w:val="0"/>
                  <w:vAlign w:val="center"/>
                </w:tcPr>
                <w:p w14:paraId="7F9771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甲醛尾气热风炉</w:t>
                  </w:r>
                </w:p>
              </w:tc>
              <w:tc>
                <w:tcPr>
                  <w:tcW w:w="1185" w:type="pct"/>
                  <w:shd w:val="clear" w:color="auto" w:fill="auto"/>
                  <w:noWrap w:val="0"/>
                  <w:vAlign w:val="center"/>
                </w:tcPr>
                <w:p w14:paraId="1AEE7F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Φ2400</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6050</w:t>
                  </w:r>
                </w:p>
              </w:tc>
              <w:tc>
                <w:tcPr>
                  <w:tcW w:w="490" w:type="pct"/>
                  <w:shd w:val="clear" w:color="auto" w:fill="auto"/>
                  <w:noWrap w:val="0"/>
                  <w:vAlign w:val="center"/>
                </w:tcPr>
                <w:p w14:paraId="7B4FDD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5E13EC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7A98C4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内胆不锈钢 δ4mm</w:t>
                  </w:r>
                </w:p>
              </w:tc>
            </w:tr>
            <w:tr w14:paraId="3102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BCF44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w:t>
                  </w:r>
                </w:p>
              </w:tc>
              <w:tc>
                <w:tcPr>
                  <w:tcW w:w="316" w:type="pct"/>
                  <w:vMerge w:val="continue"/>
                  <w:shd w:val="clear" w:color="auto" w:fill="auto"/>
                  <w:noWrap w:val="0"/>
                  <w:vAlign w:val="top"/>
                </w:tcPr>
                <w:p w14:paraId="746EF050">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6F676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燃烧器</w:t>
                  </w:r>
                </w:p>
              </w:tc>
              <w:tc>
                <w:tcPr>
                  <w:tcW w:w="1185" w:type="pct"/>
                  <w:shd w:val="clear" w:color="auto" w:fill="auto"/>
                  <w:noWrap w:val="0"/>
                  <w:vAlign w:val="center"/>
                </w:tcPr>
                <w:p w14:paraId="21D69D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分体式燃烧器、风机功率：7.5kW</w:t>
                  </w:r>
                </w:p>
              </w:tc>
              <w:tc>
                <w:tcPr>
                  <w:tcW w:w="490" w:type="pct"/>
                  <w:shd w:val="clear" w:color="auto" w:fill="auto"/>
                  <w:noWrap w:val="0"/>
                  <w:vAlign w:val="center"/>
                </w:tcPr>
                <w:p w14:paraId="1B95A3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747261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01D0E5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美国斯曼伯恩</w:t>
                  </w:r>
                </w:p>
              </w:tc>
            </w:tr>
            <w:tr w14:paraId="7AE5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122348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w:t>
                  </w:r>
                </w:p>
              </w:tc>
              <w:tc>
                <w:tcPr>
                  <w:tcW w:w="316" w:type="pct"/>
                  <w:vMerge w:val="continue"/>
                  <w:shd w:val="clear" w:color="auto" w:fill="auto"/>
                  <w:noWrap w:val="0"/>
                  <w:vAlign w:val="top"/>
                </w:tcPr>
                <w:p w14:paraId="206B2A87">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519B2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阀组及仪表</w:t>
                  </w:r>
                </w:p>
              </w:tc>
              <w:tc>
                <w:tcPr>
                  <w:tcW w:w="1185" w:type="pct"/>
                  <w:shd w:val="clear" w:color="auto" w:fill="auto"/>
                  <w:noWrap w:val="0"/>
                  <w:vAlign w:val="center"/>
                </w:tcPr>
                <w:p w14:paraId="2D4C2F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w:t>
                  </w:r>
                </w:p>
              </w:tc>
              <w:tc>
                <w:tcPr>
                  <w:tcW w:w="490" w:type="pct"/>
                  <w:shd w:val="clear" w:color="auto" w:fill="auto"/>
                  <w:noWrap w:val="0"/>
                  <w:vAlign w:val="center"/>
                </w:tcPr>
                <w:p w14:paraId="1E0886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4318EE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6D3219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r>
            <w:tr w14:paraId="7FA3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078E8C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w:t>
                  </w:r>
                </w:p>
              </w:tc>
              <w:tc>
                <w:tcPr>
                  <w:tcW w:w="316" w:type="pct"/>
                  <w:vMerge w:val="continue"/>
                  <w:shd w:val="clear" w:color="auto" w:fill="auto"/>
                  <w:noWrap w:val="0"/>
                  <w:vAlign w:val="top"/>
                </w:tcPr>
                <w:p w14:paraId="7E83329A">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756AD5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燃烧器</w:t>
                  </w:r>
                </w:p>
                <w:p w14:paraId="3CB0FA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火口座</w:t>
                  </w:r>
                </w:p>
              </w:tc>
              <w:tc>
                <w:tcPr>
                  <w:tcW w:w="1185" w:type="pct"/>
                  <w:shd w:val="clear" w:color="auto" w:fill="auto"/>
                  <w:noWrap w:val="0"/>
                  <w:vAlign w:val="center"/>
                </w:tcPr>
                <w:p w14:paraId="5895BE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w:t>
                  </w:r>
                </w:p>
              </w:tc>
              <w:tc>
                <w:tcPr>
                  <w:tcW w:w="490" w:type="pct"/>
                  <w:shd w:val="clear" w:color="auto" w:fill="auto"/>
                  <w:noWrap w:val="0"/>
                  <w:vAlign w:val="center"/>
                </w:tcPr>
                <w:p w14:paraId="62F737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57FEEB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792FFE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r>
            <w:tr w14:paraId="73FC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7D4262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5</w:t>
                  </w:r>
                </w:p>
              </w:tc>
              <w:tc>
                <w:tcPr>
                  <w:tcW w:w="316" w:type="pct"/>
                  <w:vMerge w:val="continue"/>
                  <w:shd w:val="clear" w:color="auto" w:fill="auto"/>
                  <w:noWrap w:val="0"/>
                  <w:vAlign w:val="top"/>
                </w:tcPr>
                <w:p w14:paraId="1B34388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267E3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炉体配风阀及看火门</w:t>
                  </w:r>
                </w:p>
              </w:tc>
              <w:tc>
                <w:tcPr>
                  <w:tcW w:w="1185" w:type="pct"/>
                  <w:shd w:val="clear" w:color="auto" w:fill="auto"/>
                  <w:noWrap w:val="0"/>
                  <w:vAlign w:val="center"/>
                </w:tcPr>
                <w:p w14:paraId="053B6C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4501EF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2653DA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169EFE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r>
            <w:tr w14:paraId="2E6F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7D5A9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6</w:t>
                  </w:r>
                </w:p>
              </w:tc>
              <w:tc>
                <w:tcPr>
                  <w:tcW w:w="316" w:type="pct"/>
                  <w:vMerge w:val="continue"/>
                  <w:shd w:val="clear" w:color="auto" w:fill="auto"/>
                  <w:noWrap w:val="0"/>
                  <w:vAlign w:val="top"/>
                </w:tcPr>
                <w:p w14:paraId="39955E87">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4EBB2F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配风室</w:t>
                  </w:r>
                </w:p>
              </w:tc>
              <w:tc>
                <w:tcPr>
                  <w:tcW w:w="1185" w:type="pct"/>
                  <w:shd w:val="clear" w:color="auto" w:fill="auto"/>
                  <w:noWrap w:val="0"/>
                  <w:vAlign w:val="center"/>
                </w:tcPr>
                <w:p w14:paraId="758F2F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尺寸：Φ1595</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1500</w:t>
                  </w:r>
                </w:p>
              </w:tc>
              <w:tc>
                <w:tcPr>
                  <w:tcW w:w="490" w:type="pct"/>
                  <w:shd w:val="clear" w:color="auto" w:fill="auto"/>
                  <w:noWrap w:val="0"/>
                  <w:vAlign w:val="center"/>
                </w:tcPr>
                <w:p w14:paraId="13ADEE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434B8E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1032" w:type="pct"/>
                  <w:shd w:val="clear" w:color="auto" w:fill="auto"/>
                  <w:noWrap w:val="0"/>
                  <w:vAlign w:val="center"/>
                </w:tcPr>
                <w:p w14:paraId="312A2D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r>
            <w:tr w14:paraId="1451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5F7C44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7</w:t>
                  </w:r>
                </w:p>
              </w:tc>
              <w:tc>
                <w:tcPr>
                  <w:tcW w:w="316" w:type="pct"/>
                  <w:vMerge w:val="continue"/>
                  <w:shd w:val="clear" w:color="auto" w:fill="auto"/>
                  <w:noWrap w:val="0"/>
                  <w:vAlign w:val="top"/>
                </w:tcPr>
                <w:p w14:paraId="73561D5E">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5FF175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电控柜控制系统</w:t>
                  </w:r>
                </w:p>
              </w:tc>
              <w:tc>
                <w:tcPr>
                  <w:tcW w:w="1185" w:type="pct"/>
                  <w:shd w:val="clear" w:color="auto" w:fill="auto"/>
                  <w:noWrap w:val="0"/>
                  <w:vAlign w:val="center"/>
                </w:tcPr>
                <w:p w14:paraId="024C58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5DDF8C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14D9DA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1658AF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温度显示、自动控制</w:t>
                  </w:r>
                </w:p>
              </w:tc>
            </w:tr>
            <w:tr w14:paraId="77A8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10D073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8</w:t>
                  </w:r>
                </w:p>
              </w:tc>
              <w:tc>
                <w:tcPr>
                  <w:tcW w:w="316" w:type="pct"/>
                  <w:vMerge w:val="restart"/>
                  <w:shd w:val="clear" w:color="auto" w:fill="auto"/>
                  <w:noWrap w:val="0"/>
                  <w:vAlign w:val="center"/>
                </w:tcPr>
                <w:p w14:paraId="725241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干</w:t>
                  </w:r>
                </w:p>
                <w:p w14:paraId="7DA3CD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燥</w:t>
                  </w:r>
                </w:p>
                <w:p w14:paraId="75E67F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系</w:t>
                  </w:r>
                </w:p>
                <w:p w14:paraId="0D9EAE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sz w:val="21"/>
                      <w:szCs w:val="21"/>
                    </w:rPr>
                  </w:pPr>
                  <w:r>
                    <w:rPr>
                      <w:rFonts w:ascii="Times New Roman" w:hAnsi="Times New Roman" w:eastAsia="宋体" w:cs="Times New Roman"/>
                      <w:b w:val="0"/>
                      <w:bCs/>
                      <w:color w:val="000000"/>
                      <w:sz w:val="21"/>
                      <w:szCs w:val="21"/>
                    </w:rPr>
                    <w:t>统</w:t>
                  </w:r>
                </w:p>
              </w:tc>
              <w:tc>
                <w:tcPr>
                  <w:tcW w:w="835" w:type="pct"/>
                  <w:shd w:val="clear" w:color="auto" w:fill="auto"/>
                  <w:noWrap w:val="0"/>
                  <w:vAlign w:val="center"/>
                </w:tcPr>
                <w:p w14:paraId="1AE8CC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主塔内胆</w:t>
                  </w:r>
                </w:p>
              </w:tc>
              <w:tc>
                <w:tcPr>
                  <w:tcW w:w="1185" w:type="pct"/>
                  <w:shd w:val="clear" w:color="auto" w:fill="auto"/>
                  <w:noWrap w:val="0"/>
                  <w:vAlign w:val="center"/>
                </w:tcPr>
                <w:p w14:paraId="1EEDCC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尺寸：Φ6800</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16500</w:t>
                  </w:r>
                </w:p>
              </w:tc>
              <w:tc>
                <w:tcPr>
                  <w:tcW w:w="490" w:type="pct"/>
                  <w:shd w:val="clear" w:color="auto" w:fill="auto"/>
                  <w:noWrap w:val="0"/>
                  <w:vAlign w:val="center"/>
                </w:tcPr>
                <w:p w14:paraId="56BBF0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73C234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304</w:t>
                  </w:r>
                </w:p>
              </w:tc>
              <w:tc>
                <w:tcPr>
                  <w:tcW w:w="1032" w:type="pct"/>
                  <w:shd w:val="clear" w:color="auto" w:fill="auto"/>
                  <w:noWrap w:val="0"/>
                  <w:vAlign w:val="center"/>
                </w:tcPr>
                <w:p w14:paraId="73F5ED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塔径6.8米</w:t>
                  </w:r>
                  <w:r>
                    <w:rPr>
                      <w:rFonts w:hint="eastAsia" w:cs="Times New Roman"/>
                      <w:b w:val="0"/>
                      <w:bCs/>
                      <w:color w:val="000000"/>
                      <w:sz w:val="21"/>
                      <w:szCs w:val="21"/>
                      <w:lang w:eastAsia="zh-CN"/>
                    </w:rPr>
                    <w:t>，</w:t>
                  </w:r>
                  <w:r>
                    <w:rPr>
                      <w:rFonts w:ascii="Times New Roman" w:hAnsi="Times New Roman" w:eastAsia="宋体" w:cs="Times New Roman"/>
                      <w:b w:val="0"/>
                      <w:bCs/>
                      <w:color w:val="000000"/>
                      <w:sz w:val="21"/>
                      <w:szCs w:val="21"/>
                    </w:rPr>
                    <w:t>δ3mm</w:t>
                  </w:r>
                </w:p>
              </w:tc>
            </w:tr>
            <w:tr w14:paraId="4AEB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661CE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9</w:t>
                  </w:r>
                </w:p>
              </w:tc>
              <w:tc>
                <w:tcPr>
                  <w:tcW w:w="316" w:type="pct"/>
                  <w:vMerge w:val="continue"/>
                  <w:shd w:val="clear" w:color="auto" w:fill="auto"/>
                  <w:noWrap w:val="0"/>
                  <w:vAlign w:val="top"/>
                </w:tcPr>
                <w:p w14:paraId="0331AB83">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002FD6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主塔骨架</w:t>
                  </w:r>
                </w:p>
              </w:tc>
              <w:tc>
                <w:tcPr>
                  <w:tcW w:w="1185" w:type="pct"/>
                  <w:shd w:val="clear" w:color="auto" w:fill="auto"/>
                  <w:noWrap w:val="0"/>
                  <w:vAlign w:val="center"/>
                </w:tcPr>
                <w:p w14:paraId="4D0D55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5E54E2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5F2759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#20</w:t>
                  </w:r>
                </w:p>
              </w:tc>
              <w:tc>
                <w:tcPr>
                  <w:tcW w:w="1032" w:type="pct"/>
                  <w:shd w:val="clear" w:color="auto" w:fill="auto"/>
                  <w:noWrap w:val="0"/>
                  <w:vAlign w:val="center"/>
                </w:tcPr>
                <w:p w14:paraId="58C306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塔顶防爆装置</w:t>
                  </w:r>
                </w:p>
              </w:tc>
            </w:tr>
            <w:tr w14:paraId="7D46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shd w:val="clear" w:color="auto" w:fill="auto"/>
                  <w:noWrap w:val="0"/>
                  <w:vAlign w:val="center"/>
                </w:tcPr>
                <w:p w14:paraId="281643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10</w:t>
                  </w:r>
                </w:p>
              </w:tc>
              <w:tc>
                <w:tcPr>
                  <w:tcW w:w="316" w:type="pct"/>
                  <w:vMerge w:val="continue"/>
                  <w:shd w:val="clear" w:color="auto" w:fill="auto"/>
                  <w:noWrap w:val="0"/>
                  <w:vAlign w:val="top"/>
                </w:tcPr>
                <w:p w14:paraId="2F3146C3">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0B1E61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主塔保温</w:t>
                  </w:r>
                </w:p>
              </w:tc>
              <w:tc>
                <w:tcPr>
                  <w:tcW w:w="1185" w:type="pct"/>
                  <w:shd w:val="clear" w:color="auto" w:fill="auto"/>
                  <w:noWrap w:val="0"/>
                  <w:vAlign w:val="center"/>
                </w:tcPr>
                <w:p w14:paraId="3706B9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07DA5C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038150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保温棉</w:t>
                  </w:r>
                </w:p>
              </w:tc>
              <w:tc>
                <w:tcPr>
                  <w:tcW w:w="1032" w:type="pct"/>
                  <w:shd w:val="clear" w:color="auto" w:fill="auto"/>
                  <w:noWrap w:val="0"/>
                  <w:vAlign w:val="center"/>
                </w:tcPr>
                <w:p w14:paraId="65249A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δ100mm保温棉</w:t>
                  </w:r>
                </w:p>
              </w:tc>
            </w:tr>
            <w:tr w14:paraId="4A14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shd w:val="clear" w:color="auto" w:fill="auto"/>
                  <w:noWrap w:val="0"/>
                  <w:vAlign w:val="center"/>
                </w:tcPr>
                <w:p w14:paraId="25243B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11</w:t>
                  </w:r>
                </w:p>
              </w:tc>
              <w:tc>
                <w:tcPr>
                  <w:tcW w:w="316" w:type="pct"/>
                  <w:vMerge w:val="continue"/>
                  <w:shd w:val="clear" w:color="auto" w:fill="auto"/>
                  <w:noWrap w:val="0"/>
                  <w:vAlign w:val="top"/>
                </w:tcPr>
                <w:p w14:paraId="582CEDE6">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31BF87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保温骨架</w:t>
                  </w:r>
                </w:p>
              </w:tc>
              <w:tc>
                <w:tcPr>
                  <w:tcW w:w="1185" w:type="pct"/>
                  <w:shd w:val="clear" w:color="auto" w:fill="auto"/>
                  <w:noWrap w:val="0"/>
                  <w:vAlign w:val="center"/>
                </w:tcPr>
                <w:p w14:paraId="22070D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4A74CC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05943A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#20</w:t>
                  </w:r>
                </w:p>
              </w:tc>
              <w:tc>
                <w:tcPr>
                  <w:tcW w:w="1032" w:type="pct"/>
                  <w:shd w:val="clear" w:color="auto" w:fill="auto"/>
                  <w:noWrap w:val="0"/>
                  <w:vAlign w:val="center"/>
                </w:tcPr>
                <w:p w14:paraId="55CB75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  5#  角钢</w:t>
                  </w:r>
                </w:p>
              </w:tc>
            </w:tr>
            <w:tr w14:paraId="2DFA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027D04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12</w:t>
                  </w:r>
                </w:p>
              </w:tc>
              <w:tc>
                <w:tcPr>
                  <w:tcW w:w="316" w:type="pct"/>
                  <w:vMerge w:val="continue"/>
                  <w:shd w:val="clear" w:color="auto" w:fill="auto"/>
                  <w:noWrap w:val="0"/>
                  <w:vAlign w:val="top"/>
                </w:tcPr>
                <w:p w14:paraId="1B91DDF0">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79CC29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外壳彩板</w:t>
                  </w:r>
                </w:p>
              </w:tc>
              <w:tc>
                <w:tcPr>
                  <w:tcW w:w="1185" w:type="pct"/>
                  <w:shd w:val="clear" w:color="auto" w:fill="auto"/>
                  <w:noWrap w:val="0"/>
                  <w:vAlign w:val="center"/>
                </w:tcPr>
                <w:p w14:paraId="2A8E0B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6902B7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2A8B6D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Q235A</w:t>
                  </w:r>
                </w:p>
              </w:tc>
              <w:tc>
                <w:tcPr>
                  <w:tcW w:w="1032" w:type="pct"/>
                  <w:shd w:val="clear" w:color="auto" w:fill="auto"/>
                  <w:noWrap w:val="0"/>
                  <w:vAlign w:val="center"/>
                </w:tcPr>
                <w:p w14:paraId="7F58EF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δ0.5mm</w:t>
                  </w:r>
                </w:p>
              </w:tc>
            </w:tr>
            <w:tr w14:paraId="3BB6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1CF2E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13</w:t>
                  </w:r>
                </w:p>
              </w:tc>
              <w:tc>
                <w:tcPr>
                  <w:tcW w:w="316" w:type="pct"/>
                  <w:vMerge w:val="continue"/>
                  <w:shd w:val="clear" w:color="auto" w:fill="auto"/>
                  <w:noWrap w:val="0"/>
                  <w:vAlign w:val="top"/>
                </w:tcPr>
                <w:p w14:paraId="077E5D1A">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7886A4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上罩圈</w:t>
                  </w:r>
                </w:p>
              </w:tc>
              <w:tc>
                <w:tcPr>
                  <w:tcW w:w="1185" w:type="pct"/>
                  <w:shd w:val="clear" w:color="auto" w:fill="auto"/>
                  <w:noWrap w:val="0"/>
                  <w:vAlign w:val="center"/>
                </w:tcPr>
                <w:p w14:paraId="7A15C3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尺寸：Φ7000</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200</w:t>
                  </w:r>
                </w:p>
              </w:tc>
              <w:tc>
                <w:tcPr>
                  <w:tcW w:w="490" w:type="pct"/>
                  <w:shd w:val="clear" w:color="auto" w:fill="auto"/>
                  <w:noWrap w:val="0"/>
                  <w:vAlign w:val="center"/>
                </w:tcPr>
                <w:p w14:paraId="3C049C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056DA1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42B664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δ10mm/δ12 mm</w:t>
                  </w:r>
                </w:p>
              </w:tc>
            </w:tr>
            <w:tr w14:paraId="2893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6594F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14</w:t>
                  </w:r>
                </w:p>
              </w:tc>
              <w:tc>
                <w:tcPr>
                  <w:tcW w:w="316" w:type="pct"/>
                  <w:vMerge w:val="continue"/>
                  <w:shd w:val="clear" w:color="auto" w:fill="auto"/>
                  <w:noWrap w:val="0"/>
                  <w:vAlign w:val="top"/>
                </w:tcPr>
                <w:p w14:paraId="088E3830">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5A1A90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下罩圈</w:t>
                  </w:r>
                </w:p>
              </w:tc>
              <w:tc>
                <w:tcPr>
                  <w:tcW w:w="1185" w:type="pct"/>
                  <w:shd w:val="clear" w:color="auto" w:fill="auto"/>
                  <w:noWrap w:val="0"/>
                  <w:vAlign w:val="center"/>
                </w:tcPr>
                <w:p w14:paraId="2132BE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尺寸：Φ7000</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200</w:t>
                  </w:r>
                </w:p>
              </w:tc>
              <w:tc>
                <w:tcPr>
                  <w:tcW w:w="490" w:type="pct"/>
                  <w:shd w:val="clear" w:color="auto" w:fill="auto"/>
                  <w:noWrap w:val="0"/>
                  <w:vAlign w:val="center"/>
                </w:tcPr>
                <w:p w14:paraId="2B8896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29FBD9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34D611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δ12mm/δ14mm</w:t>
                  </w:r>
                </w:p>
              </w:tc>
            </w:tr>
            <w:tr w14:paraId="462B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34305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15</w:t>
                  </w:r>
                </w:p>
              </w:tc>
              <w:tc>
                <w:tcPr>
                  <w:tcW w:w="316" w:type="pct"/>
                  <w:vMerge w:val="continue"/>
                  <w:shd w:val="clear" w:color="auto" w:fill="auto"/>
                  <w:noWrap w:val="0"/>
                  <w:vAlign w:val="top"/>
                </w:tcPr>
                <w:p w14:paraId="674D959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4AD27F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芯管及芯管振动</w:t>
                  </w:r>
                </w:p>
              </w:tc>
              <w:tc>
                <w:tcPr>
                  <w:tcW w:w="1185" w:type="pct"/>
                  <w:shd w:val="clear" w:color="auto" w:fill="auto"/>
                  <w:noWrap w:val="0"/>
                  <w:vAlign w:val="center"/>
                </w:tcPr>
                <w:p w14:paraId="2EE986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直径：Φ636</w:t>
                  </w:r>
                </w:p>
              </w:tc>
              <w:tc>
                <w:tcPr>
                  <w:tcW w:w="490" w:type="pct"/>
                  <w:shd w:val="clear" w:color="auto" w:fill="auto"/>
                  <w:noWrap w:val="0"/>
                  <w:vAlign w:val="center"/>
                </w:tcPr>
                <w:p w14:paraId="735F6A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0B81E0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189ECA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δ3mm /槽钢</w:t>
                  </w:r>
                </w:p>
              </w:tc>
            </w:tr>
            <w:tr w14:paraId="710C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5F1208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16</w:t>
                  </w:r>
                </w:p>
              </w:tc>
              <w:tc>
                <w:tcPr>
                  <w:tcW w:w="316" w:type="pct"/>
                  <w:vMerge w:val="continue"/>
                  <w:shd w:val="clear" w:color="auto" w:fill="auto"/>
                  <w:noWrap w:val="0"/>
                  <w:vAlign w:val="top"/>
                </w:tcPr>
                <w:p w14:paraId="653A6AE6">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134A65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塔体及芯管振动器</w:t>
                  </w:r>
                </w:p>
              </w:tc>
              <w:tc>
                <w:tcPr>
                  <w:tcW w:w="1185" w:type="pct"/>
                  <w:shd w:val="clear" w:color="auto" w:fill="auto"/>
                  <w:noWrap w:val="0"/>
                  <w:vAlign w:val="center"/>
                </w:tcPr>
                <w:p w14:paraId="1783CF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功率：</w:t>
                  </w:r>
                  <w:r>
                    <w:rPr>
                      <w:rFonts w:ascii="Times New Roman" w:hAnsi="Times New Roman" w:eastAsia="宋体" w:cs="Times New Roman"/>
                      <w:b w:val="0"/>
                      <w:bCs/>
                      <w:color w:val="000000"/>
                      <w:sz w:val="21"/>
                      <w:szCs w:val="21"/>
                    </w:rPr>
                    <w:t>1.5</w:t>
                  </w:r>
                  <w:r>
                    <w:rPr>
                      <w:rFonts w:hint="eastAsia" w:ascii="Times New Roman" w:hAnsi="Times New Roman" w:eastAsia="宋体" w:cs="Times New Roman"/>
                      <w:b w:val="0"/>
                      <w:bCs/>
                      <w:color w:val="000000"/>
                      <w:sz w:val="21"/>
                      <w:szCs w:val="21"/>
                      <w:lang w:val="en-US" w:eastAsia="zh-CN"/>
                    </w:rPr>
                    <w:t>kW</w:t>
                  </w:r>
                </w:p>
              </w:tc>
              <w:tc>
                <w:tcPr>
                  <w:tcW w:w="490" w:type="pct"/>
                  <w:shd w:val="clear" w:color="auto" w:fill="auto"/>
                  <w:noWrap w:val="0"/>
                  <w:vAlign w:val="center"/>
                </w:tcPr>
                <w:p w14:paraId="640BF5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4C666E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304FEF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r>
            <w:tr w14:paraId="3E63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5E8CA0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17</w:t>
                  </w:r>
                </w:p>
              </w:tc>
              <w:tc>
                <w:tcPr>
                  <w:tcW w:w="316" w:type="pct"/>
                  <w:vMerge w:val="continue"/>
                  <w:shd w:val="clear" w:color="auto" w:fill="auto"/>
                  <w:noWrap w:val="0"/>
                  <w:vAlign w:val="top"/>
                </w:tcPr>
                <w:p w14:paraId="57BBF9D3">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04FF04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护栏、踏步、扶手</w:t>
                  </w:r>
                </w:p>
              </w:tc>
              <w:tc>
                <w:tcPr>
                  <w:tcW w:w="1185" w:type="pct"/>
                  <w:shd w:val="clear" w:color="auto" w:fill="auto"/>
                  <w:noWrap w:val="0"/>
                  <w:vAlign w:val="center"/>
                </w:tcPr>
                <w:p w14:paraId="6047D0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094F4A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1FC621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1F0B9C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δ3mm/δ5mm/槽钢</w:t>
                  </w:r>
                </w:p>
              </w:tc>
            </w:tr>
            <w:tr w14:paraId="74EA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205720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18</w:t>
                  </w:r>
                </w:p>
              </w:tc>
              <w:tc>
                <w:tcPr>
                  <w:tcW w:w="316" w:type="pct"/>
                  <w:vMerge w:val="continue"/>
                  <w:shd w:val="clear" w:color="auto" w:fill="auto"/>
                  <w:noWrap w:val="0"/>
                  <w:vAlign w:val="top"/>
                </w:tcPr>
                <w:p w14:paraId="6865293F">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0F5D45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观察门</w:t>
                  </w:r>
                </w:p>
              </w:tc>
              <w:tc>
                <w:tcPr>
                  <w:tcW w:w="1185" w:type="pct"/>
                  <w:shd w:val="clear" w:color="auto" w:fill="auto"/>
                  <w:noWrap w:val="0"/>
                  <w:vAlign w:val="center"/>
                </w:tcPr>
                <w:p w14:paraId="6782A2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尺寸：</w:t>
                  </w:r>
                  <w:r>
                    <w:rPr>
                      <w:rFonts w:hint="eastAsia" w:ascii="Times New Roman" w:hAnsi="Times New Roman" w:eastAsia="宋体" w:cs="Times New Roman"/>
                      <w:b w:val="0"/>
                      <w:bCs/>
                      <w:sz w:val="21"/>
                      <w:szCs w:val="21"/>
                      <w:vertAlign w:val="baseline"/>
                      <w:lang w:val="en-US" w:eastAsia="zh-CN"/>
                    </w:rPr>
                    <w:t>500</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sz w:val="21"/>
                      <w:szCs w:val="21"/>
                      <w:vertAlign w:val="baseline"/>
                      <w:lang w:val="en-US" w:eastAsia="zh-CN"/>
                    </w:rPr>
                    <w:t>500</w:t>
                  </w:r>
                </w:p>
              </w:tc>
              <w:tc>
                <w:tcPr>
                  <w:tcW w:w="490" w:type="pct"/>
                  <w:shd w:val="clear" w:color="auto" w:fill="auto"/>
                  <w:noWrap w:val="0"/>
                  <w:vAlign w:val="center"/>
                </w:tcPr>
                <w:p w14:paraId="1BACA8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4D36C7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3A4BB1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r>
            <w:tr w14:paraId="54FD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E8DE2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19</w:t>
                  </w:r>
                </w:p>
              </w:tc>
              <w:tc>
                <w:tcPr>
                  <w:tcW w:w="316" w:type="pct"/>
                  <w:vMerge w:val="continue"/>
                  <w:shd w:val="clear" w:color="auto" w:fill="auto"/>
                  <w:noWrap w:val="0"/>
                  <w:vAlign w:val="top"/>
                </w:tcPr>
                <w:p w14:paraId="1ECBDA92">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04B380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热风分配器</w:t>
                  </w:r>
                </w:p>
              </w:tc>
              <w:tc>
                <w:tcPr>
                  <w:tcW w:w="1185" w:type="pct"/>
                  <w:shd w:val="clear" w:color="auto" w:fill="auto"/>
                  <w:noWrap w:val="0"/>
                  <w:vAlign w:val="center"/>
                </w:tcPr>
                <w:p w14:paraId="611CC1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083F62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38F611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7D0A22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r>
            <w:tr w14:paraId="140F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007BAF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20</w:t>
                  </w:r>
                </w:p>
              </w:tc>
              <w:tc>
                <w:tcPr>
                  <w:tcW w:w="316" w:type="pct"/>
                  <w:vMerge w:val="continue"/>
                  <w:shd w:val="clear" w:color="auto" w:fill="auto"/>
                  <w:noWrap w:val="0"/>
                  <w:vAlign w:val="top"/>
                </w:tcPr>
                <w:p w14:paraId="16BF0EC2">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43D151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热风分配器保温</w:t>
                  </w:r>
                </w:p>
              </w:tc>
              <w:tc>
                <w:tcPr>
                  <w:tcW w:w="1185" w:type="pct"/>
                  <w:shd w:val="clear" w:color="auto" w:fill="auto"/>
                  <w:noWrap w:val="0"/>
                  <w:vAlign w:val="center"/>
                </w:tcPr>
                <w:p w14:paraId="6D8E82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2BE417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6B1C4B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保温棉</w:t>
                  </w:r>
                </w:p>
              </w:tc>
              <w:tc>
                <w:tcPr>
                  <w:tcW w:w="1032" w:type="pct"/>
                  <w:shd w:val="clear" w:color="auto" w:fill="auto"/>
                  <w:noWrap w:val="0"/>
                  <w:vAlign w:val="center"/>
                </w:tcPr>
                <w:p w14:paraId="12318D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δ100mm保温棉</w:t>
                  </w:r>
                </w:p>
              </w:tc>
            </w:tr>
            <w:tr w14:paraId="1B66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58D6A1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21</w:t>
                  </w:r>
                </w:p>
              </w:tc>
              <w:tc>
                <w:tcPr>
                  <w:tcW w:w="316" w:type="pct"/>
                  <w:vMerge w:val="continue"/>
                  <w:shd w:val="clear" w:color="auto" w:fill="auto"/>
                  <w:noWrap w:val="0"/>
                  <w:vAlign w:val="top"/>
                </w:tcPr>
                <w:p w14:paraId="097E12CF">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4AFD6A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旋风收料器</w:t>
                  </w:r>
                </w:p>
              </w:tc>
              <w:tc>
                <w:tcPr>
                  <w:tcW w:w="1185" w:type="pct"/>
                  <w:shd w:val="clear" w:color="auto" w:fill="auto"/>
                  <w:noWrap w:val="0"/>
                  <w:vAlign w:val="center"/>
                </w:tcPr>
                <w:p w14:paraId="484C57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粉尘收集</w:t>
                  </w:r>
                </w:p>
              </w:tc>
              <w:tc>
                <w:tcPr>
                  <w:tcW w:w="490" w:type="pct"/>
                  <w:shd w:val="clear" w:color="auto" w:fill="auto"/>
                  <w:noWrap w:val="0"/>
                  <w:vAlign w:val="center"/>
                </w:tcPr>
                <w:p w14:paraId="0AC9A0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2台</w:t>
                  </w:r>
                </w:p>
              </w:tc>
              <w:tc>
                <w:tcPr>
                  <w:tcW w:w="733" w:type="pct"/>
                  <w:shd w:val="clear" w:color="auto" w:fill="auto"/>
                  <w:noWrap w:val="0"/>
                  <w:vAlign w:val="center"/>
                </w:tcPr>
                <w:p w14:paraId="41F7F7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304</w:t>
                  </w:r>
                </w:p>
              </w:tc>
              <w:tc>
                <w:tcPr>
                  <w:tcW w:w="1032" w:type="pct"/>
                  <w:shd w:val="clear" w:color="auto" w:fill="auto"/>
                  <w:noWrap w:val="0"/>
                  <w:vAlign w:val="center"/>
                </w:tcPr>
                <w:p w14:paraId="688AEC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Δ3mm</w:t>
                  </w:r>
                </w:p>
              </w:tc>
            </w:tr>
            <w:tr w14:paraId="3F3F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25525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22</w:t>
                  </w:r>
                </w:p>
              </w:tc>
              <w:tc>
                <w:tcPr>
                  <w:tcW w:w="316" w:type="pct"/>
                  <w:vMerge w:val="continue"/>
                  <w:shd w:val="clear" w:color="auto" w:fill="auto"/>
                  <w:noWrap w:val="0"/>
                  <w:vAlign w:val="top"/>
                </w:tcPr>
                <w:p w14:paraId="44819181">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358B4A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出料铰拢</w:t>
                  </w:r>
                </w:p>
              </w:tc>
              <w:tc>
                <w:tcPr>
                  <w:tcW w:w="1185" w:type="pct"/>
                  <w:shd w:val="clear" w:color="auto" w:fill="auto"/>
                  <w:noWrap w:val="0"/>
                  <w:vAlign w:val="center"/>
                </w:tcPr>
                <w:p w14:paraId="3FC4CC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w:t>
                  </w:r>
                </w:p>
              </w:tc>
              <w:tc>
                <w:tcPr>
                  <w:tcW w:w="490" w:type="pct"/>
                  <w:shd w:val="clear" w:color="auto" w:fill="auto"/>
                  <w:noWrap w:val="0"/>
                  <w:vAlign w:val="center"/>
                </w:tcPr>
                <w:p w14:paraId="157274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37F92C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74FC94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r>
                    <w:rPr>
                      <w:rFonts w:hint="eastAsia" w:ascii="Times New Roman" w:hAnsi="Times New Roman" w:eastAsia="宋体" w:cs="Times New Roman"/>
                      <w:b w:val="0"/>
                      <w:bCs/>
                      <w:color w:val="000000"/>
                      <w:sz w:val="21"/>
                      <w:szCs w:val="21"/>
                      <w:lang w:val="en-US" w:eastAsia="zh-CN"/>
                    </w:rPr>
                    <w:t>/</w:t>
                  </w:r>
                </w:p>
              </w:tc>
            </w:tr>
            <w:tr w14:paraId="4783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0CC07B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23</w:t>
                  </w:r>
                </w:p>
              </w:tc>
              <w:tc>
                <w:tcPr>
                  <w:tcW w:w="316" w:type="pct"/>
                  <w:vMerge w:val="continue"/>
                  <w:shd w:val="clear" w:color="auto" w:fill="auto"/>
                  <w:noWrap w:val="0"/>
                  <w:vAlign w:val="top"/>
                </w:tcPr>
                <w:p w14:paraId="06936279">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C3201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除尘器方箱</w:t>
                  </w:r>
                </w:p>
              </w:tc>
              <w:tc>
                <w:tcPr>
                  <w:tcW w:w="1185" w:type="pct"/>
                  <w:shd w:val="clear" w:color="auto" w:fill="auto"/>
                  <w:noWrap w:val="0"/>
                  <w:vAlign w:val="center"/>
                </w:tcPr>
                <w:p w14:paraId="4C0F7D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68AE4E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1台</w:t>
                  </w:r>
                </w:p>
              </w:tc>
              <w:tc>
                <w:tcPr>
                  <w:tcW w:w="733" w:type="pct"/>
                  <w:shd w:val="clear" w:color="auto" w:fill="auto"/>
                  <w:noWrap w:val="0"/>
                  <w:vAlign w:val="center"/>
                </w:tcPr>
                <w:p w14:paraId="0E2C65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304</w:t>
                  </w:r>
                </w:p>
              </w:tc>
              <w:tc>
                <w:tcPr>
                  <w:tcW w:w="1032" w:type="pct"/>
                  <w:shd w:val="clear" w:color="auto" w:fill="auto"/>
                  <w:noWrap w:val="0"/>
                  <w:vAlign w:val="center"/>
                </w:tcPr>
                <w:p w14:paraId="0E6C6B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r>
            <w:tr w14:paraId="3EB5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50F942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24</w:t>
                  </w:r>
                </w:p>
              </w:tc>
              <w:tc>
                <w:tcPr>
                  <w:tcW w:w="316" w:type="pct"/>
                  <w:vMerge w:val="continue"/>
                  <w:shd w:val="clear" w:color="auto" w:fill="auto"/>
                  <w:noWrap w:val="0"/>
                  <w:vAlign w:val="top"/>
                </w:tcPr>
                <w:p w14:paraId="20D808A6">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375E8D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离心雾化器</w:t>
                  </w:r>
                </w:p>
              </w:tc>
              <w:tc>
                <w:tcPr>
                  <w:tcW w:w="1185" w:type="pct"/>
                  <w:shd w:val="clear" w:color="auto" w:fill="auto"/>
                  <w:noWrap w:val="0"/>
                  <w:vAlign w:val="center"/>
                </w:tcPr>
                <w:p w14:paraId="6A5AAD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喷浓料液</w:t>
                  </w:r>
                </w:p>
              </w:tc>
              <w:tc>
                <w:tcPr>
                  <w:tcW w:w="490" w:type="pct"/>
                  <w:shd w:val="clear" w:color="auto" w:fill="auto"/>
                  <w:noWrap w:val="0"/>
                  <w:vAlign w:val="center"/>
                </w:tcPr>
                <w:p w14:paraId="788638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1只</w:t>
                  </w:r>
                </w:p>
              </w:tc>
              <w:tc>
                <w:tcPr>
                  <w:tcW w:w="733" w:type="pct"/>
                  <w:shd w:val="clear" w:color="auto" w:fill="auto"/>
                  <w:noWrap w:val="0"/>
                  <w:vAlign w:val="center"/>
                </w:tcPr>
                <w:p w14:paraId="6E3C05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7AF502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w:t>
                  </w:r>
                  <w:r>
                    <w:rPr>
                      <w:rFonts w:hint="eastAsia" w:ascii="Times New Roman" w:hAnsi="Times New Roman" w:eastAsia="宋体" w:cs="Times New Roman"/>
                      <w:b w:val="0"/>
                      <w:bCs/>
                      <w:color w:val="000000"/>
                      <w:sz w:val="21"/>
                      <w:szCs w:val="21"/>
                      <w:lang w:val="en-US" w:eastAsia="zh-CN"/>
                    </w:rPr>
                    <w:t>8.5kW</w:t>
                  </w:r>
                </w:p>
              </w:tc>
            </w:tr>
            <w:tr w14:paraId="714E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FE6B2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25</w:t>
                  </w:r>
                </w:p>
              </w:tc>
              <w:tc>
                <w:tcPr>
                  <w:tcW w:w="316" w:type="pct"/>
                  <w:vMerge w:val="continue"/>
                  <w:shd w:val="clear" w:color="auto" w:fill="auto"/>
                  <w:noWrap w:val="0"/>
                  <w:vAlign w:val="top"/>
                </w:tcPr>
                <w:p w14:paraId="2A5A3253">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3E9D1F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变频器</w:t>
                  </w:r>
                </w:p>
              </w:tc>
              <w:tc>
                <w:tcPr>
                  <w:tcW w:w="1185" w:type="pct"/>
                  <w:shd w:val="clear" w:color="auto" w:fill="auto"/>
                  <w:noWrap w:val="0"/>
                  <w:vAlign w:val="center"/>
                </w:tcPr>
                <w:p w14:paraId="68A728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color w:val="000000"/>
                      <w:sz w:val="21"/>
                      <w:szCs w:val="21"/>
                      <w:lang w:val="en-US" w:eastAsia="zh-CN"/>
                    </w:rPr>
                    <w:t>功率：</w:t>
                  </w:r>
                  <w:r>
                    <w:rPr>
                      <w:rFonts w:ascii="Times New Roman" w:hAnsi="Times New Roman" w:eastAsia="宋体" w:cs="Times New Roman"/>
                      <w:b w:val="0"/>
                      <w:bCs/>
                      <w:color w:val="000000"/>
                      <w:sz w:val="21"/>
                      <w:szCs w:val="21"/>
                    </w:rPr>
                    <w:t>1</w:t>
                  </w:r>
                  <w:r>
                    <w:rPr>
                      <w:rFonts w:hint="eastAsia" w:ascii="Times New Roman" w:hAnsi="Times New Roman" w:eastAsia="宋体" w:cs="Times New Roman"/>
                      <w:b w:val="0"/>
                      <w:bCs/>
                      <w:color w:val="000000"/>
                      <w:sz w:val="21"/>
                      <w:szCs w:val="21"/>
                      <w:lang w:val="en-US" w:eastAsia="zh-CN"/>
                    </w:rPr>
                    <w:t>8.5kW</w:t>
                  </w:r>
                </w:p>
              </w:tc>
              <w:tc>
                <w:tcPr>
                  <w:tcW w:w="490" w:type="pct"/>
                  <w:shd w:val="clear" w:color="auto" w:fill="auto"/>
                  <w:noWrap w:val="0"/>
                  <w:vAlign w:val="center"/>
                </w:tcPr>
                <w:p w14:paraId="7259EC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1台</w:t>
                  </w:r>
                </w:p>
              </w:tc>
              <w:tc>
                <w:tcPr>
                  <w:tcW w:w="733" w:type="pct"/>
                  <w:shd w:val="clear" w:color="auto" w:fill="auto"/>
                  <w:noWrap w:val="0"/>
                  <w:vAlign w:val="center"/>
                </w:tcPr>
                <w:p w14:paraId="327C5E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65748E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p>
              </w:tc>
            </w:tr>
            <w:tr w14:paraId="39CF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036B4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26</w:t>
                  </w:r>
                </w:p>
              </w:tc>
              <w:tc>
                <w:tcPr>
                  <w:tcW w:w="316" w:type="pct"/>
                  <w:vMerge w:val="continue"/>
                  <w:shd w:val="clear" w:color="auto" w:fill="auto"/>
                  <w:noWrap w:val="0"/>
                  <w:vAlign w:val="top"/>
                </w:tcPr>
                <w:p w14:paraId="242240F8">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601B46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供料泵</w:t>
                  </w:r>
                </w:p>
              </w:tc>
              <w:tc>
                <w:tcPr>
                  <w:tcW w:w="1185" w:type="pct"/>
                  <w:shd w:val="clear" w:color="auto" w:fill="auto"/>
                  <w:noWrap w:val="0"/>
                  <w:vAlign w:val="center"/>
                </w:tcPr>
                <w:p w14:paraId="7C320F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流量：5m</w:t>
                  </w:r>
                  <w:r>
                    <w:rPr>
                      <w:rFonts w:hint="eastAsia" w:ascii="Times New Roman" w:hAnsi="Times New Roman" w:eastAsia="宋体" w:cs="Times New Roman"/>
                      <w:b w:val="0"/>
                      <w:bCs/>
                      <w:sz w:val="21"/>
                      <w:szCs w:val="21"/>
                      <w:vertAlign w:val="superscript"/>
                      <w:lang w:val="en-US" w:eastAsia="zh-CN"/>
                    </w:rPr>
                    <w:t>3</w:t>
                  </w:r>
                  <w:r>
                    <w:rPr>
                      <w:rFonts w:hint="eastAsia" w:ascii="Times New Roman" w:hAnsi="Times New Roman" w:eastAsia="宋体" w:cs="Times New Roman"/>
                      <w:b w:val="0"/>
                      <w:bCs/>
                      <w:sz w:val="21"/>
                      <w:szCs w:val="21"/>
                      <w:vertAlign w:val="baseline"/>
                      <w:lang w:val="en-US" w:eastAsia="zh-CN"/>
                    </w:rPr>
                    <w:t>/h</w:t>
                  </w:r>
                </w:p>
              </w:tc>
              <w:tc>
                <w:tcPr>
                  <w:tcW w:w="490" w:type="pct"/>
                  <w:shd w:val="clear" w:color="auto" w:fill="auto"/>
                  <w:noWrap w:val="0"/>
                  <w:vAlign w:val="center"/>
                </w:tcPr>
                <w:p w14:paraId="047C1D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1只</w:t>
                  </w:r>
                </w:p>
              </w:tc>
              <w:tc>
                <w:tcPr>
                  <w:tcW w:w="733" w:type="pct"/>
                  <w:shd w:val="clear" w:color="auto" w:fill="auto"/>
                  <w:noWrap w:val="0"/>
                  <w:vAlign w:val="center"/>
                </w:tcPr>
                <w:p w14:paraId="53FB85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79215C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w:t>
                  </w:r>
                  <w:r>
                    <w:rPr>
                      <w:rFonts w:hint="eastAsia" w:ascii="Times New Roman" w:hAnsi="Times New Roman" w:eastAsia="宋体" w:cs="Times New Roman"/>
                      <w:b w:val="0"/>
                      <w:bCs/>
                      <w:color w:val="000000"/>
                      <w:sz w:val="21"/>
                      <w:szCs w:val="21"/>
                      <w:lang w:val="en-US" w:eastAsia="zh-CN"/>
                    </w:rPr>
                    <w:t>kW</w:t>
                  </w:r>
                </w:p>
              </w:tc>
            </w:tr>
            <w:tr w14:paraId="5CA0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2BD599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27</w:t>
                  </w:r>
                </w:p>
              </w:tc>
              <w:tc>
                <w:tcPr>
                  <w:tcW w:w="316" w:type="pct"/>
                  <w:vMerge w:val="continue"/>
                  <w:shd w:val="clear" w:color="auto" w:fill="auto"/>
                  <w:noWrap w:val="0"/>
                  <w:vAlign w:val="top"/>
                </w:tcPr>
                <w:p w14:paraId="72066F3F">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474B3F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变频器</w:t>
                  </w:r>
                </w:p>
              </w:tc>
              <w:tc>
                <w:tcPr>
                  <w:tcW w:w="1185" w:type="pct"/>
                  <w:shd w:val="clear" w:color="auto" w:fill="auto"/>
                  <w:noWrap w:val="0"/>
                  <w:vAlign w:val="center"/>
                </w:tcPr>
                <w:p w14:paraId="0D38DA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功率：</w:t>
                  </w:r>
                  <w:r>
                    <w:rPr>
                      <w:rFonts w:ascii="Times New Roman" w:hAnsi="Times New Roman" w:eastAsia="宋体" w:cs="Times New Roman"/>
                      <w:b w:val="0"/>
                      <w:bCs/>
                      <w:color w:val="000000"/>
                      <w:sz w:val="21"/>
                      <w:szCs w:val="21"/>
                    </w:rPr>
                    <w:t>3</w:t>
                  </w:r>
                  <w:r>
                    <w:rPr>
                      <w:rFonts w:hint="eastAsia" w:ascii="Times New Roman" w:hAnsi="Times New Roman" w:eastAsia="宋体" w:cs="Times New Roman"/>
                      <w:b w:val="0"/>
                      <w:bCs/>
                      <w:color w:val="000000"/>
                      <w:sz w:val="21"/>
                      <w:szCs w:val="21"/>
                      <w:lang w:val="en-US" w:eastAsia="zh-CN"/>
                    </w:rPr>
                    <w:t>kW</w:t>
                  </w:r>
                </w:p>
              </w:tc>
              <w:tc>
                <w:tcPr>
                  <w:tcW w:w="490" w:type="pct"/>
                  <w:shd w:val="clear" w:color="auto" w:fill="auto"/>
                  <w:noWrap w:val="0"/>
                  <w:vAlign w:val="center"/>
                </w:tcPr>
                <w:p w14:paraId="113EED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1台</w:t>
                  </w:r>
                </w:p>
              </w:tc>
              <w:tc>
                <w:tcPr>
                  <w:tcW w:w="733" w:type="pct"/>
                  <w:shd w:val="clear" w:color="auto" w:fill="auto"/>
                  <w:noWrap w:val="0"/>
                  <w:vAlign w:val="center"/>
                </w:tcPr>
                <w:p w14:paraId="429B11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0CB6E6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p>
              </w:tc>
            </w:tr>
            <w:tr w14:paraId="5EA7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19C8E7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28</w:t>
                  </w:r>
                </w:p>
              </w:tc>
              <w:tc>
                <w:tcPr>
                  <w:tcW w:w="316" w:type="pct"/>
                  <w:vMerge w:val="continue"/>
                  <w:shd w:val="clear" w:color="auto" w:fill="auto"/>
                  <w:noWrap w:val="0"/>
                  <w:vAlign w:val="top"/>
                </w:tcPr>
                <w:p w14:paraId="50B9E585">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09DA0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冷却泵</w:t>
                  </w:r>
                </w:p>
              </w:tc>
              <w:tc>
                <w:tcPr>
                  <w:tcW w:w="1185" w:type="pct"/>
                  <w:shd w:val="clear" w:color="auto" w:fill="auto"/>
                  <w:noWrap w:val="0"/>
                  <w:vAlign w:val="center"/>
                </w:tcPr>
                <w:p w14:paraId="2F39F8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sz w:val="21"/>
                      <w:szCs w:val="21"/>
                      <w:vertAlign w:val="baseline"/>
                      <w:lang w:val="en-US" w:eastAsia="zh-CN"/>
                    </w:rPr>
                    <w:t>流量：6.5m</w:t>
                  </w:r>
                  <w:r>
                    <w:rPr>
                      <w:rFonts w:hint="eastAsia" w:ascii="Times New Roman" w:hAnsi="Times New Roman" w:eastAsia="宋体" w:cs="Times New Roman"/>
                      <w:b w:val="0"/>
                      <w:bCs/>
                      <w:sz w:val="21"/>
                      <w:szCs w:val="21"/>
                      <w:vertAlign w:val="superscript"/>
                      <w:lang w:val="en-US" w:eastAsia="zh-CN"/>
                    </w:rPr>
                    <w:t>3</w:t>
                  </w:r>
                  <w:r>
                    <w:rPr>
                      <w:rFonts w:hint="eastAsia" w:ascii="Times New Roman" w:hAnsi="Times New Roman" w:eastAsia="宋体" w:cs="Times New Roman"/>
                      <w:b w:val="0"/>
                      <w:bCs/>
                      <w:sz w:val="21"/>
                      <w:szCs w:val="21"/>
                      <w:vertAlign w:val="baseline"/>
                      <w:lang w:val="en-US" w:eastAsia="zh-CN"/>
                    </w:rPr>
                    <w:t>/h</w:t>
                  </w:r>
                </w:p>
              </w:tc>
              <w:tc>
                <w:tcPr>
                  <w:tcW w:w="490" w:type="pct"/>
                  <w:shd w:val="clear" w:color="auto" w:fill="auto"/>
                  <w:noWrap w:val="0"/>
                  <w:vAlign w:val="center"/>
                </w:tcPr>
                <w:p w14:paraId="367C91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1只</w:t>
                  </w:r>
                </w:p>
              </w:tc>
              <w:tc>
                <w:tcPr>
                  <w:tcW w:w="733" w:type="pct"/>
                  <w:shd w:val="clear" w:color="auto" w:fill="auto"/>
                  <w:noWrap w:val="0"/>
                  <w:vAlign w:val="center"/>
                </w:tcPr>
                <w:p w14:paraId="0C6C88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44D274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ascii="Times New Roman" w:hAnsi="Times New Roman" w:eastAsia="宋体" w:cs="Times New Roman"/>
                      <w:b w:val="0"/>
                      <w:bCs/>
                      <w:color w:val="000000"/>
                      <w:sz w:val="21"/>
                      <w:szCs w:val="21"/>
                    </w:rPr>
                    <w:t>1.5</w:t>
                  </w:r>
                  <w:r>
                    <w:rPr>
                      <w:rFonts w:hint="eastAsia" w:ascii="Times New Roman" w:hAnsi="Times New Roman" w:eastAsia="宋体" w:cs="Times New Roman"/>
                      <w:b w:val="0"/>
                      <w:bCs/>
                      <w:color w:val="000000"/>
                      <w:sz w:val="21"/>
                      <w:szCs w:val="21"/>
                      <w:lang w:val="en-US" w:eastAsia="zh-CN"/>
                    </w:rPr>
                    <w:t>kW</w:t>
                  </w:r>
                </w:p>
              </w:tc>
            </w:tr>
            <w:tr w14:paraId="6270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147A9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29</w:t>
                  </w:r>
                </w:p>
              </w:tc>
              <w:tc>
                <w:tcPr>
                  <w:tcW w:w="316" w:type="pct"/>
                  <w:vMerge w:val="continue"/>
                  <w:shd w:val="clear" w:color="auto" w:fill="auto"/>
                  <w:noWrap w:val="0"/>
                  <w:vAlign w:val="top"/>
                </w:tcPr>
                <w:p w14:paraId="20FC0F7C">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1D1C2A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热风进风管</w:t>
                  </w:r>
                </w:p>
              </w:tc>
              <w:tc>
                <w:tcPr>
                  <w:tcW w:w="1185" w:type="pct"/>
                  <w:shd w:val="clear" w:color="auto" w:fill="auto"/>
                  <w:noWrap w:val="0"/>
                  <w:vAlign w:val="center"/>
                </w:tcPr>
                <w:p w14:paraId="50BD73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通热风</w:t>
                  </w:r>
                </w:p>
              </w:tc>
              <w:tc>
                <w:tcPr>
                  <w:tcW w:w="490" w:type="pct"/>
                  <w:shd w:val="clear" w:color="auto" w:fill="auto"/>
                  <w:noWrap w:val="0"/>
                  <w:vAlign w:val="center"/>
                </w:tcPr>
                <w:p w14:paraId="318261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2ECAD0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Q235</w:t>
                  </w:r>
                </w:p>
              </w:tc>
              <w:tc>
                <w:tcPr>
                  <w:tcW w:w="1032" w:type="pct"/>
                  <w:shd w:val="clear" w:color="auto" w:fill="auto"/>
                  <w:noWrap w:val="0"/>
                  <w:vAlign w:val="center"/>
                </w:tcPr>
                <w:p w14:paraId="480B5E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δ5</w:t>
                  </w:r>
                </w:p>
              </w:tc>
            </w:tr>
            <w:tr w14:paraId="1CE6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6D16B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30</w:t>
                  </w:r>
                </w:p>
              </w:tc>
              <w:tc>
                <w:tcPr>
                  <w:tcW w:w="316" w:type="pct"/>
                  <w:vMerge w:val="continue"/>
                  <w:shd w:val="clear" w:color="auto" w:fill="auto"/>
                  <w:noWrap w:val="0"/>
                  <w:vAlign w:val="top"/>
                </w:tcPr>
                <w:p w14:paraId="70DC2FBF">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7D9106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引风收料管</w:t>
                  </w:r>
                </w:p>
              </w:tc>
              <w:tc>
                <w:tcPr>
                  <w:tcW w:w="1185" w:type="pct"/>
                  <w:shd w:val="clear" w:color="auto" w:fill="auto"/>
                  <w:noWrap w:val="0"/>
                  <w:vAlign w:val="center"/>
                </w:tcPr>
                <w:p w14:paraId="2260B5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1119B7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1A57AF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Q235</w:t>
                  </w:r>
                </w:p>
              </w:tc>
              <w:tc>
                <w:tcPr>
                  <w:tcW w:w="1032" w:type="pct"/>
                  <w:shd w:val="clear" w:color="auto" w:fill="auto"/>
                  <w:noWrap w:val="0"/>
                  <w:vAlign w:val="center"/>
                </w:tcPr>
                <w:p w14:paraId="770D1B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δ3mm</w:t>
                  </w:r>
                </w:p>
              </w:tc>
            </w:tr>
            <w:tr w14:paraId="5667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2C4274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31</w:t>
                  </w:r>
                </w:p>
              </w:tc>
              <w:tc>
                <w:tcPr>
                  <w:tcW w:w="316" w:type="pct"/>
                  <w:vMerge w:val="continue"/>
                  <w:shd w:val="clear" w:color="auto" w:fill="auto"/>
                  <w:noWrap w:val="0"/>
                  <w:vAlign w:val="top"/>
                </w:tcPr>
                <w:p w14:paraId="5B6FF22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2CE72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引风机</w:t>
                  </w:r>
                </w:p>
              </w:tc>
              <w:tc>
                <w:tcPr>
                  <w:tcW w:w="1185" w:type="pct"/>
                  <w:shd w:val="clear" w:color="auto" w:fill="auto"/>
                  <w:noWrap w:val="0"/>
                  <w:vAlign w:val="center"/>
                </w:tcPr>
                <w:p w14:paraId="2264D0D7">
                  <w:pPr>
                    <w:keepNext w:val="0"/>
                    <w:keepLines w:val="0"/>
                    <w:pageBreakBefore w:val="0"/>
                    <w:widowControl w:val="0"/>
                    <w:kinsoku/>
                    <w:wordWrap/>
                    <w:overflowPunct/>
                    <w:topLinePunct w:val="0"/>
                    <w:autoSpaceDE/>
                    <w:autoSpaceDN/>
                    <w:bidi w:val="0"/>
                    <w:adjustRightInd w:val="0"/>
                    <w:snapToGrid w:val="0"/>
                    <w:ind w:leftChars="0"/>
                    <w:jc w:val="both"/>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sz w:val="21"/>
                      <w:szCs w:val="21"/>
                      <w:vertAlign w:val="baseline"/>
                      <w:lang w:val="en-US" w:eastAsia="zh-CN"/>
                    </w:rPr>
                    <w:t>风量：21830-38202m</w:t>
                  </w:r>
                  <w:r>
                    <w:rPr>
                      <w:rFonts w:hint="eastAsia" w:ascii="Times New Roman" w:hAnsi="Times New Roman" w:eastAsia="宋体" w:cs="Times New Roman"/>
                      <w:b w:val="0"/>
                      <w:bCs/>
                      <w:sz w:val="21"/>
                      <w:szCs w:val="21"/>
                      <w:vertAlign w:val="superscript"/>
                      <w:lang w:val="en-US" w:eastAsia="zh-CN"/>
                    </w:rPr>
                    <w:t>3</w:t>
                  </w:r>
                  <w:r>
                    <w:rPr>
                      <w:rFonts w:hint="eastAsia" w:ascii="Times New Roman" w:hAnsi="Times New Roman" w:eastAsia="宋体" w:cs="Times New Roman"/>
                      <w:b w:val="0"/>
                      <w:bCs/>
                      <w:sz w:val="21"/>
                      <w:szCs w:val="21"/>
                      <w:vertAlign w:val="baseline"/>
                      <w:lang w:val="en-US" w:eastAsia="zh-CN"/>
                    </w:rPr>
                    <w:t>/h</w:t>
                  </w:r>
                </w:p>
              </w:tc>
              <w:tc>
                <w:tcPr>
                  <w:tcW w:w="490" w:type="pct"/>
                  <w:shd w:val="clear" w:color="auto" w:fill="auto"/>
                  <w:noWrap w:val="0"/>
                  <w:vAlign w:val="center"/>
                </w:tcPr>
                <w:p w14:paraId="6EDE8E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1台</w:t>
                  </w:r>
                </w:p>
              </w:tc>
              <w:tc>
                <w:tcPr>
                  <w:tcW w:w="733" w:type="pct"/>
                  <w:shd w:val="clear" w:color="auto" w:fill="auto"/>
                  <w:noWrap w:val="0"/>
                  <w:vAlign w:val="center"/>
                </w:tcPr>
                <w:p w14:paraId="58DA9B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5AA853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 xml:space="preserve"> 风压：3312~2312Pa </w:t>
                  </w:r>
                </w:p>
              </w:tc>
            </w:tr>
            <w:tr w14:paraId="3A40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2363EE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32</w:t>
                  </w:r>
                </w:p>
              </w:tc>
              <w:tc>
                <w:tcPr>
                  <w:tcW w:w="316" w:type="pct"/>
                  <w:vMerge w:val="continue"/>
                  <w:shd w:val="clear" w:color="auto" w:fill="auto"/>
                  <w:noWrap w:val="0"/>
                  <w:vAlign w:val="top"/>
                </w:tcPr>
                <w:p w14:paraId="7D3364D7">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7A62CC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变频器</w:t>
                  </w:r>
                </w:p>
              </w:tc>
              <w:tc>
                <w:tcPr>
                  <w:tcW w:w="1185" w:type="pct"/>
                  <w:shd w:val="clear" w:color="auto" w:fill="auto"/>
                  <w:noWrap w:val="0"/>
                  <w:vAlign w:val="center"/>
                </w:tcPr>
                <w:p w14:paraId="0A35B8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功率：</w:t>
                  </w:r>
                  <w:r>
                    <w:rPr>
                      <w:rFonts w:ascii="Times New Roman" w:hAnsi="Times New Roman" w:eastAsia="宋体" w:cs="Times New Roman"/>
                      <w:b w:val="0"/>
                      <w:bCs/>
                      <w:color w:val="000000"/>
                      <w:sz w:val="21"/>
                      <w:szCs w:val="21"/>
                    </w:rPr>
                    <w:t>37</w:t>
                  </w:r>
                  <w:r>
                    <w:rPr>
                      <w:rFonts w:hint="eastAsia" w:ascii="Times New Roman" w:hAnsi="Times New Roman" w:eastAsia="宋体" w:cs="Times New Roman"/>
                      <w:b w:val="0"/>
                      <w:bCs/>
                      <w:color w:val="000000"/>
                      <w:sz w:val="21"/>
                      <w:szCs w:val="21"/>
                      <w:lang w:val="en-US" w:eastAsia="zh-CN"/>
                    </w:rPr>
                    <w:t>kW</w:t>
                  </w:r>
                </w:p>
              </w:tc>
              <w:tc>
                <w:tcPr>
                  <w:tcW w:w="490" w:type="pct"/>
                  <w:shd w:val="clear" w:color="auto" w:fill="auto"/>
                  <w:noWrap w:val="0"/>
                  <w:vAlign w:val="center"/>
                </w:tcPr>
                <w:p w14:paraId="55ED42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1台</w:t>
                  </w:r>
                </w:p>
              </w:tc>
              <w:tc>
                <w:tcPr>
                  <w:tcW w:w="733" w:type="pct"/>
                  <w:shd w:val="clear" w:color="auto" w:fill="auto"/>
                  <w:noWrap w:val="0"/>
                  <w:vAlign w:val="center"/>
                </w:tcPr>
                <w:p w14:paraId="1D9626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6A618A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p>
              </w:tc>
            </w:tr>
            <w:tr w14:paraId="4F89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52BFDB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33</w:t>
                  </w:r>
                </w:p>
              </w:tc>
              <w:tc>
                <w:tcPr>
                  <w:tcW w:w="316" w:type="pct"/>
                  <w:vMerge w:val="continue"/>
                  <w:shd w:val="clear" w:color="auto" w:fill="auto"/>
                  <w:noWrap w:val="0"/>
                  <w:vAlign w:val="top"/>
                </w:tcPr>
                <w:p w14:paraId="2D6964D5">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621D96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配风箱</w:t>
                  </w:r>
                </w:p>
              </w:tc>
              <w:tc>
                <w:tcPr>
                  <w:tcW w:w="1185" w:type="pct"/>
                  <w:shd w:val="clear" w:color="auto" w:fill="auto"/>
                  <w:noWrap w:val="0"/>
                  <w:vAlign w:val="center"/>
                </w:tcPr>
                <w:p w14:paraId="78B9F7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Φ1595</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1500</w:t>
                  </w:r>
                </w:p>
              </w:tc>
              <w:tc>
                <w:tcPr>
                  <w:tcW w:w="490" w:type="pct"/>
                  <w:shd w:val="clear" w:color="auto" w:fill="auto"/>
                  <w:noWrap w:val="0"/>
                  <w:vAlign w:val="center"/>
                </w:tcPr>
                <w:p w14:paraId="146C55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528236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699879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δ3mm</w:t>
                  </w:r>
                </w:p>
              </w:tc>
            </w:tr>
            <w:tr w14:paraId="07A9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17903F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34</w:t>
                  </w:r>
                </w:p>
              </w:tc>
              <w:tc>
                <w:tcPr>
                  <w:tcW w:w="316" w:type="pct"/>
                  <w:vMerge w:val="continue"/>
                  <w:shd w:val="clear" w:color="auto" w:fill="auto"/>
                  <w:noWrap w:val="0"/>
                  <w:vAlign w:val="top"/>
                </w:tcPr>
                <w:p w14:paraId="20A5E907">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20748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贮水罐</w:t>
                  </w:r>
                </w:p>
              </w:tc>
              <w:tc>
                <w:tcPr>
                  <w:tcW w:w="1185" w:type="pct"/>
                  <w:shd w:val="clear" w:color="auto" w:fill="auto"/>
                  <w:noWrap w:val="0"/>
                  <w:vAlign w:val="center"/>
                </w:tcPr>
                <w:p w14:paraId="250C61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rPr>
                  </w:pPr>
                  <w:r>
                    <w:rPr>
                      <w:rFonts w:hint="eastAsia" w:ascii="Times New Roman" w:hAnsi="Times New Roman" w:eastAsia="宋体" w:cs="Times New Roman"/>
                      <w:b w:val="0"/>
                      <w:bCs/>
                      <w:color w:val="000000"/>
                      <w:sz w:val="21"/>
                      <w:szCs w:val="21"/>
                      <w:lang w:val="en-US" w:eastAsia="zh-CN"/>
                    </w:rPr>
                    <w:t>Φ636</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1500</w:t>
                  </w:r>
                </w:p>
              </w:tc>
              <w:tc>
                <w:tcPr>
                  <w:tcW w:w="490" w:type="pct"/>
                  <w:shd w:val="clear" w:color="auto" w:fill="auto"/>
                  <w:noWrap w:val="0"/>
                  <w:vAlign w:val="center"/>
                </w:tcPr>
                <w:p w14:paraId="14BF80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574803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2B4B22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冷却雾化器</w:t>
                  </w:r>
                </w:p>
              </w:tc>
            </w:tr>
            <w:tr w14:paraId="44B2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FCC9B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35</w:t>
                  </w:r>
                </w:p>
              </w:tc>
              <w:tc>
                <w:tcPr>
                  <w:tcW w:w="316" w:type="pct"/>
                  <w:vMerge w:val="restart"/>
                  <w:shd w:val="clear" w:color="auto" w:fill="auto"/>
                  <w:noWrap w:val="0"/>
                  <w:vAlign w:val="center"/>
                </w:tcPr>
                <w:p w14:paraId="18E59FB5">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冷</w:t>
                  </w:r>
                </w:p>
                <w:p w14:paraId="74708C7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却</w:t>
                  </w:r>
                </w:p>
                <w:p w14:paraId="74E3B0C1">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系</w:t>
                  </w:r>
                </w:p>
                <w:p w14:paraId="059B4C27">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s="Times New Roman"/>
                      <w:b w:val="0"/>
                      <w:bCs/>
                      <w:sz w:val="21"/>
                      <w:szCs w:val="21"/>
                    </w:rPr>
                  </w:pPr>
                  <w:r>
                    <w:rPr>
                      <w:rFonts w:ascii="Times New Roman" w:hAnsi="Times New Roman" w:eastAsia="宋体" w:cs="Times New Roman"/>
                      <w:b w:val="0"/>
                      <w:bCs/>
                      <w:color w:val="000000"/>
                      <w:sz w:val="21"/>
                      <w:szCs w:val="21"/>
                    </w:rPr>
                    <w:t>统</w:t>
                  </w:r>
                </w:p>
              </w:tc>
              <w:tc>
                <w:tcPr>
                  <w:tcW w:w="835" w:type="pct"/>
                  <w:shd w:val="clear" w:color="auto" w:fill="auto"/>
                  <w:noWrap w:val="0"/>
                  <w:vAlign w:val="center"/>
                </w:tcPr>
                <w:p w14:paraId="610093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气流管道</w:t>
                  </w:r>
                </w:p>
              </w:tc>
              <w:tc>
                <w:tcPr>
                  <w:tcW w:w="1185" w:type="pct"/>
                  <w:shd w:val="clear" w:color="auto" w:fill="auto"/>
                  <w:noWrap w:val="0"/>
                  <w:vAlign w:val="center"/>
                </w:tcPr>
                <w:p w14:paraId="02B86E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rPr>
                  </w:pPr>
                  <w:r>
                    <w:rPr>
                      <w:rFonts w:hint="eastAsia" w:ascii="Times New Roman" w:hAnsi="Times New Roman" w:eastAsia="宋体" w:cs="Times New Roman"/>
                      <w:b w:val="0"/>
                      <w:bCs/>
                      <w:color w:val="000000"/>
                      <w:sz w:val="21"/>
                      <w:szCs w:val="21"/>
                      <w:lang w:val="en-US" w:eastAsia="zh-CN"/>
                    </w:rPr>
                    <w:t>直径：Φ219</w:t>
                  </w:r>
                </w:p>
              </w:tc>
              <w:tc>
                <w:tcPr>
                  <w:tcW w:w="490" w:type="pct"/>
                  <w:shd w:val="clear" w:color="auto" w:fill="auto"/>
                  <w:noWrap w:val="0"/>
                  <w:vAlign w:val="center"/>
                </w:tcPr>
                <w:p w14:paraId="32851B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201655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304</w:t>
                  </w:r>
                </w:p>
              </w:tc>
              <w:tc>
                <w:tcPr>
                  <w:tcW w:w="1032" w:type="pct"/>
                  <w:shd w:val="clear" w:color="auto" w:fill="auto"/>
                  <w:noWrap w:val="0"/>
                  <w:vAlign w:val="center"/>
                </w:tcPr>
                <w:p w14:paraId="6CC96A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p>
              </w:tc>
            </w:tr>
            <w:tr w14:paraId="073E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16F481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36</w:t>
                  </w:r>
                </w:p>
              </w:tc>
              <w:tc>
                <w:tcPr>
                  <w:tcW w:w="316" w:type="pct"/>
                  <w:vMerge w:val="continue"/>
                  <w:shd w:val="clear" w:color="auto" w:fill="auto"/>
                  <w:noWrap w:val="0"/>
                  <w:vAlign w:val="top"/>
                </w:tcPr>
                <w:p w14:paraId="588A73A2">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02B0A8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旋风除尘</w:t>
                  </w:r>
                </w:p>
              </w:tc>
              <w:tc>
                <w:tcPr>
                  <w:tcW w:w="1185" w:type="pct"/>
                  <w:shd w:val="clear" w:color="auto" w:fill="auto"/>
                  <w:noWrap w:val="0"/>
                  <w:vAlign w:val="center"/>
                </w:tcPr>
                <w:p w14:paraId="546858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rPr>
                  </w:pPr>
                  <w:r>
                    <w:rPr>
                      <w:rFonts w:hint="eastAsia" w:ascii="Times New Roman" w:hAnsi="Times New Roman" w:eastAsia="宋体" w:cs="Times New Roman"/>
                      <w:b w:val="0"/>
                      <w:bCs/>
                      <w:color w:val="000000"/>
                      <w:sz w:val="21"/>
                      <w:szCs w:val="21"/>
                      <w:lang w:val="en-US" w:eastAsia="zh-CN"/>
                    </w:rPr>
                    <w:t>直径：Φ700</w:t>
                  </w:r>
                </w:p>
              </w:tc>
              <w:tc>
                <w:tcPr>
                  <w:tcW w:w="490" w:type="pct"/>
                  <w:shd w:val="clear" w:color="auto" w:fill="auto"/>
                  <w:noWrap w:val="0"/>
                  <w:vAlign w:val="center"/>
                </w:tcPr>
                <w:p w14:paraId="69B142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4BAA66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304</w:t>
                  </w:r>
                </w:p>
              </w:tc>
              <w:tc>
                <w:tcPr>
                  <w:tcW w:w="1032" w:type="pct"/>
                  <w:shd w:val="clear" w:color="auto" w:fill="auto"/>
                  <w:noWrap w:val="0"/>
                  <w:vAlign w:val="center"/>
                </w:tcPr>
                <w:p w14:paraId="705671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p>
              </w:tc>
            </w:tr>
            <w:tr w14:paraId="2EE6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64044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37</w:t>
                  </w:r>
                </w:p>
              </w:tc>
              <w:tc>
                <w:tcPr>
                  <w:tcW w:w="316" w:type="pct"/>
                  <w:vMerge w:val="continue"/>
                  <w:shd w:val="clear" w:color="auto" w:fill="auto"/>
                  <w:noWrap w:val="0"/>
                  <w:vAlign w:val="top"/>
                </w:tcPr>
                <w:p w14:paraId="1220933A">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3A9271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收料风机</w:t>
                  </w:r>
                </w:p>
              </w:tc>
              <w:tc>
                <w:tcPr>
                  <w:tcW w:w="1185" w:type="pct"/>
                  <w:shd w:val="clear" w:color="auto" w:fill="auto"/>
                  <w:noWrap w:val="0"/>
                  <w:vAlign w:val="center"/>
                </w:tcPr>
                <w:p w14:paraId="1B5648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功率：15kW</w:t>
                  </w:r>
                  <w:r>
                    <w:rPr>
                      <w:rFonts w:hint="eastAsia" w:ascii="Times New Roman" w:hAnsi="Times New Roman" w:eastAsia="宋体" w:cs="Times New Roman"/>
                      <w:b w:val="0"/>
                      <w:bCs/>
                      <w:sz w:val="21"/>
                      <w:szCs w:val="21"/>
                      <w:vertAlign w:val="baseline"/>
                      <w:lang w:val="en-US" w:eastAsia="zh-CN"/>
                    </w:rPr>
                    <w:t>风量：4293-5941m</w:t>
                  </w:r>
                  <w:r>
                    <w:rPr>
                      <w:rFonts w:hint="eastAsia" w:ascii="Times New Roman" w:hAnsi="Times New Roman" w:eastAsia="宋体" w:cs="Times New Roman"/>
                      <w:b w:val="0"/>
                      <w:bCs/>
                      <w:sz w:val="21"/>
                      <w:szCs w:val="21"/>
                      <w:vertAlign w:val="superscript"/>
                      <w:lang w:val="en-US" w:eastAsia="zh-CN"/>
                    </w:rPr>
                    <w:t>3</w:t>
                  </w:r>
                  <w:r>
                    <w:rPr>
                      <w:rFonts w:hint="eastAsia" w:ascii="Times New Roman" w:hAnsi="Times New Roman" w:eastAsia="宋体" w:cs="Times New Roman"/>
                      <w:b w:val="0"/>
                      <w:bCs/>
                      <w:sz w:val="21"/>
                      <w:szCs w:val="21"/>
                      <w:vertAlign w:val="baseline"/>
                      <w:lang w:val="en-US" w:eastAsia="zh-CN"/>
                    </w:rPr>
                    <w:t>/h</w:t>
                  </w:r>
                </w:p>
              </w:tc>
              <w:tc>
                <w:tcPr>
                  <w:tcW w:w="490" w:type="pct"/>
                  <w:shd w:val="clear" w:color="auto" w:fill="auto"/>
                  <w:noWrap w:val="0"/>
                  <w:vAlign w:val="center"/>
                </w:tcPr>
                <w:p w14:paraId="78DBB0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1台</w:t>
                  </w:r>
                </w:p>
              </w:tc>
              <w:tc>
                <w:tcPr>
                  <w:tcW w:w="733" w:type="pct"/>
                  <w:shd w:val="clear" w:color="auto" w:fill="auto"/>
                  <w:noWrap w:val="0"/>
                  <w:vAlign w:val="center"/>
                </w:tcPr>
                <w:p w14:paraId="17892E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5D86D5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 xml:space="preserve"> 风压：6035~5553Pa </w:t>
                  </w:r>
                </w:p>
                <w:p w14:paraId="3B4EBD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p>
              </w:tc>
            </w:tr>
            <w:tr w14:paraId="3915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shd w:val="clear" w:color="auto" w:fill="auto"/>
                  <w:noWrap w:val="0"/>
                  <w:vAlign w:val="center"/>
                </w:tcPr>
                <w:p w14:paraId="724DEE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38</w:t>
                  </w:r>
                </w:p>
              </w:tc>
              <w:tc>
                <w:tcPr>
                  <w:tcW w:w="316" w:type="pct"/>
                  <w:vMerge w:val="restart"/>
                  <w:shd w:val="clear" w:color="auto" w:fill="auto"/>
                  <w:noWrap w:val="0"/>
                  <w:vAlign w:val="top"/>
                </w:tcPr>
                <w:p w14:paraId="75E0EB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尾</w:t>
                  </w:r>
                </w:p>
                <w:p w14:paraId="7CBB73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气</w:t>
                  </w:r>
                </w:p>
                <w:p w14:paraId="195492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除</w:t>
                  </w:r>
                </w:p>
                <w:p w14:paraId="0B0D8A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尘</w:t>
                  </w:r>
                </w:p>
                <w:p w14:paraId="3AD732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sz w:val="21"/>
                      <w:szCs w:val="21"/>
                    </w:rPr>
                  </w:pPr>
                  <w:r>
                    <w:rPr>
                      <w:rFonts w:ascii="Times New Roman" w:hAnsi="Times New Roman" w:eastAsia="宋体" w:cs="Times New Roman"/>
                      <w:b w:val="0"/>
                      <w:bCs/>
                      <w:color w:val="000000"/>
                      <w:sz w:val="21"/>
                      <w:szCs w:val="21"/>
                    </w:rPr>
                    <w:t>系统</w:t>
                  </w:r>
                </w:p>
              </w:tc>
              <w:tc>
                <w:tcPr>
                  <w:tcW w:w="835" w:type="pct"/>
                  <w:shd w:val="clear" w:color="auto" w:fill="auto"/>
                  <w:noWrap w:val="0"/>
                  <w:vAlign w:val="center"/>
                </w:tcPr>
                <w:p w14:paraId="1D07D9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喷淋配件</w:t>
                  </w:r>
                </w:p>
              </w:tc>
              <w:tc>
                <w:tcPr>
                  <w:tcW w:w="1185" w:type="pct"/>
                  <w:shd w:val="clear" w:color="auto" w:fill="auto"/>
                  <w:noWrap w:val="0"/>
                  <w:vAlign w:val="center"/>
                </w:tcPr>
                <w:p w14:paraId="27911D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6FAE96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7F5F2A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5001AD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￠159/￠133/￠133/</w:t>
                  </w:r>
                </w:p>
              </w:tc>
            </w:tr>
            <w:tr w14:paraId="2128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E12F3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39</w:t>
                  </w:r>
                </w:p>
              </w:tc>
              <w:tc>
                <w:tcPr>
                  <w:tcW w:w="316" w:type="pct"/>
                  <w:vMerge w:val="continue"/>
                  <w:shd w:val="clear" w:color="auto" w:fill="auto"/>
                  <w:noWrap w:val="0"/>
                  <w:vAlign w:val="top"/>
                </w:tcPr>
                <w:p w14:paraId="639379B2">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031708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水膜除尘器</w:t>
                  </w:r>
                </w:p>
              </w:tc>
              <w:tc>
                <w:tcPr>
                  <w:tcW w:w="1185" w:type="pct"/>
                  <w:shd w:val="clear" w:color="auto" w:fill="auto"/>
                  <w:noWrap w:val="0"/>
                  <w:vAlign w:val="center"/>
                </w:tcPr>
                <w:p w14:paraId="3CBED5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尺寸：</w:t>
                  </w:r>
                </w:p>
                <w:p w14:paraId="7EFB30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Φ2700</w:t>
                  </w:r>
                  <w:r>
                    <w:rPr>
                      <w:rFonts w:hint="default" w:ascii="Arial" w:hAnsi="Arial" w:eastAsia="宋体" w:cs="Arial"/>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6000</w:t>
                  </w:r>
                </w:p>
              </w:tc>
              <w:tc>
                <w:tcPr>
                  <w:tcW w:w="490" w:type="pct"/>
                  <w:shd w:val="clear" w:color="auto" w:fill="auto"/>
                  <w:noWrap w:val="0"/>
                  <w:vAlign w:val="center"/>
                </w:tcPr>
                <w:p w14:paraId="208A1B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1</w:t>
                  </w:r>
                  <w:r>
                    <w:rPr>
                      <w:rFonts w:ascii="Times New Roman" w:hAnsi="Times New Roman" w:eastAsia="宋体" w:cs="Times New Roman"/>
                      <w:b w:val="0"/>
                      <w:bCs/>
                      <w:color w:val="000000"/>
                      <w:sz w:val="21"/>
                      <w:szCs w:val="21"/>
                    </w:rPr>
                    <w:t>套</w:t>
                  </w:r>
                </w:p>
              </w:tc>
              <w:tc>
                <w:tcPr>
                  <w:tcW w:w="733" w:type="pct"/>
                  <w:shd w:val="clear" w:color="auto" w:fill="auto"/>
                  <w:noWrap w:val="0"/>
                  <w:vAlign w:val="center"/>
                </w:tcPr>
                <w:p w14:paraId="4F9655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53F62A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sz w:val="21"/>
                      <w:szCs w:val="21"/>
                      <w:vertAlign w:val="baseline"/>
                      <w:lang w:val="en-US" w:eastAsia="zh-CN"/>
                    </w:rPr>
                    <w:t>尾气用水喷淋吸尘，水箱内水循环使用，定期清理返回主塔干燥</w:t>
                  </w:r>
                </w:p>
              </w:tc>
            </w:tr>
            <w:tr w14:paraId="658D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A117B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40</w:t>
                  </w:r>
                </w:p>
              </w:tc>
              <w:tc>
                <w:tcPr>
                  <w:tcW w:w="316" w:type="pct"/>
                  <w:vMerge w:val="continue"/>
                  <w:shd w:val="clear" w:color="auto" w:fill="auto"/>
                  <w:noWrap w:val="0"/>
                  <w:vAlign w:val="top"/>
                </w:tcPr>
                <w:p w14:paraId="18DD4EC7">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67E7DB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水循环泵</w:t>
                  </w:r>
                </w:p>
              </w:tc>
              <w:tc>
                <w:tcPr>
                  <w:tcW w:w="1185" w:type="pct"/>
                  <w:shd w:val="clear" w:color="auto" w:fill="auto"/>
                  <w:noWrap w:val="0"/>
                  <w:vAlign w:val="center"/>
                </w:tcPr>
                <w:p w14:paraId="362D88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sz w:val="21"/>
                      <w:szCs w:val="21"/>
                      <w:vertAlign w:val="baseline"/>
                      <w:lang w:val="en-US" w:eastAsia="zh-CN"/>
                    </w:rPr>
                    <w:t>流量：6.5m</w:t>
                  </w:r>
                  <w:r>
                    <w:rPr>
                      <w:rFonts w:hint="eastAsia" w:ascii="Times New Roman" w:hAnsi="Times New Roman" w:eastAsia="宋体" w:cs="Times New Roman"/>
                      <w:b w:val="0"/>
                      <w:bCs/>
                      <w:sz w:val="21"/>
                      <w:szCs w:val="21"/>
                      <w:vertAlign w:val="superscript"/>
                      <w:lang w:val="en-US" w:eastAsia="zh-CN"/>
                    </w:rPr>
                    <w:t>3</w:t>
                  </w:r>
                  <w:r>
                    <w:rPr>
                      <w:rFonts w:hint="eastAsia" w:ascii="Times New Roman" w:hAnsi="Times New Roman" w:eastAsia="宋体" w:cs="Times New Roman"/>
                      <w:b w:val="0"/>
                      <w:bCs/>
                      <w:sz w:val="21"/>
                      <w:szCs w:val="21"/>
                      <w:vertAlign w:val="baseline"/>
                      <w:lang w:val="en-US" w:eastAsia="zh-CN"/>
                    </w:rPr>
                    <w:t>/h</w:t>
                  </w:r>
                </w:p>
              </w:tc>
              <w:tc>
                <w:tcPr>
                  <w:tcW w:w="490" w:type="pct"/>
                  <w:shd w:val="clear" w:color="auto" w:fill="auto"/>
                  <w:noWrap w:val="0"/>
                  <w:vAlign w:val="center"/>
                </w:tcPr>
                <w:p w14:paraId="03182B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6571A9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37A5DB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r>
            <w:tr w14:paraId="5DAF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65F2DB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41</w:t>
                  </w:r>
                </w:p>
              </w:tc>
              <w:tc>
                <w:tcPr>
                  <w:tcW w:w="316" w:type="pct"/>
                  <w:vMerge w:val="continue"/>
                  <w:shd w:val="clear" w:color="auto" w:fill="auto"/>
                  <w:noWrap w:val="0"/>
                  <w:vAlign w:val="top"/>
                </w:tcPr>
                <w:p w14:paraId="166CBC82">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23DAAD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烟囱尾气后排放</w:t>
                  </w:r>
                </w:p>
              </w:tc>
              <w:tc>
                <w:tcPr>
                  <w:tcW w:w="1185" w:type="pct"/>
                  <w:shd w:val="clear" w:color="auto" w:fill="auto"/>
                  <w:noWrap w:val="0"/>
                  <w:vAlign w:val="center"/>
                </w:tcPr>
                <w:p w14:paraId="7896D2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eastAsia="zh-CN"/>
                    </w:rPr>
                    <w:t>高：</w:t>
                  </w:r>
                  <w:r>
                    <w:rPr>
                      <w:rFonts w:hint="eastAsia" w:ascii="Times New Roman" w:hAnsi="Times New Roman" w:eastAsia="宋体" w:cs="Times New Roman"/>
                      <w:b w:val="0"/>
                      <w:bCs/>
                      <w:color w:val="000000"/>
                      <w:sz w:val="21"/>
                      <w:szCs w:val="21"/>
                      <w:lang w:val="en-US" w:eastAsia="zh-CN"/>
                    </w:rPr>
                    <w:t>24m</w:t>
                  </w:r>
                </w:p>
              </w:tc>
              <w:tc>
                <w:tcPr>
                  <w:tcW w:w="490" w:type="pct"/>
                  <w:shd w:val="clear" w:color="auto" w:fill="auto"/>
                  <w:noWrap w:val="0"/>
                  <w:vAlign w:val="center"/>
                </w:tcPr>
                <w:p w14:paraId="508F73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401331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781594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w:t>
                  </w:r>
                </w:p>
              </w:tc>
            </w:tr>
            <w:tr w14:paraId="4A16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68A21C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42</w:t>
                  </w:r>
                </w:p>
              </w:tc>
              <w:tc>
                <w:tcPr>
                  <w:tcW w:w="316" w:type="pct"/>
                  <w:vMerge w:val="restart"/>
                  <w:shd w:val="clear" w:color="auto" w:fill="auto"/>
                  <w:noWrap w:val="0"/>
                  <w:vAlign w:val="center"/>
                </w:tcPr>
                <w:p w14:paraId="42669E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控</w:t>
                  </w:r>
                </w:p>
                <w:p w14:paraId="3E8081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制</w:t>
                  </w:r>
                </w:p>
                <w:p w14:paraId="1EF163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系</w:t>
                  </w:r>
                </w:p>
                <w:p w14:paraId="287752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sz w:val="21"/>
                      <w:szCs w:val="21"/>
                    </w:rPr>
                  </w:pPr>
                  <w:r>
                    <w:rPr>
                      <w:rFonts w:ascii="Times New Roman" w:hAnsi="Times New Roman" w:eastAsia="宋体" w:cs="Times New Roman"/>
                      <w:b w:val="0"/>
                      <w:bCs/>
                      <w:color w:val="000000"/>
                      <w:sz w:val="21"/>
                      <w:szCs w:val="21"/>
                    </w:rPr>
                    <w:t>统</w:t>
                  </w:r>
                </w:p>
              </w:tc>
              <w:tc>
                <w:tcPr>
                  <w:tcW w:w="835" w:type="pct"/>
                  <w:shd w:val="clear" w:color="auto" w:fill="auto"/>
                  <w:noWrap w:val="0"/>
                  <w:vAlign w:val="center"/>
                </w:tcPr>
                <w:p w14:paraId="130508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电控柜</w:t>
                  </w:r>
                </w:p>
              </w:tc>
              <w:tc>
                <w:tcPr>
                  <w:tcW w:w="1185" w:type="pct"/>
                  <w:shd w:val="clear" w:color="auto" w:fill="auto"/>
                  <w:noWrap w:val="0"/>
                  <w:vAlign w:val="center"/>
                </w:tcPr>
                <w:p w14:paraId="03D000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0C1F3C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33E0F0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vMerge w:val="restart"/>
                  <w:shd w:val="clear" w:color="auto" w:fill="auto"/>
                  <w:noWrap w:val="0"/>
                  <w:vAlign w:val="center"/>
                </w:tcPr>
                <w:p w14:paraId="105BBD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sz w:val="21"/>
                      <w:szCs w:val="21"/>
                    </w:rPr>
                  </w:pPr>
                  <w:r>
                    <w:rPr>
                      <w:rFonts w:ascii="Times New Roman" w:hAnsi="Times New Roman" w:eastAsia="宋体" w:cs="Times New Roman"/>
                      <w:b w:val="0"/>
                      <w:bCs/>
                      <w:sz w:val="21"/>
                      <w:szCs w:val="21"/>
                    </w:rPr>
                    <w:t>PLC为西门子</w:t>
                  </w:r>
                </w:p>
                <w:p w14:paraId="4095BE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r>
                    <w:rPr>
                      <w:rFonts w:ascii="Times New Roman" w:hAnsi="Times New Roman" w:eastAsia="宋体" w:cs="Times New Roman"/>
                      <w:b w:val="0"/>
                      <w:bCs/>
                      <w:sz w:val="21"/>
                      <w:szCs w:val="21"/>
                    </w:rPr>
                    <w:t>电器</w:t>
                  </w:r>
                  <w:r>
                    <w:rPr>
                      <w:rFonts w:hint="eastAsia"/>
                      <w:lang w:eastAsia="zh-CN"/>
                    </w:rPr>
                    <w:t>，</w:t>
                  </w:r>
                  <w:r>
                    <w:rPr>
                      <w:rFonts w:ascii="Times New Roman" w:hAnsi="Times New Roman" w:eastAsia="宋体" w:cs="Times New Roman"/>
                      <w:b w:val="0"/>
                      <w:bCs/>
                      <w:sz w:val="21"/>
                      <w:szCs w:val="21"/>
                    </w:rPr>
                    <w:t>采用正泰品牌</w:t>
                  </w:r>
                </w:p>
              </w:tc>
            </w:tr>
            <w:tr w14:paraId="5D21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48467E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43</w:t>
                  </w:r>
                </w:p>
              </w:tc>
              <w:tc>
                <w:tcPr>
                  <w:tcW w:w="316" w:type="pct"/>
                  <w:vMerge w:val="continue"/>
                  <w:shd w:val="clear" w:color="auto" w:fill="auto"/>
                  <w:noWrap w:val="0"/>
                  <w:vAlign w:val="top"/>
                </w:tcPr>
                <w:p w14:paraId="72CE7CFA">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68E67B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可编程器</w:t>
                  </w:r>
                </w:p>
              </w:tc>
              <w:tc>
                <w:tcPr>
                  <w:tcW w:w="1185" w:type="pct"/>
                  <w:shd w:val="clear" w:color="auto" w:fill="auto"/>
                  <w:noWrap w:val="0"/>
                  <w:vAlign w:val="center"/>
                </w:tcPr>
                <w:p w14:paraId="24D3E7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418074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0AE176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vMerge w:val="continue"/>
                  <w:shd w:val="clear" w:color="auto" w:fill="auto"/>
                  <w:noWrap w:val="0"/>
                  <w:vAlign w:val="center"/>
                </w:tcPr>
                <w:p w14:paraId="1E5156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p>
              </w:tc>
            </w:tr>
            <w:tr w14:paraId="1BC1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76001A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44</w:t>
                  </w:r>
                </w:p>
              </w:tc>
              <w:tc>
                <w:tcPr>
                  <w:tcW w:w="316" w:type="pct"/>
                  <w:vMerge w:val="continue"/>
                  <w:shd w:val="clear" w:color="auto" w:fill="auto"/>
                  <w:noWrap w:val="0"/>
                  <w:vAlign w:val="top"/>
                </w:tcPr>
                <w:p w14:paraId="5BFA731C">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1DD0BC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温度模块，仪表等</w:t>
                  </w:r>
                </w:p>
              </w:tc>
              <w:tc>
                <w:tcPr>
                  <w:tcW w:w="1185" w:type="pct"/>
                  <w:shd w:val="clear" w:color="auto" w:fill="auto"/>
                  <w:noWrap w:val="0"/>
                  <w:vAlign w:val="center"/>
                </w:tcPr>
                <w:p w14:paraId="484493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625D85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543757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vMerge w:val="continue"/>
                  <w:shd w:val="clear" w:color="auto" w:fill="auto"/>
                  <w:noWrap w:val="0"/>
                  <w:vAlign w:val="center"/>
                </w:tcPr>
                <w:p w14:paraId="497A6B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p>
              </w:tc>
            </w:tr>
            <w:tr w14:paraId="1EC8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66F6BF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45</w:t>
                  </w:r>
                </w:p>
              </w:tc>
              <w:tc>
                <w:tcPr>
                  <w:tcW w:w="316" w:type="pct"/>
                  <w:vMerge w:val="continue"/>
                  <w:shd w:val="clear" w:color="auto" w:fill="auto"/>
                  <w:noWrap w:val="0"/>
                  <w:vAlign w:val="top"/>
                </w:tcPr>
                <w:p w14:paraId="15AA1C2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57CAA6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变频器</w:t>
                  </w:r>
                </w:p>
              </w:tc>
              <w:tc>
                <w:tcPr>
                  <w:tcW w:w="1185" w:type="pct"/>
                  <w:shd w:val="clear" w:color="auto" w:fill="auto"/>
                  <w:noWrap w:val="0"/>
                  <w:vAlign w:val="center"/>
                </w:tcPr>
                <w:p w14:paraId="605570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405B68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3套</w:t>
                  </w:r>
                </w:p>
              </w:tc>
              <w:tc>
                <w:tcPr>
                  <w:tcW w:w="733" w:type="pct"/>
                  <w:shd w:val="clear" w:color="auto" w:fill="auto"/>
                  <w:noWrap w:val="0"/>
                  <w:vAlign w:val="center"/>
                </w:tcPr>
                <w:p w14:paraId="442329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vMerge w:val="continue"/>
                  <w:shd w:val="clear" w:color="auto" w:fill="auto"/>
                  <w:noWrap w:val="0"/>
                  <w:vAlign w:val="center"/>
                </w:tcPr>
                <w:p w14:paraId="631A16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p>
              </w:tc>
            </w:tr>
            <w:tr w14:paraId="6D5D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65E7E4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46</w:t>
                  </w:r>
                </w:p>
              </w:tc>
              <w:tc>
                <w:tcPr>
                  <w:tcW w:w="316" w:type="pct"/>
                  <w:vMerge w:val="continue"/>
                  <w:shd w:val="clear" w:color="auto" w:fill="auto"/>
                  <w:noWrap w:val="0"/>
                  <w:vAlign w:val="top"/>
                </w:tcPr>
                <w:p w14:paraId="44E23B6F">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7ADD63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断路器接触器元</w:t>
                  </w:r>
                  <w:r>
                    <w:rPr>
                      <w:rFonts w:hint="eastAsia" w:cs="Times New Roman"/>
                      <w:b w:val="0"/>
                      <w:bCs/>
                      <w:color w:val="000000"/>
                      <w:sz w:val="21"/>
                      <w:szCs w:val="21"/>
                      <w:lang w:eastAsia="zh-CN"/>
                    </w:rPr>
                    <w:t>器</w:t>
                  </w:r>
                  <w:r>
                    <w:rPr>
                      <w:rFonts w:ascii="Times New Roman" w:hAnsi="Times New Roman" w:eastAsia="宋体" w:cs="Times New Roman"/>
                      <w:b w:val="0"/>
                      <w:bCs/>
                      <w:color w:val="000000"/>
                      <w:sz w:val="21"/>
                      <w:szCs w:val="21"/>
                    </w:rPr>
                    <w:t>件</w:t>
                  </w:r>
                </w:p>
              </w:tc>
              <w:tc>
                <w:tcPr>
                  <w:tcW w:w="1185" w:type="pct"/>
                  <w:shd w:val="clear" w:color="auto" w:fill="auto"/>
                  <w:noWrap w:val="0"/>
                  <w:vAlign w:val="center"/>
                </w:tcPr>
                <w:p w14:paraId="0D695C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1E469E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68837C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vMerge w:val="continue"/>
                  <w:shd w:val="clear" w:color="auto" w:fill="auto"/>
                  <w:noWrap w:val="0"/>
                  <w:vAlign w:val="center"/>
                </w:tcPr>
                <w:p w14:paraId="46E0B3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p>
              </w:tc>
            </w:tr>
            <w:tr w14:paraId="7388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375A78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47</w:t>
                  </w:r>
                </w:p>
              </w:tc>
              <w:tc>
                <w:tcPr>
                  <w:tcW w:w="316" w:type="pct"/>
                  <w:vMerge w:val="continue"/>
                  <w:shd w:val="clear" w:color="auto" w:fill="auto"/>
                  <w:noWrap w:val="0"/>
                  <w:vAlign w:val="top"/>
                </w:tcPr>
                <w:p w14:paraId="4C2EF191">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7FB5E1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触摸屏</w:t>
                  </w:r>
                </w:p>
              </w:tc>
              <w:tc>
                <w:tcPr>
                  <w:tcW w:w="1185" w:type="pct"/>
                  <w:shd w:val="clear" w:color="auto" w:fill="auto"/>
                  <w:noWrap w:val="0"/>
                  <w:vAlign w:val="center"/>
                </w:tcPr>
                <w:p w14:paraId="322F9B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741D99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6606C5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vMerge w:val="continue"/>
                  <w:shd w:val="clear" w:color="auto" w:fill="auto"/>
                  <w:noWrap w:val="0"/>
                  <w:vAlign w:val="center"/>
                </w:tcPr>
                <w:p w14:paraId="560DAB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p>
              </w:tc>
            </w:tr>
            <w:tr w14:paraId="2E40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715F7F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48</w:t>
                  </w:r>
                </w:p>
              </w:tc>
              <w:tc>
                <w:tcPr>
                  <w:tcW w:w="316" w:type="pct"/>
                  <w:vMerge w:val="continue"/>
                  <w:shd w:val="clear" w:color="auto" w:fill="auto"/>
                  <w:noWrap w:val="0"/>
                  <w:vAlign w:val="top"/>
                </w:tcPr>
                <w:p w14:paraId="6FDF0E6B">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681B9B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仪表</w:t>
                  </w:r>
                </w:p>
              </w:tc>
              <w:tc>
                <w:tcPr>
                  <w:tcW w:w="1185" w:type="pct"/>
                  <w:shd w:val="clear" w:color="auto" w:fill="auto"/>
                  <w:noWrap w:val="0"/>
                  <w:vAlign w:val="center"/>
                </w:tcPr>
                <w:p w14:paraId="0105D4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5BA83B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563FFC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w:t>
                  </w:r>
                </w:p>
              </w:tc>
              <w:tc>
                <w:tcPr>
                  <w:tcW w:w="1032" w:type="pct"/>
                  <w:vMerge w:val="continue"/>
                  <w:shd w:val="clear" w:color="auto" w:fill="auto"/>
                  <w:noWrap w:val="0"/>
                  <w:vAlign w:val="center"/>
                </w:tcPr>
                <w:p w14:paraId="329E3C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FF0000"/>
                      <w:sz w:val="21"/>
                      <w:szCs w:val="21"/>
                    </w:rPr>
                  </w:pPr>
                </w:p>
              </w:tc>
            </w:tr>
            <w:tr w14:paraId="046E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762FCB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49</w:t>
                  </w:r>
                </w:p>
              </w:tc>
              <w:tc>
                <w:tcPr>
                  <w:tcW w:w="316" w:type="pct"/>
                  <w:vMerge w:val="restart"/>
                  <w:shd w:val="clear" w:color="auto" w:fill="auto"/>
                  <w:noWrap w:val="0"/>
                  <w:vAlign w:val="center"/>
                </w:tcPr>
                <w:p w14:paraId="19EC411E">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其</w:t>
                  </w:r>
                </w:p>
                <w:p w14:paraId="0BD5E932">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s="Times New Roman"/>
                      <w:b w:val="0"/>
                      <w:bCs/>
                      <w:sz w:val="21"/>
                      <w:szCs w:val="21"/>
                    </w:rPr>
                  </w:pPr>
                  <w:r>
                    <w:rPr>
                      <w:rFonts w:ascii="Times New Roman" w:hAnsi="Times New Roman" w:eastAsia="宋体" w:cs="Times New Roman"/>
                      <w:b w:val="0"/>
                      <w:bCs/>
                      <w:color w:val="000000"/>
                      <w:sz w:val="21"/>
                      <w:szCs w:val="21"/>
                    </w:rPr>
                    <w:t>他</w:t>
                  </w:r>
                </w:p>
              </w:tc>
              <w:tc>
                <w:tcPr>
                  <w:tcW w:w="835" w:type="pct"/>
                  <w:shd w:val="clear" w:color="auto" w:fill="auto"/>
                  <w:noWrap w:val="0"/>
                  <w:vAlign w:val="center"/>
                </w:tcPr>
                <w:p w14:paraId="4ACE86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标准件</w:t>
                  </w:r>
                </w:p>
              </w:tc>
              <w:tc>
                <w:tcPr>
                  <w:tcW w:w="1185" w:type="pct"/>
                  <w:shd w:val="clear" w:color="auto" w:fill="auto"/>
                  <w:noWrap w:val="0"/>
                  <w:vAlign w:val="center"/>
                </w:tcPr>
                <w:p w14:paraId="013205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lang w:val="en-US" w:eastAsia="zh-CN"/>
                    </w:rPr>
                    <w:t>/</w:t>
                  </w:r>
                </w:p>
              </w:tc>
              <w:tc>
                <w:tcPr>
                  <w:tcW w:w="490" w:type="pct"/>
                  <w:shd w:val="clear" w:color="auto" w:fill="auto"/>
                  <w:noWrap w:val="0"/>
                  <w:vAlign w:val="center"/>
                </w:tcPr>
                <w:p w14:paraId="1C3E26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4E85A8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组合件</w:t>
                  </w:r>
                </w:p>
              </w:tc>
              <w:tc>
                <w:tcPr>
                  <w:tcW w:w="1032" w:type="pct"/>
                  <w:shd w:val="clear" w:color="auto" w:fill="auto"/>
                  <w:noWrap w:val="0"/>
                  <w:vAlign w:val="center"/>
                </w:tcPr>
                <w:p w14:paraId="01FD8B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0842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095AA4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50</w:t>
                  </w:r>
                </w:p>
              </w:tc>
              <w:tc>
                <w:tcPr>
                  <w:tcW w:w="316" w:type="pct"/>
                  <w:vMerge w:val="continue"/>
                  <w:shd w:val="clear" w:color="auto" w:fill="auto"/>
                  <w:noWrap w:val="0"/>
                  <w:vAlign w:val="top"/>
                </w:tcPr>
                <w:p w14:paraId="1C739DAF">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6006BA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kern w:val="2"/>
                      <w:sz w:val="21"/>
                      <w:szCs w:val="21"/>
                      <w:lang w:val="en-US" w:eastAsia="zh-CN" w:bidi="ar-SA"/>
                    </w:rPr>
                  </w:pPr>
                  <w:r>
                    <w:rPr>
                      <w:rFonts w:ascii="Times New Roman" w:hAnsi="Times New Roman" w:eastAsia="宋体" w:cs="Times New Roman"/>
                      <w:b w:val="0"/>
                      <w:bCs/>
                      <w:color w:val="000000"/>
                      <w:sz w:val="21"/>
                      <w:szCs w:val="21"/>
                    </w:rPr>
                    <w:t>成品储料罐</w:t>
                  </w:r>
                </w:p>
              </w:tc>
              <w:tc>
                <w:tcPr>
                  <w:tcW w:w="1185" w:type="pct"/>
                  <w:shd w:val="clear" w:color="auto" w:fill="auto"/>
                  <w:noWrap w:val="0"/>
                  <w:vAlign w:val="center"/>
                </w:tcPr>
                <w:p w14:paraId="65270A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容积：8</w:t>
                  </w:r>
                  <w:r>
                    <w:rPr>
                      <w:rFonts w:hint="eastAsia" w:ascii="Times New Roman" w:hAnsi="Times New Roman" w:eastAsia="宋体" w:cs="Times New Roman"/>
                      <w:b w:val="0"/>
                      <w:bCs/>
                      <w:sz w:val="21"/>
                      <w:szCs w:val="21"/>
                      <w:vertAlign w:val="baseline"/>
                      <w:lang w:val="en-US" w:eastAsia="zh-CN"/>
                    </w:rPr>
                    <w:t>m</w:t>
                  </w:r>
                  <w:r>
                    <w:rPr>
                      <w:rFonts w:hint="eastAsia" w:ascii="Times New Roman" w:hAnsi="Times New Roman" w:eastAsia="宋体" w:cs="Times New Roman"/>
                      <w:b w:val="0"/>
                      <w:bCs/>
                      <w:sz w:val="21"/>
                      <w:szCs w:val="21"/>
                      <w:vertAlign w:val="superscript"/>
                      <w:lang w:val="en-US" w:eastAsia="zh-CN"/>
                    </w:rPr>
                    <w:t>3</w:t>
                  </w:r>
                </w:p>
              </w:tc>
              <w:tc>
                <w:tcPr>
                  <w:tcW w:w="490" w:type="pct"/>
                  <w:shd w:val="clear" w:color="auto" w:fill="auto"/>
                  <w:noWrap w:val="0"/>
                  <w:vAlign w:val="center"/>
                </w:tcPr>
                <w:p w14:paraId="78D2FB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kern w:val="2"/>
                      <w:sz w:val="21"/>
                      <w:szCs w:val="21"/>
                      <w:lang w:val="en-US" w:eastAsia="zh-CN" w:bidi="ar-SA"/>
                    </w:rPr>
                  </w:pPr>
                  <w:r>
                    <w:rPr>
                      <w:rFonts w:ascii="Times New Roman" w:hAnsi="Times New Roman" w:eastAsia="宋体" w:cs="Times New Roman"/>
                      <w:b w:val="0"/>
                      <w:bCs/>
                      <w:color w:val="000000"/>
                      <w:sz w:val="21"/>
                      <w:szCs w:val="21"/>
                    </w:rPr>
                    <w:t>1套</w:t>
                  </w:r>
                </w:p>
              </w:tc>
              <w:tc>
                <w:tcPr>
                  <w:tcW w:w="733" w:type="pct"/>
                  <w:shd w:val="clear" w:color="auto" w:fill="auto"/>
                  <w:noWrap w:val="0"/>
                  <w:vAlign w:val="center"/>
                </w:tcPr>
                <w:p w14:paraId="6760AB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kern w:val="2"/>
                      <w:sz w:val="21"/>
                      <w:szCs w:val="21"/>
                      <w:lang w:val="en-US" w:eastAsia="zh-CN" w:bidi="ar-SA"/>
                    </w:rPr>
                  </w:pPr>
                  <w:r>
                    <w:rPr>
                      <w:rFonts w:ascii="Times New Roman" w:hAnsi="Times New Roman" w:eastAsia="宋体" w:cs="Times New Roman"/>
                      <w:b w:val="0"/>
                      <w:bCs/>
                      <w:color w:val="000000"/>
                      <w:sz w:val="21"/>
                      <w:szCs w:val="21"/>
                    </w:rPr>
                    <w:t>Q235</w:t>
                  </w:r>
                </w:p>
              </w:tc>
              <w:tc>
                <w:tcPr>
                  <w:tcW w:w="1032" w:type="pct"/>
                  <w:shd w:val="clear" w:color="auto" w:fill="auto"/>
                  <w:noWrap w:val="0"/>
                  <w:vAlign w:val="center"/>
                </w:tcPr>
                <w:p w14:paraId="5651DF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w:t>
                  </w:r>
                </w:p>
              </w:tc>
            </w:tr>
            <w:tr w14:paraId="107A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shd w:val="clear" w:color="auto" w:fill="auto"/>
                  <w:noWrap w:val="0"/>
                  <w:vAlign w:val="center"/>
                </w:tcPr>
                <w:p w14:paraId="75FEB0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51</w:t>
                  </w:r>
                </w:p>
              </w:tc>
              <w:tc>
                <w:tcPr>
                  <w:tcW w:w="316" w:type="pct"/>
                  <w:vMerge w:val="continue"/>
                  <w:shd w:val="clear" w:color="auto" w:fill="auto"/>
                  <w:noWrap w:val="0"/>
                  <w:vAlign w:val="top"/>
                </w:tcPr>
                <w:p w14:paraId="74A64E1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 w:val="0"/>
                      <w:bCs/>
                      <w:sz w:val="21"/>
                      <w:szCs w:val="21"/>
                    </w:rPr>
                  </w:pPr>
                </w:p>
              </w:tc>
              <w:tc>
                <w:tcPr>
                  <w:tcW w:w="835" w:type="pct"/>
                  <w:shd w:val="clear" w:color="auto" w:fill="auto"/>
                  <w:noWrap w:val="0"/>
                  <w:vAlign w:val="center"/>
                </w:tcPr>
                <w:p w14:paraId="323D0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kern w:val="2"/>
                      <w:sz w:val="21"/>
                      <w:szCs w:val="21"/>
                      <w:lang w:val="en-US" w:eastAsia="zh-CN" w:bidi="ar-SA"/>
                    </w:rPr>
                  </w:pPr>
                  <w:r>
                    <w:rPr>
                      <w:rFonts w:ascii="Times New Roman" w:hAnsi="Times New Roman" w:eastAsia="宋体" w:cs="Times New Roman"/>
                      <w:b w:val="0"/>
                      <w:bCs/>
                      <w:color w:val="000000"/>
                      <w:sz w:val="21"/>
                      <w:szCs w:val="21"/>
                    </w:rPr>
                    <w:t>过滤器</w:t>
                  </w:r>
                </w:p>
              </w:tc>
              <w:tc>
                <w:tcPr>
                  <w:tcW w:w="1185" w:type="pct"/>
                  <w:shd w:val="clear" w:color="auto" w:fill="auto"/>
                  <w:noWrap w:val="0"/>
                  <w:vAlign w:val="center"/>
                </w:tcPr>
                <w:p w14:paraId="3AC6ED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w:t>
                  </w:r>
                </w:p>
              </w:tc>
              <w:tc>
                <w:tcPr>
                  <w:tcW w:w="490" w:type="pct"/>
                  <w:shd w:val="clear" w:color="auto" w:fill="auto"/>
                  <w:noWrap w:val="0"/>
                  <w:vAlign w:val="center"/>
                </w:tcPr>
                <w:p w14:paraId="2BC557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color w:val="000000"/>
                      <w:kern w:val="2"/>
                      <w:sz w:val="21"/>
                      <w:szCs w:val="21"/>
                      <w:lang w:val="en-US" w:eastAsia="zh-CN" w:bidi="ar-SA"/>
                    </w:rPr>
                  </w:pPr>
                  <w:r>
                    <w:rPr>
                      <w:rFonts w:ascii="Times New Roman" w:hAnsi="Times New Roman" w:eastAsia="宋体" w:cs="Times New Roman"/>
                      <w:b w:val="0"/>
                      <w:bCs/>
                      <w:color w:val="000000"/>
                      <w:sz w:val="21"/>
                      <w:szCs w:val="21"/>
                    </w:rPr>
                    <w:t>2套</w:t>
                  </w:r>
                </w:p>
              </w:tc>
              <w:tc>
                <w:tcPr>
                  <w:tcW w:w="733" w:type="pct"/>
                  <w:shd w:val="clear" w:color="auto" w:fill="auto"/>
                  <w:noWrap w:val="0"/>
                  <w:vAlign w:val="center"/>
                </w:tcPr>
                <w:p w14:paraId="630E7F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w:t>
                  </w:r>
                </w:p>
              </w:tc>
              <w:tc>
                <w:tcPr>
                  <w:tcW w:w="1032" w:type="pct"/>
                  <w:shd w:val="clear" w:color="auto" w:fill="auto"/>
                  <w:noWrap w:val="0"/>
                  <w:vAlign w:val="center"/>
                </w:tcPr>
                <w:p w14:paraId="5506EE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w:t>
                  </w:r>
                </w:p>
              </w:tc>
            </w:tr>
          </w:tbl>
          <w:p w14:paraId="5DFB739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b/>
                <w:kern w:val="0"/>
                <w:sz w:val="24"/>
              </w:rPr>
              <w:t>5</w:t>
            </w:r>
            <w:r>
              <w:rPr>
                <w:rFonts w:hint="eastAsia" w:hAnsi="宋体"/>
                <w:b/>
                <w:kern w:val="0"/>
                <w:sz w:val="24"/>
                <w:lang w:val="en-US" w:eastAsia="zh-CN"/>
              </w:rPr>
              <w:t>.</w:t>
            </w:r>
            <w:r>
              <w:rPr>
                <w:rFonts w:hAnsi="宋体"/>
                <w:b/>
                <w:kern w:val="0"/>
                <w:sz w:val="24"/>
              </w:rPr>
              <w:t>原辅材料</w:t>
            </w:r>
          </w:p>
          <w:p w14:paraId="58E241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kern w:val="0"/>
                <w:sz w:val="24"/>
              </w:rPr>
            </w:pPr>
            <w:r>
              <w:rPr>
                <w:kern w:val="0"/>
                <w:sz w:val="24"/>
              </w:rPr>
              <w:t>本项目主要原料包括</w:t>
            </w:r>
            <w:r>
              <w:rPr>
                <w:rFonts w:hint="eastAsia"/>
                <w:kern w:val="0"/>
                <w:sz w:val="24"/>
                <w:lang w:eastAsia="zh-CN"/>
              </w:rPr>
              <w:t>萘系减水剂中和后的半成品、甲醛吸收塔排放的尾气及</w:t>
            </w:r>
            <w:r>
              <w:rPr>
                <w:kern w:val="0"/>
                <w:sz w:val="24"/>
              </w:rPr>
              <w:t>机油</w:t>
            </w:r>
            <w:r>
              <w:rPr>
                <w:rFonts w:hint="eastAsia"/>
                <w:kern w:val="0"/>
                <w:sz w:val="24"/>
              </w:rPr>
              <w:t>；</w:t>
            </w:r>
            <w:r>
              <w:rPr>
                <w:kern w:val="0"/>
                <w:sz w:val="24"/>
              </w:rPr>
              <w:t>本项目实施后，</w:t>
            </w:r>
            <w:r>
              <w:rPr>
                <w:rFonts w:hint="eastAsia"/>
                <w:kern w:val="0"/>
                <w:sz w:val="24"/>
                <w:lang w:eastAsia="zh-CN"/>
              </w:rPr>
              <w:t>甲醛吸收塔尾气</w:t>
            </w:r>
            <w:r>
              <w:rPr>
                <w:rFonts w:hint="eastAsia"/>
                <w:kern w:val="0"/>
                <w:sz w:val="24"/>
              </w:rPr>
              <w:t>的来源及</w:t>
            </w:r>
            <w:r>
              <w:rPr>
                <w:rFonts w:hint="eastAsia"/>
                <w:kern w:val="0"/>
                <w:sz w:val="24"/>
                <w:lang w:eastAsia="zh-CN"/>
              </w:rPr>
              <w:t>产生量</w:t>
            </w:r>
            <w:r>
              <w:rPr>
                <w:rFonts w:hint="eastAsia"/>
                <w:kern w:val="0"/>
                <w:sz w:val="24"/>
              </w:rPr>
              <w:t>不变。</w:t>
            </w:r>
            <w:r>
              <w:rPr>
                <w:rFonts w:hint="eastAsia" w:ascii="Times New Roman" w:hAnsi="Times New Roman" w:eastAsia="宋体" w:cs="Times New Roman"/>
                <w:b w:val="0"/>
                <w:bCs w:val="0"/>
                <w:sz w:val="24"/>
                <w:szCs w:val="24"/>
                <w:lang w:val="en-US" w:eastAsia="zh-CN"/>
              </w:rPr>
              <w:t>具体见</w:t>
            </w:r>
            <w:r>
              <w:rPr>
                <w:kern w:val="0"/>
                <w:sz w:val="24"/>
              </w:rPr>
              <w:t>下</w:t>
            </w:r>
            <w:r>
              <w:rPr>
                <w:rFonts w:hint="eastAsia" w:ascii="Times New Roman" w:hAnsi="Times New Roman" w:eastAsia="宋体" w:cs="Times New Roman"/>
                <w:b w:val="0"/>
                <w:bCs w:val="0"/>
                <w:sz w:val="24"/>
                <w:szCs w:val="24"/>
                <w:lang w:val="en-US" w:eastAsia="zh-CN"/>
              </w:rPr>
              <w:t>表</w:t>
            </w:r>
            <w:r>
              <w:rPr>
                <w:kern w:val="0"/>
                <w:sz w:val="24"/>
              </w:rPr>
              <w:t>。</w:t>
            </w:r>
          </w:p>
          <w:p w14:paraId="744FAC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0"/>
                <w:sz w:val="24"/>
              </w:rPr>
            </w:pPr>
            <w:r>
              <w:rPr>
                <w:rFonts w:hint="eastAsia"/>
                <w:kern w:val="0"/>
                <w:sz w:val="24"/>
              </w:rPr>
              <w:t>表2-</w:t>
            </w:r>
            <w:r>
              <w:rPr>
                <w:rFonts w:hint="eastAsia"/>
                <w:kern w:val="0"/>
                <w:sz w:val="24"/>
                <w:lang w:val="en-US" w:eastAsia="zh-CN"/>
              </w:rPr>
              <w:t>12</w:t>
            </w:r>
            <w:r>
              <w:rPr>
                <w:rFonts w:hint="eastAsia"/>
                <w:kern w:val="0"/>
                <w:sz w:val="24"/>
              </w:rPr>
              <w:t xml:space="preserve">  原辅材料消耗量表</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76"/>
              <w:gridCol w:w="1512"/>
              <w:gridCol w:w="1472"/>
              <w:gridCol w:w="2083"/>
              <w:gridCol w:w="1174"/>
              <w:gridCol w:w="1340"/>
            </w:tblGrid>
            <w:tr w14:paraId="40745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40" w:hRule="atLeast"/>
              </w:trPr>
              <w:tc>
                <w:tcPr>
                  <w:tcW w:w="353" w:type="pct"/>
                  <w:shd w:val="clear" w:color="auto" w:fill="auto"/>
                  <w:noWrap w:val="0"/>
                  <w:vAlign w:val="center"/>
                </w:tcPr>
                <w:p w14:paraId="324C059B">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926" w:type="pct"/>
                  <w:shd w:val="clear" w:color="auto" w:fill="auto"/>
                  <w:noWrap w:val="0"/>
                  <w:vAlign w:val="center"/>
                </w:tcPr>
                <w:p w14:paraId="7AB53B14">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名称</w:t>
                  </w:r>
                </w:p>
              </w:tc>
              <w:tc>
                <w:tcPr>
                  <w:tcW w:w="902" w:type="pct"/>
                  <w:shd w:val="clear" w:color="auto" w:fill="auto"/>
                  <w:noWrap w:val="0"/>
                  <w:vAlign w:val="center"/>
                </w:tcPr>
                <w:p w14:paraId="2E610280">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技改前</w:t>
                  </w:r>
                  <w:r>
                    <w:rPr>
                      <w:rFonts w:hint="eastAsia" w:eastAsia="宋体" w:cs="Times New Roman"/>
                      <w:kern w:val="0"/>
                      <w:sz w:val="21"/>
                      <w:szCs w:val="21"/>
                      <w:lang w:eastAsia="zh-CN"/>
                    </w:rPr>
                    <w:t>项目</w:t>
                  </w:r>
                  <w:r>
                    <w:rPr>
                      <w:rFonts w:hint="default" w:ascii="Times New Roman" w:hAnsi="Times New Roman" w:eastAsia="宋体" w:cs="Times New Roman"/>
                      <w:kern w:val="0"/>
                      <w:sz w:val="21"/>
                      <w:szCs w:val="21"/>
                      <w:lang w:eastAsia="zh-CN"/>
                    </w:rPr>
                    <w:t>用量</w:t>
                  </w:r>
                  <w:r>
                    <w:rPr>
                      <w:rFonts w:hint="eastAsia" w:eastAsia="宋体" w:cs="Times New Roman"/>
                      <w:kern w:val="0"/>
                      <w:sz w:val="21"/>
                      <w:szCs w:val="21"/>
                      <w:lang w:eastAsia="zh-CN"/>
                    </w:rPr>
                    <w:t>（</w:t>
                  </w:r>
                  <w:r>
                    <w:rPr>
                      <w:rFonts w:hint="default" w:ascii="Times New Roman" w:hAnsi="Times New Roman" w:eastAsia="宋体" w:cs="Times New Roman"/>
                      <w:kern w:val="0"/>
                      <w:sz w:val="21"/>
                      <w:szCs w:val="21"/>
                    </w:rPr>
                    <w:t>t/a</w:t>
                  </w:r>
                  <w:r>
                    <w:rPr>
                      <w:rFonts w:hint="eastAsia" w:eastAsia="宋体" w:cs="Times New Roman"/>
                      <w:kern w:val="0"/>
                      <w:sz w:val="21"/>
                      <w:szCs w:val="21"/>
                      <w:lang w:eastAsia="zh-CN"/>
                    </w:rPr>
                    <w:t>）</w:t>
                  </w:r>
                </w:p>
              </w:tc>
              <w:tc>
                <w:tcPr>
                  <w:tcW w:w="1276" w:type="pct"/>
                  <w:shd w:val="clear" w:color="auto" w:fill="auto"/>
                  <w:noWrap w:val="0"/>
                  <w:vAlign w:val="center"/>
                </w:tcPr>
                <w:p w14:paraId="113DEDB7">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技改</w:t>
                  </w:r>
                  <w:r>
                    <w:rPr>
                      <w:rFonts w:hint="default" w:ascii="Times New Roman" w:hAnsi="Times New Roman" w:eastAsia="宋体" w:cs="Times New Roman"/>
                      <w:kern w:val="0"/>
                      <w:sz w:val="21"/>
                      <w:szCs w:val="21"/>
                      <w:lang w:eastAsia="zh-CN"/>
                    </w:rPr>
                    <w:t>后</w:t>
                  </w:r>
                  <w:r>
                    <w:rPr>
                      <w:rFonts w:hint="default" w:ascii="Times New Roman" w:hAnsi="Times New Roman" w:eastAsia="宋体" w:cs="Times New Roman"/>
                      <w:kern w:val="0"/>
                      <w:sz w:val="21"/>
                      <w:szCs w:val="21"/>
                    </w:rPr>
                    <w:t>项目</w:t>
                  </w:r>
                </w:p>
                <w:p w14:paraId="1B86FC74">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用量</w:t>
                  </w:r>
                  <w:r>
                    <w:rPr>
                      <w:rFonts w:hint="eastAsia" w:eastAsia="宋体" w:cs="Times New Roman"/>
                      <w:kern w:val="0"/>
                      <w:sz w:val="21"/>
                      <w:szCs w:val="21"/>
                      <w:lang w:eastAsia="zh-CN"/>
                    </w:rPr>
                    <w:t>（</w:t>
                  </w:r>
                  <w:r>
                    <w:rPr>
                      <w:rFonts w:hint="default" w:ascii="Times New Roman" w:hAnsi="Times New Roman" w:eastAsia="宋体" w:cs="Times New Roman"/>
                      <w:kern w:val="0"/>
                      <w:sz w:val="21"/>
                      <w:szCs w:val="21"/>
                    </w:rPr>
                    <w:t>t/a</w:t>
                  </w:r>
                  <w:r>
                    <w:rPr>
                      <w:rFonts w:hint="eastAsia" w:eastAsia="宋体" w:cs="Times New Roman"/>
                      <w:kern w:val="0"/>
                      <w:sz w:val="21"/>
                      <w:szCs w:val="21"/>
                      <w:lang w:eastAsia="zh-CN"/>
                    </w:rPr>
                    <w:t>）</w:t>
                  </w:r>
                </w:p>
              </w:tc>
              <w:tc>
                <w:tcPr>
                  <w:tcW w:w="719" w:type="pct"/>
                  <w:tcBorders>
                    <w:left w:val="single" w:color="auto" w:sz="4" w:space="0"/>
                  </w:tcBorders>
                  <w:shd w:val="clear" w:color="auto" w:fill="auto"/>
                  <w:noWrap w:val="0"/>
                  <w:vAlign w:val="center"/>
                </w:tcPr>
                <w:p w14:paraId="5472CB2A">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全厂变化量</w:t>
                  </w:r>
                  <w:r>
                    <w:rPr>
                      <w:rFonts w:hint="eastAsia" w:eastAsia="宋体" w:cs="Times New Roman"/>
                      <w:kern w:val="0"/>
                      <w:sz w:val="21"/>
                      <w:szCs w:val="21"/>
                      <w:lang w:eastAsia="zh-CN"/>
                    </w:rPr>
                    <w:t>（</w:t>
                  </w:r>
                  <w:r>
                    <w:rPr>
                      <w:rFonts w:hint="default" w:ascii="Times New Roman" w:hAnsi="Times New Roman" w:eastAsia="宋体" w:cs="Times New Roman"/>
                      <w:kern w:val="0"/>
                      <w:sz w:val="21"/>
                      <w:szCs w:val="21"/>
                    </w:rPr>
                    <w:t>t/a</w:t>
                  </w:r>
                  <w:r>
                    <w:rPr>
                      <w:rFonts w:hint="eastAsia" w:eastAsia="宋体" w:cs="Times New Roman"/>
                      <w:kern w:val="0"/>
                      <w:sz w:val="21"/>
                      <w:szCs w:val="21"/>
                      <w:lang w:eastAsia="zh-CN"/>
                    </w:rPr>
                    <w:t>）</w:t>
                  </w:r>
                </w:p>
              </w:tc>
              <w:tc>
                <w:tcPr>
                  <w:tcW w:w="821" w:type="pct"/>
                  <w:shd w:val="clear" w:color="auto" w:fill="auto"/>
                  <w:noWrap w:val="0"/>
                  <w:vAlign w:val="center"/>
                </w:tcPr>
                <w:p w14:paraId="23636D5E">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备注</w:t>
                  </w:r>
                </w:p>
              </w:tc>
            </w:tr>
            <w:tr w14:paraId="0462B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3" w:type="pct"/>
                  <w:shd w:val="clear" w:color="auto" w:fill="auto"/>
                  <w:noWrap w:val="0"/>
                  <w:vAlign w:val="center"/>
                </w:tcPr>
                <w:p w14:paraId="4F613802">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926" w:type="pct"/>
                  <w:shd w:val="clear" w:color="auto" w:fill="auto"/>
                  <w:noWrap w:val="0"/>
                  <w:vAlign w:val="center"/>
                </w:tcPr>
                <w:p w14:paraId="60FD03E9">
                  <w:pPr>
                    <w:jc w:val="center"/>
                    <w:rPr>
                      <w:rFonts w:hint="default" w:ascii="Times New Roman" w:hAnsi="Times New Roman" w:eastAsia="宋体" w:cs="Times New Roman"/>
                      <w:kern w:val="0"/>
                      <w:sz w:val="21"/>
                      <w:szCs w:val="21"/>
                      <w:lang w:eastAsia="zh-CN"/>
                    </w:rPr>
                  </w:pPr>
                  <w:r>
                    <w:rPr>
                      <w:rFonts w:hint="eastAsia"/>
                      <w:kern w:val="0"/>
                      <w:sz w:val="21"/>
                      <w:szCs w:val="21"/>
                      <w:lang w:eastAsia="zh-CN"/>
                    </w:rPr>
                    <w:t>萘系减水剂中和后的半成品</w:t>
                  </w:r>
                </w:p>
              </w:tc>
              <w:tc>
                <w:tcPr>
                  <w:tcW w:w="902" w:type="pct"/>
                  <w:shd w:val="clear" w:color="auto" w:fill="auto"/>
                  <w:noWrap w:val="0"/>
                  <w:vAlign w:val="center"/>
                </w:tcPr>
                <w:p w14:paraId="5E235F93">
                  <w:pPr>
                    <w:jc w:val="center"/>
                    <w:rPr>
                      <w:rFonts w:hint="eastAsia" w:ascii="Times New Roman" w:hAnsi="Times New Roman"/>
                      <w:kern w:val="0"/>
                      <w:sz w:val="21"/>
                      <w:szCs w:val="21"/>
                      <w:lang w:val="en-US" w:eastAsia="zh-CN" w:bidi="ar-SA"/>
                    </w:rPr>
                  </w:pPr>
                  <w:r>
                    <w:rPr>
                      <w:kern w:val="0"/>
                      <w:sz w:val="21"/>
                      <w:szCs w:val="21"/>
                    </w:rPr>
                    <w:t>40875.27</w:t>
                  </w:r>
                </w:p>
              </w:tc>
              <w:tc>
                <w:tcPr>
                  <w:tcW w:w="1276" w:type="pct"/>
                  <w:shd w:val="clear" w:color="auto" w:fill="auto"/>
                  <w:noWrap w:val="0"/>
                  <w:vAlign w:val="center"/>
                </w:tcPr>
                <w:p w14:paraId="2C55E249">
                  <w:pPr>
                    <w:jc w:val="center"/>
                    <w:rPr>
                      <w:rFonts w:hint="default" w:ascii="Times New Roman" w:hAnsi="Times New Roman" w:eastAsia="宋体"/>
                      <w:kern w:val="0"/>
                      <w:sz w:val="21"/>
                      <w:szCs w:val="21"/>
                      <w:lang w:val="en-US" w:eastAsia="zh-CN" w:bidi="ar-SA"/>
                    </w:rPr>
                  </w:pPr>
                  <w:r>
                    <w:rPr>
                      <w:rFonts w:hint="eastAsia"/>
                      <w:kern w:val="0"/>
                      <w:sz w:val="21"/>
                      <w:szCs w:val="21"/>
                      <w:lang w:val="en-US" w:eastAsia="zh-CN"/>
                    </w:rPr>
                    <w:t>18000</w:t>
                  </w:r>
                </w:p>
              </w:tc>
              <w:tc>
                <w:tcPr>
                  <w:tcW w:w="719" w:type="pct"/>
                  <w:tcBorders>
                    <w:left w:val="single" w:color="auto" w:sz="4" w:space="0"/>
                  </w:tcBorders>
                  <w:shd w:val="clear" w:color="auto" w:fill="auto"/>
                  <w:noWrap w:val="0"/>
                  <w:vAlign w:val="center"/>
                </w:tcPr>
                <w:p w14:paraId="156C8461">
                  <w:pPr>
                    <w:jc w:val="center"/>
                    <w:rPr>
                      <w:rFonts w:hint="default" w:ascii="Times New Roman" w:hAnsi="Times New Roman" w:eastAsia="宋体"/>
                      <w:kern w:val="0"/>
                      <w:sz w:val="21"/>
                      <w:szCs w:val="21"/>
                      <w:lang w:val="en-US" w:eastAsia="zh-CN" w:bidi="ar-SA"/>
                    </w:rPr>
                  </w:pPr>
                  <w:r>
                    <w:rPr>
                      <w:kern w:val="0"/>
                      <w:sz w:val="21"/>
                      <w:szCs w:val="21"/>
                    </w:rPr>
                    <w:t>-</w:t>
                  </w:r>
                  <w:r>
                    <w:rPr>
                      <w:rFonts w:hint="eastAsia"/>
                      <w:kern w:val="0"/>
                      <w:sz w:val="21"/>
                      <w:szCs w:val="21"/>
                      <w:lang w:val="en-US" w:eastAsia="zh-CN"/>
                    </w:rPr>
                    <w:t>22875.27</w:t>
                  </w:r>
                </w:p>
              </w:tc>
              <w:tc>
                <w:tcPr>
                  <w:tcW w:w="821" w:type="pct"/>
                  <w:shd w:val="clear" w:color="auto" w:fill="auto"/>
                  <w:noWrap w:val="0"/>
                  <w:vAlign w:val="center"/>
                </w:tcPr>
                <w:p w14:paraId="55BAE7A1">
                  <w:pPr>
                    <w:jc w:val="center"/>
                    <w:rPr>
                      <w:rFonts w:hint="eastAsia" w:ascii="Times New Roman" w:hAnsi="Times New Roman"/>
                      <w:kern w:val="0"/>
                      <w:sz w:val="21"/>
                      <w:szCs w:val="21"/>
                      <w:lang w:val="en-US" w:eastAsia="zh-CN" w:bidi="ar-SA"/>
                    </w:rPr>
                  </w:pPr>
                  <w:r>
                    <w:rPr>
                      <w:rFonts w:hint="eastAsia"/>
                      <w:kern w:val="0"/>
                      <w:sz w:val="21"/>
                      <w:szCs w:val="21"/>
                    </w:rPr>
                    <w:t>萘系减水剂生产中的半成品</w:t>
                  </w:r>
                </w:p>
              </w:tc>
            </w:tr>
            <w:tr w14:paraId="5EC65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3" w:type="pct"/>
                  <w:shd w:val="clear" w:color="auto" w:fill="auto"/>
                  <w:noWrap w:val="0"/>
                  <w:vAlign w:val="center"/>
                </w:tcPr>
                <w:p w14:paraId="435B5CB3">
                  <w:pPr>
                    <w:jc w:val="center"/>
                    <w:rPr>
                      <w:rFonts w:hint="default" w:ascii="Times New Roman" w:hAnsi="Times New Roman" w:eastAsia="宋体" w:cs="Times New Roman"/>
                      <w:kern w:val="0"/>
                      <w:sz w:val="21"/>
                      <w:szCs w:val="21"/>
                      <w:highlight w:val="none"/>
                      <w:lang w:val="en-US" w:eastAsia="zh-CN" w:bidi="ar-SA"/>
                    </w:rPr>
                  </w:pPr>
                  <w:r>
                    <w:rPr>
                      <w:rFonts w:hint="eastAsia" w:eastAsia="宋体" w:cs="Times New Roman"/>
                      <w:kern w:val="0"/>
                      <w:sz w:val="21"/>
                      <w:szCs w:val="21"/>
                      <w:highlight w:val="none"/>
                      <w:lang w:val="en-US" w:eastAsia="zh-CN"/>
                    </w:rPr>
                    <w:t>2</w:t>
                  </w:r>
                </w:p>
              </w:tc>
              <w:tc>
                <w:tcPr>
                  <w:tcW w:w="926" w:type="pct"/>
                  <w:vMerge w:val="restart"/>
                  <w:shd w:val="clear" w:color="auto" w:fill="auto"/>
                  <w:noWrap w:val="0"/>
                  <w:vAlign w:val="center"/>
                </w:tcPr>
                <w:p w14:paraId="0A8DC2D7">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萘系</w:t>
                  </w:r>
                  <w:r>
                    <w:rPr>
                      <w:rFonts w:hint="eastAsia" w:ascii="Times New Roman" w:hAnsi="Times New Roman" w:eastAsia="宋体" w:cs="Times New Roman"/>
                      <w:kern w:val="0"/>
                      <w:sz w:val="21"/>
                      <w:szCs w:val="21"/>
                      <w:lang w:eastAsia="zh-CN"/>
                    </w:rPr>
                    <w:t>减水剂粉剂的生产所需的燃料</w:t>
                  </w:r>
                </w:p>
              </w:tc>
              <w:tc>
                <w:tcPr>
                  <w:tcW w:w="902" w:type="pct"/>
                  <w:shd w:val="clear" w:color="auto" w:fill="auto"/>
                  <w:noWrap w:val="0"/>
                  <w:vAlign w:val="center"/>
                </w:tcPr>
                <w:p w14:paraId="1ACB0F2C">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15568.36</w:t>
                  </w:r>
                </w:p>
                <w:p w14:paraId="59E77CDC">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（生物质）</w:t>
                  </w:r>
                </w:p>
              </w:tc>
              <w:tc>
                <w:tcPr>
                  <w:tcW w:w="1276" w:type="pct"/>
                  <w:shd w:val="clear" w:color="auto" w:fill="auto"/>
                  <w:noWrap w:val="0"/>
                  <w:vAlign w:val="center"/>
                </w:tcPr>
                <w:p w14:paraId="7D6E19D8">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0.0</w:t>
                  </w:r>
                </w:p>
              </w:tc>
              <w:tc>
                <w:tcPr>
                  <w:tcW w:w="719" w:type="pct"/>
                  <w:tcBorders>
                    <w:left w:val="single" w:color="auto" w:sz="4" w:space="0"/>
                  </w:tcBorders>
                  <w:shd w:val="clear" w:color="auto" w:fill="auto"/>
                  <w:noWrap w:val="0"/>
                  <w:vAlign w:val="center"/>
                </w:tcPr>
                <w:p w14:paraId="2377C6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kern w:val="0"/>
                      <w:sz w:val="21"/>
                      <w:szCs w:val="21"/>
                      <w:vertAlign w:val="baseline"/>
                      <w:lang w:val="en-US" w:eastAsia="zh-CN" w:bidi="ar-SA"/>
                    </w:rPr>
                  </w:pPr>
                  <w:r>
                    <w:rPr>
                      <w:rFonts w:hint="eastAsia"/>
                      <w:kern w:val="0"/>
                      <w:sz w:val="21"/>
                      <w:szCs w:val="21"/>
                      <w:vertAlign w:val="baseline"/>
                      <w:lang w:val="en-US" w:eastAsia="zh-CN" w:bidi="ar-SA"/>
                    </w:rPr>
                    <w:t>-</w:t>
                  </w:r>
                  <w:r>
                    <w:rPr>
                      <w:rFonts w:hint="eastAsia" w:ascii="Times New Roman" w:hAnsi="Times New Roman" w:eastAsia="宋体" w:cs="Times New Roman"/>
                      <w:kern w:val="0"/>
                      <w:sz w:val="21"/>
                      <w:szCs w:val="21"/>
                      <w:lang w:val="en-US" w:eastAsia="zh-CN"/>
                    </w:rPr>
                    <w:t>15568.36</w:t>
                  </w:r>
                </w:p>
              </w:tc>
              <w:tc>
                <w:tcPr>
                  <w:tcW w:w="821" w:type="pct"/>
                  <w:shd w:val="clear" w:color="auto" w:fill="auto"/>
                  <w:noWrap w:val="0"/>
                  <w:vAlign w:val="center"/>
                </w:tcPr>
                <w:p w14:paraId="7E99BACD">
                  <w:pPr>
                    <w:jc w:val="center"/>
                    <w:rPr>
                      <w:rFonts w:hint="default" w:ascii="Times New Roman" w:hAnsi="Times New Roman" w:eastAsia="宋体" w:cs="Times New Roman"/>
                      <w:kern w:val="0"/>
                      <w:sz w:val="21"/>
                      <w:szCs w:val="21"/>
                      <w:highlight w:val="yellow"/>
                      <w:lang w:val="en-US" w:eastAsia="zh-CN" w:bidi="ar-SA"/>
                    </w:rPr>
                  </w:pPr>
                  <w:r>
                    <w:rPr>
                      <w:rFonts w:hint="eastAsia" w:ascii="Times New Roman" w:hAnsi="Times New Roman" w:eastAsia="宋体" w:cs="Times New Roman"/>
                      <w:kern w:val="0"/>
                      <w:sz w:val="21"/>
                      <w:szCs w:val="21"/>
                      <w:highlight w:val="none"/>
                      <w:lang w:val="en-US" w:eastAsia="zh-CN" w:bidi="ar-SA"/>
                    </w:rPr>
                    <w:t>/</w:t>
                  </w:r>
                </w:p>
              </w:tc>
            </w:tr>
            <w:tr w14:paraId="60375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3" w:type="pct"/>
                  <w:shd w:val="clear" w:color="auto" w:fill="auto"/>
                  <w:noWrap w:val="0"/>
                  <w:vAlign w:val="center"/>
                </w:tcPr>
                <w:p w14:paraId="2E4206C5">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w:t>
                  </w:r>
                </w:p>
              </w:tc>
              <w:tc>
                <w:tcPr>
                  <w:tcW w:w="926" w:type="pct"/>
                  <w:vMerge w:val="continue"/>
                  <w:shd w:val="clear" w:color="auto" w:fill="auto"/>
                  <w:noWrap w:val="0"/>
                  <w:vAlign w:val="center"/>
                </w:tcPr>
                <w:p w14:paraId="0189CD21">
                  <w:pPr>
                    <w:jc w:val="center"/>
                    <w:rPr>
                      <w:rFonts w:hint="default" w:ascii="Times New Roman" w:hAnsi="Times New Roman" w:eastAsia="宋体" w:cs="Times New Roman"/>
                      <w:kern w:val="0"/>
                      <w:sz w:val="21"/>
                      <w:szCs w:val="21"/>
                      <w:lang w:val="en-US" w:eastAsia="zh-CN" w:bidi="ar-SA"/>
                    </w:rPr>
                  </w:pPr>
                </w:p>
              </w:tc>
              <w:tc>
                <w:tcPr>
                  <w:tcW w:w="902" w:type="pct"/>
                  <w:shd w:val="clear" w:color="auto" w:fill="auto"/>
                  <w:noWrap w:val="0"/>
                  <w:vAlign w:val="center"/>
                </w:tcPr>
                <w:p w14:paraId="7F8F66BF">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1276" w:type="pct"/>
                  <w:shd w:val="clear" w:color="auto" w:fill="auto"/>
                  <w:noWrap w:val="0"/>
                  <w:vAlign w:val="center"/>
                </w:tcPr>
                <w:p w14:paraId="67D0CEB1">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4162.79</w:t>
                  </w:r>
                </w:p>
                <w:p w14:paraId="009E5255">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（现有的甲醛尾气）</w:t>
                  </w:r>
                </w:p>
              </w:tc>
              <w:tc>
                <w:tcPr>
                  <w:tcW w:w="719" w:type="pct"/>
                  <w:tcBorders>
                    <w:left w:val="single" w:color="auto" w:sz="4" w:space="0"/>
                  </w:tcBorders>
                  <w:shd w:val="clear" w:color="auto" w:fill="auto"/>
                  <w:noWrap w:val="0"/>
                  <w:vAlign w:val="center"/>
                </w:tcPr>
                <w:p w14:paraId="4D8C62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kern w:val="0"/>
                      <w:sz w:val="21"/>
                      <w:szCs w:val="21"/>
                      <w:vertAlign w:val="baseline"/>
                      <w:lang w:val="en-US" w:eastAsia="zh-CN" w:bidi="ar-SA"/>
                    </w:rPr>
                  </w:pPr>
                  <w:r>
                    <w:rPr>
                      <w:rFonts w:hint="eastAsia"/>
                      <w:kern w:val="0"/>
                      <w:sz w:val="21"/>
                      <w:szCs w:val="21"/>
                      <w:vertAlign w:val="baseline"/>
                      <w:lang w:val="en-US" w:eastAsia="zh-CN" w:bidi="ar-SA"/>
                    </w:rPr>
                    <w:t>+</w:t>
                  </w:r>
                  <w:r>
                    <w:rPr>
                      <w:rFonts w:hint="eastAsia" w:ascii="Times New Roman" w:hAnsi="Times New Roman" w:eastAsia="宋体" w:cs="Times New Roman"/>
                      <w:kern w:val="0"/>
                      <w:sz w:val="21"/>
                      <w:szCs w:val="21"/>
                      <w:lang w:val="en-US" w:eastAsia="zh-CN"/>
                    </w:rPr>
                    <w:t>4162.79</w:t>
                  </w:r>
                </w:p>
              </w:tc>
              <w:tc>
                <w:tcPr>
                  <w:tcW w:w="821" w:type="pct"/>
                  <w:shd w:val="clear" w:color="auto" w:fill="auto"/>
                  <w:noWrap w:val="0"/>
                  <w:vAlign w:val="center"/>
                </w:tcPr>
                <w:p w14:paraId="70E4B6FF">
                  <w:pPr>
                    <w:jc w:val="center"/>
                    <w:rPr>
                      <w:rFonts w:hint="eastAsia" w:ascii="Times New Roman" w:hAnsi="Times New Roman" w:eastAsia="宋体" w:cs="Times New Roman"/>
                      <w:kern w:val="0"/>
                      <w:sz w:val="21"/>
                      <w:szCs w:val="21"/>
                      <w:highlight w:val="yellow"/>
                      <w:lang w:val="en-US" w:eastAsia="zh-CN" w:bidi="ar-SA"/>
                    </w:rPr>
                  </w:pPr>
                  <w:r>
                    <w:rPr>
                      <w:rFonts w:hint="eastAsia"/>
                      <w:kern w:val="0"/>
                      <w:sz w:val="21"/>
                      <w:szCs w:val="21"/>
                      <w:vertAlign w:val="baseline"/>
                      <w:lang w:val="en-US" w:eastAsia="zh-CN"/>
                    </w:rPr>
                    <w:t>全部使用现有甲醛尾气</w:t>
                  </w:r>
                </w:p>
              </w:tc>
            </w:tr>
            <w:tr w14:paraId="36745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3" w:type="pct"/>
                  <w:shd w:val="clear" w:color="auto" w:fill="auto"/>
                  <w:noWrap w:val="0"/>
                  <w:vAlign w:val="center"/>
                </w:tcPr>
                <w:p w14:paraId="57E1600A">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926" w:type="pct"/>
                  <w:shd w:val="clear" w:color="auto" w:fill="auto"/>
                  <w:noWrap w:val="0"/>
                  <w:vAlign w:val="center"/>
                </w:tcPr>
                <w:p w14:paraId="06787616">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机油</w:t>
                  </w:r>
                </w:p>
              </w:tc>
              <w:tc>
                <w:tcPr>
                  <w:tcW w:w="902" w:type="pct"/>
                  <w:shd w:val="clear" w:color="auto" w:fill="auto"/>
                  <w:noWrap w:val="0"/>
                  <w:vAlign w:val="center"/>
                </w:tcPr>
                <w:p w14:paraId="1B5A6291">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0.5</w:t>
                  </w:r>
                </w:p>
              </w:tc>
              <w:tc>
                <w:tcPr>
                  <w:tcW w:w="1276" w:type="pct"/>
                  <w:shd w:val="clear" w:color="auto" w:fill="auto"/>
                  <w:noWrap w:val="0"/>
                  <w:vAlign w:val="center"/>
                </w:tcPr>
                <w:p w14:paraId="7CCA5194">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0.1</w:t>
                  </w:r>
                </w:p>
              </w:tc>
              <w:tc>
                <w:tcPr>
                  <w:tcW w:w="719" w:type="pct"/>
                  <w:tcBorders>
                    <w:left w:val="single" w:color="auto" w:sz="4" w:space="0"/>
                  </w:tcBorders>
                  <w:shd w:val="clear" w:color="auto" w:fill="auto"/>
                  <w:noWrap w:val="0"/>
                  <w:vAlign w:val="center"/>
                </w:tcPr>
                <w:p w14:paraId="512CE1B6">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+0.1</w:t>
                  </w:r>
                </w:p>
              </w:tc>
              <w:tc>
                <w:tcPr>
                  <w:tcW w:w="821" w:type="pct"/>
                  <w:shd w:val="clear" w:color="auto" w:fill="auto"/>
                  <w:noWrap w:val="0"/>
                  <w:vAlign w:val="center"/>
                </w:tcPr>
                <w:p w14:paraId="5A65F041">
                  <w:pPr>
                    <w:jc w:val="center"/>
                    <w:rPr>
                      <w:rFonts w:hint="eastAsia" w:eastAsia="宋体" w:cs="Times New Roman"/>
                      <w:kern w:val="0"/>
                      <w:sz w:val="21"/>
                      <w:szCs w:val="21"/>
                      <w:lang w:eastAsia="zh-CN"/>
                    </w:rPr>
                  </w:pPr>
                  <w:r>
                    <w:rPr>
                      <w:rFonts w:hint="default" w:ascii="Times New Roman" w:hAnsi="Times New Roman" w:eastAsia="宋体" w:cs="Times New Roman"/>
                      <w:kern w:val="0"/>
                      <w:sz w:val="21"/>
                      <w:szCs w:val="21"/>
                    </w:rPr>
                    <w:t>生产设备维修保养</w:t>
                  </w:r>
                </w:p>
              </w:tc>
            </w:tr>
          </w:tbl>
          <w:p w14:paraId="6F779D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本项目干燥过程的物料平衡见下表。</w:t>
            </w:r>
          </w:p>
          <w:p w14:paraId="6765B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表2-13  干燥过程的物料平衡一览表</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23"/>
              <w:gridCol w:w="1364"/>
              <w:gridCol w:w="1498"/>
              <w:gridCol w:w="1369"/>
              <w:gridCol w:w="2803"/>
            </w:tblGrid>
            <w:tr w14:paraId="43FA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42" w:type="pct"/>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3BB96AC">
                  <w:pPr>
                    <w:autoSpaceDE w:val="0"/>
                    <w:autoSpaceDN w:val="0"/>
                    <w:adjustRightInd w:val="0"/>
                    <w:jc w:val="center"/>
                    <w:rPr>
                      <w:rFonts w:cs="TimesNewRomanPSMT"/>
                      <w:color w:val="auto"/>
                      <w:szCs w:val="21"/>
                    </w:rPr>
                  </w:pPr>
                  <w:r>
                    <w:rPr>
                      <w:rFonts w:hint="eastAsia" w:cs="TimesNewRomanPSMT"/>
                      <w:color w:val="auto"/>
                      <w:szCs w:val="21"/>
                    </w:rPr>
                    <w:t>投入</w:t>
                  </w:r>
                </w:p>
              </w:tc>
              <w:tc>
                <w:tcPr>
                  <w:tcW w:w="2557"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8F2DFEE">
                  <w:pPr>
                    <w:autoSpaceDE w:val="0"/>
                    <w:autoSpaceDN w:val="0"/>
                    <w:adjustRightInd w:val="0"/>
                    <w:jc w:val="center"/>
                    <w:rPr>
                      <w:rFonts w:cs="TimesNewRomanPSMT"/>
                      <w:color w:val="auto"/>
                      <w:szCs w:val="21"/>
                    </w:rPr>
                  </w:pPr>
                  <w:r>
                    <w:rPr>
                      <w:rFonts w:hint="eastAsia" w:cs="TimesNewRomanPSMT"/>
                      <w:color w:val="auto"/>
                      <w:szCs w:val="21"/>
                    </w:rPr>
                    <w:t>产出</w:t>
                  </w:r>
                </w:p>
              </w:tc>
            </w:tr>
            <w:tr w14:paraId="0DC1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E6D63F5">
                  <w:pPr>
                    <w:autoSpaceDE w:val="0"/>
                    <w:autoSpaceDN w:val="0"/>
                    <w:adjustRightInd w:val="0"/>
                    <w:jc w:val="center"/>
                    <w:rPr>
                      <w:rFonts w:cs="TimesNewRomanPSMT"/>
                      <w:color w:val="auto"/>
                      <w:szCs w:val="21"/>
                    </w:rPr>
                  </w:pPr>
                  <w:r>
                    <w:rPr>
                      <w:rFonts w:hint="eastAsia" w:cs="TimesNewRomanPSMT"/>
                      <w:color w:val="auto"/>
                      <w:szCs w:val="21"/>
                    </w:rPr>
                    <w:t>原辅料名称</w:t>
                  </w:r>
                </w:p>
              </w:tc>
              <w:tc>
                <w:tcPr>
                  <w:tcW w:w="9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80BFDF">
                  <w:pPr>
                    <w:autoSpaceDE w:val="0"/>
                    <w:autoSpaceDN w:val="0"/>
                    <w:adjustRightInd w:val="0"/>
                    <w:jc w:val="center"/>
                    <w:rPr>
                      <w:rFonts w:cs="TimesNewRomanPSMT"/>
                      <w:color w:val="auto"/>
                      <w:szCs w:val="21"/>
                    </w:rPr>
                  </w:pPr>
                  <w:r>
                    <w:rPr>
                      <w:rFonts w:hint="eastAsia" w:cs="TimesNewRomanPSMT"/>
                      <w:color w:val="auto"/>
                      <w:szCs w:val="21"/>
                    </w:rPr>
                    <w:t>数量</w:t>
                  </w:r>
                </w:p>
              </w:tc>
              <w:tc>
                <w:tcPr>
                  <w:tcW w:w="8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89DE04">
                  <w:pPr>
                    <w:autoSpaceDE w:val="0"/>
                    <w:autoSpaceDN w:val="0"/>
                    <w:adjustRightInd w:val="0"/>
                    <w:jc w:val="center"/>
                    <w:rPr>
                      <w:rFonts w:cs="TimesNewRomanPSMT"/>
                      <w:color w:val="auto"/>
                      <w:szCs w:val="21"/>
                    </w:rPr>
                  </w:pPr>
                  <w:r>
                    <w:rPr>
                      <w:rFonts w:hint="eastAsia" w:cs="TimesNewRomanPSMT"/>
                      <w:color w:val="auto"/>
                      <w:szCs w:val="21"/>
                    </w:rPr>
                    <w:t>产物名称</w:t>
                  </w:r>
                </w:p>
              </w:tc>
              <w:tc>
                <w:tcPr>
                  <w:tcW w:w="17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EC7CA8">
                  <w:pPr>
                    <w:autoSpaceDE w:val="0"/>
                    <w:autoSpaceDN w:val="0"/>
                    <w:adjustRightInd w:val="0"/>
                    <w:jc w:val="center"/>
                    <w:rPr>
                      <w:rFonts w:cs="TimesNewRomanPSMT"/>
                      <w:color w:val="auto"/>
                      <w:szCs w:val="21"/>
                    </w:rPr>
                  </w:pPr>
                  <w:r>
                    <w:rPr>
                      <w:rFonts w:hint="eastAsia" w:cs="TimesNewRomanPSMT"/>
                      <w:color w:val="auto"/>
                      <w:szCs w:val="21"/>
                    </w:rPr>
                    <w:t>数量</w:t>
                  </w:r>
                </w:p>
              </w:tc>
            </w:tr>
            <w:tr w14:paraId="189E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vMerge w:val="restart"/>
                  <w:tcBorders>
                    <w:top w:val="single" w:color="auto" w:sz="4" w:space="0"/>
                    <w:left w:val="single" w:color="auto" w:sz="4" w:space="0"/>
                    <w:right w:val="single" w:color="auto" w:sz="4" w:space="0"/>
                  </w:tcBorders>
                  <w:shd w:val="clear" w:color="auto" w:fill="auto"/>
                  <w:noWrap w:val="0"/>
                  <w:vAlign w:val="center"/>
                </w:tcPr>
                <w:p w14:paraId="10FECB36">
                  <w:pPr>
                    <w:jc w:val="center"/>
                    <w:rPr>
                      <w:color w:val="auto"/>
                      <w:szCs w:val="21"/>
                    </w:rPr>
                  </w:pPr>
                  <w:r>
                    <w:rPr>
                      <w:rFonts w:hint="default" w:ascii="Times New Roman" w:hAnsi="Times New Roman" w:eastAsia="宋体" w:cs="Times New Roman"/>
                      <w:color w:val="auto"/>
                      <w:kern w:val="0"/>
                      <w:sz w:val="21"/>
                      <w:szCs w:val="21"/>
                      <w:lang w:eastAsia="zh-CN"/>
                    </w:rPr>
                    <w:t>萘系减水剂中和后的半成品</w:t>
                  </w:r>
                </w:p>
              </w:tc>
              <w:tc>
                <w:tcPr>
                  <w:tcW w:w="8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7AFE01">
                  <w:pPr>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其他成分</w:t>
                  </w:r>
                </w:p>
              </w:tc>
              <w:tc>
                <w:tcPr>
                  <w:tcW w:w="9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89D72F">
                  <w:pPr>
                    <w:pStyle w:val="23"/>
                    <w:jc w:val="center"/>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6874.79</w:t>
                  </w:r>
                </w:p>
              </w:tc>
              <w:tc>
                <w:tcPr>
                  <w:tcW w:w="8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F1A99D">
                  <w:pPr>
                    <w:autoSpaceDE w:val="0"/>
                    <w:autoSpaceDN w:val="0"/>
                    <w:adjustRightInd w:val="0"/>
                    <w:jc w:val="center"/>
                    <w:rPr>
                      <w:rFonts w:cs="TimesNewRomanPSMT"/>
                      <w:color w:val="auto"/>
                      <w:szCs w:val="21"/>
                    </w:rPr>
                  </w:pPr>
                  <w:r>
                    <w:rPr>
                      <w:rFonts w:hint="eastAsia" w:cs="TimesNewRomanPSMT"/>
                      <w:color w:val="auto"/>
                      <w:szCs w:val="21"/>
                    </w:rPr>
                    <w:t>产品</w:t>
                  </w:r>
                </w:p>
              </w:tc>
              <w:tc>
                <w:tcPr>
                  <w:tcW w:w="17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BBF462">
                  <w:pPr>
                    <w:autoSpaceDE w:val="0"/>
                    <w:autoSpaceDN w:val="0"/>
                    <w:adjustRightInd w:val="0"/>
                    <w:jc w:val="center"/>
                    <w:rPr>
                      <w:rFonts w:hint="default" w:eastAsia="宋体" w:cs="TimesNewRomanPSMT"/>
                      <w:color w:val="auto"/>
                      <w:szCs w:val="21"/>
                      <w:lang w:val="en-US" w:eastAsia="zh-CN"/>
                    </w:rPr>
                  </w:pPr>
                  <w:r>
                    <w:rPr>
                      <w:rFonts w:hint="eastAsia"/>
                      <w:color w:val="auto"/>
                      <w:szCs w:val="21"/>
                      <w:lang w:val="en-US" w:eastAsia="zh-CN"/>
                    </w:rPr>
                    <w:t>7200</w:t>
                  </w:r>
                </w:p>
              </w:tc>
            </w:tr>
            <w:tr w14:paraId="662C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pct"/>
                  <w:vMerge w:val="continue"/>
                  <w:tcBorders>
                    <w:left w:val="single" w:color="auto" w:sz="4" w:space="0"/>
                    <w:right w:val="single" w:color="auto" w:sz="4" w:space="0"/>
                  </w:tcBorders>
                  <w:shd w:val="clear" w:color="auto" w:fill="auto"/>
                  <w:noWrap w:val="0"/>
                  <w:vAlign w:val="center"/>
                </w:tcPr>
                <w:p w14:paraId="4E911E70">
                  <w:pPr>
                    <w:jc w:val="center"/>
                    <w:rPr>
                      <w:rFonts w:hint="eastAsia" w:eastAsia="宋体"/>
                      <w:bCs/>
                      <w:color w:val="auto"/>
                      <w:szCs w:val="21"/>
                      <w:lang w:eastAsia="zh-CN"/>
                    </w:rPr>
                  </w:pPr>
                </w:p>
              </w:tc>
              <w:tc>
                <w:tcPr>
                  <w:tcW w:w="8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7FC54B">
                  <w:pPr>
                    <w:jc w:val="center"/>
                    <w:rPr>
                      <w:rFonts w:hint="eastAsia"/>
                      <w:bCs/>
                      <w:color w:val="auto"/>
                      <w:szCs w:val="21"/>
                      <w:lang w:eastAsia="zh-CN"/>
                    </w:rPr>
                  </w:pPr>
                  <w:r>
                    <w:rPr>
                      <w:rFonts w:hint="eastAsia"/>
                      <w:bCs/>
                      <w:color w:val="auto"/>
                      <w:szCs w:val="21"/>
                      <w:lang w:eastAsia="zh-CN"/>
                    </w:rPr>
                    <w:t>含水率</w:t>
                  </w:r>
                </w:p>
              </w:tc>
              <w:tc>
                <w:tcPr>
                  <w:tcW w:w="9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BA91D1">
                  <w:pPr>
                    <w:pStyle w:val="23"/>
                    <w:jc w:val="center"/>
                    <w:rPr>
                      <w:rFonts w:hint="default" w:ascii="Times New Roman" w:hAnsi="Times New Roman" w:cs="宋体"/>
                      <w:color w:val="auto"/>
                      <w:sz w:val="21"/>
                      <w:lang w:val="en-US" w:eastAsia="zh-CN"/>
                    </w:rPr>
                  </w:pPr>
                  <w:r>
                    <w:rPr>
                      <w:rFonts w:hint="eastAsia" w:ascii="Times New Roman" w:hAnsi="Times New Roman" w:cs="宋体"/>
                      <w:color w:val="auto"/>
                      <w:sz w:val="21"/>
                      <w:lang w:val="en-US" w:eastAsia="zh-CN"/>
                    </w:rPr>
                    <w:t>11124</w:t>
                  </w:r>
                </w:p>
              </w:tc>
              <w:tc>
                <w:tcPr>
                  <w:tcW w:w="839" w:type="pct"/>
                  <w:tcBorders>
                    <w:top w:val="single" w:color="auto" w:sz="4" w:space="0"/>
                    <w:left w:val="single" w:color="auto" w:sz="4" w:space="0"/>
                    <w:right w:val="single" w:color="auto" w:sz="4" w:space="0"/>
                  </w:tcBorders>
                  <w:shd w:val="clear" w:color="auto" w:fill="auto"/>
                  <w:noWrap w:val="0"/>
                  <w:vAlign w:val="center"/>
                </w:tcPr>
                <w:p w14:paraId="7BA16899">
                  <w:pPr>
                    <w:autoSpaceDE w:val="0"/>
                    <w:autoSpaceDN w:val="0"/>
                    <w:adjustRightInd w:val="0"/>
                    <w:jc w:val="center"/>
                    <w:rPr>
                      <w:rFonts w:cs="TimesNewRomanPSMT"/>
                      <w:color w:val="auto"/>
                      <w:szCs w:val="21"/>
                    </w:rPr>
                  </w:pPr>
                  <w:r>
                    <w:rPr>
                      <w:rFonts w:hint="eastAsia" w:cs="TimesNewRomanPSMT"/>
                      <w:color w:val="auto"/>
                      <w:szCs w:val="21"/>
                    </w:rPr>
                    <w:t>蒸发损失水</w:t>
                  </w:r>
                </w:p>
              </w:tc>
              <w:tc>
                <w:tcPr>
                  <w:tcW w:w="17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A09366">
                  <w:pPr>
                    <w:autoSpaceDE w:val="0"/>
                    <w:autoSpaceDN w:val="0"/>
                    <w:adjustRightInd w:val="0"/>
                    <w:jc w:val="center"/>
                    <w:rPr>
                      <w:rFonts w:hint="default" w:eastAsia="宋体" w:cs="TimesNewRomanPSMT"/>
                      <w:color w:val="auto"/>
                      <w:szCs w:val="21"/>
                      <w:lang w:val="en-US" w:eastAsia="zh-CN"/>
                    </w:rPr>
                  </w:pPr>
                  <w:r>
                    <w:rPr>
                      <w:rFonts w:hint="eastAsia" w:eastAsia="宋体" w:cs="TimesNewRomanPSMT"/>
                      <w:color w:val="auto"/>
                      <w:szCs w:val="21"/>
                      <w:lang w:val="en-US" w:eastAsia="zh-CN"/>
                    </w:rPr>
                    <w:t>10796.32</w:t>
                  </w:r>
                </w:p>
              </w:tc>
            </w:tr>
            <w:tr w14:paraId="4B29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vMerge w:val="continue"/>
                  <w:tcBorders>
                    <w:left w:val="single" w:color="auto" w:sz="4" w:space="0"/>
                    <w:bottom w:val="single" w:color="auto" w:sz="4" w:space="0"/>
                    <w:right w:val="single" w:color="auto" w:sz="4" w:space="0"/>
                  </w:tcBorders>
                  <w:shd w:val="clear" w:color="auto" w:fill="auto"/>
                  <w:noWrap w:val="0"/>
                  <w:vAlign w:val="center"/>
                </w:tcPr>
                <w:p w14:paraId="603BADAB">
                  <w:pPr>
                    <w:jc w:val="center"/>
                    <w:rPr>
                      <w:rFonts w:hint="eastAsia" w:eastAsia="宋体"/>
                      <w:bCs/>
                      <w:color w:val="auto"/>
                      <w:szCs w:val="21"/>
                      <w:lang w:eastAsia="zh-CN"/>
                    </w:rPr>
                  </w:pPr>
                </w:p>
              </w:tc>
              <w:tc>
                <w:tcPr>
                  <w:tcW w:w="83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85EED2D">
                  <w:pPr>
                    <w:jc w:val="center"/>
                    <w:rPr>
                      <w:rFonts w:hint="eastAsia"/>
                      <w:bCs/>
                      <w:color w:val="auto"/>
                      <w:szCs w:val="21"/>
                      <w:lang w:eastAsia="zh-CN"/>
                    </w:rPr>
                  </w:pPr>
                  <w:r>
                    <w:rPr>
                      <w:rFonts w:hint="eastAsia"/>
                      <w:bCs/>
                      <w:color w:val="auto"/>
                      <w:szCs w:val="21"/>
                      <w:lang w:eastAsia="zh-CN"/>
                    </w:rPr>
                    <w:t>甲醛含量</w:t>
                  </w:r>
                </w:p>
              </w:tc>
              <w:tc>
                <w:tcPr>
                  <w:tcW w:w="9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FA0385">
                  <w:pPr>
                    <w:pStyle w:val="23"/>
                    <w:jc w:val="center"/>
                    <w:rPr>
                      <w:rFonts w:hint="default" w:ascii="Times New Roman" w:hAnsi="Times New Roman" w:cs="宋体"/>
                      <w:color w:val="auto"/>
                      <w:sz w:val="21"/>
                      <w:lang w:val="en-US" w:eastAsia="zh-CN"/>
                    </w:rPr>
                  </w:pPr>
                  <w:r>
                    <w:rPr>
                      <w:rFonts w:hint="eastAsia" w:ascii="Times New Roman" w:hAnsi="Times New Roman" w:cs="宋体"/>
                      <w:color w:val="auto"/>
                      <w:sz w:val="21"/>
                      <w:lang w:val="en-US" w:eastAsia="zh-CN"/>
                    </w:rPr>
                    <w:t>1.21</w:t>
                  </w:r>
                </w:p>
              </w:tc>
              <w:tc>
                <w:tcPr>
                  <w:tcW w:w="839" w:type="pct"/>
                  <w:tcBorders>
                    <w:top w:val="single" w:color="auto" w:sz="4" w:space="0"/>
                    <w:left w:val="single" w:color="auto" w:sz="4" w:space="0"/>
                    <w:right w:val="single" w:color="auto" w:sz="4" w:space="0"/>
                  </w:tcBorders>
                  <w:shd w:val="clear" w:color="auto" w:fill="auto"/>
                  <w:noWrap w:val="0"/>
                  <w:vAlign w:val="center"/>
                </w:tcPr>
                <w:p w14:paraId="10E82D00">
                  <w:pPr>
                    <w:autoSpaceDE w:val="0"/>
                    <w:autoSpaceDN w:val="0"/>
                    <w:adjustRightInd w:val="0"/>
                    <w:jc w:val="center"/>
                    <w:rPr>
                      <w:rFonts w:hint="eastAsia" w:ascii="Times New Roman" w:hAnsi="Times New Roman" w:eastAsia="宋体" w:cs="TimesNewRomanPSMT"/>
                      <w:color w:val="auto"/>
                      <w:szCs w:val="21"/>
                      <w:lang w:eastAsia="zh-CN"/>
                    </w:rPr>
                  </w:pPr>
                  <w:r>
                    <w:rPr>
                      <w:rFonts w:hint="eastAsia" w:ascii="Times New Roman" w:hAnsi="Times New Roman" w:eastAsia="宋体" w:cs="TimesNewRomanPSMT"/>
                      <w:color w:val="auto"/>
                      <w:szCs w:val="21"/>
                      <w:lang w:eastAsia="zh-CN"/>
                    </w:rPr>
                    <w:t>颗粒物</w:t>
                  </w:r>
                </w:p>
              </w:tc>
              <w:tc>
                <w:tcPr>
                  <w:tcW w:w="17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986898">
                  <w:pPr>
                    <w:autoSpaceDE w:val="0"/>
                    <w:autoSpaceDN w:val="0"/>
                    <w:adjustRightInd w:val="0"/>
                    <w:jc w:val="center"/>
                    <w:rPr>
                      <w:rFonts w:hint="default" w:eastAsia="宋体" w:cs="TimesNewRomanPSMT"/>
                      <w:color w:val="auto"/>
                      <w:szCs w:val="21"/>
                      <w:lang w:val="en-US" w:eastAsia="zh-CN"/>
                    </w:rPr>
                  </w:pPr>
                  <w:r>
                    <w:rPr>
                      <w:rFonts w:hint="eastAsia" w:cs="TimesNewRomanPSMT"/>
                      <w:color w:val="auto"/>
                      <w:szCs w:val="21"/>
                      <w:lang w:val="en-US" w:eastAsia="zh-CN"/>
                    </w:rPr>
                    <w:t>1.35</w:t>
                  </w:r>
                </w:p>
              </w:tc>
            </w:tr>
            <w:tr w14:paraId="50B9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702A59E">
                  <w:pPr>
                    <w:jc w:val="center"/>
                    <w:rPr>
                      <w:rFonts w:hint="eastAsia"/>
                      <w:bCs/>
                      <w:color w:val="auto"/>
                      <w:szCs w:val="21"/>
                    </w:rPr>
                  </w:pPr>
                </w:p>
              </w:tc>
              <w:tc>
                <w:tcPr>
                  <w:tcW w:w="9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9E61AC">
                  <w:pPr>
                    <w:pStyle w:val="23"/>
                    <w:jc w:val="center"/>
                    <w:rPr>
                      <w:rFonts w:ascii="Times New Roman" w:hAnsi="Times New Roman" w:cs="宋体"/>
                      <w:color w:val="auto"/>
                      <w:sz w:val="21"/>
                      <w:lang w:eastAsia="zh-CN"/>
                    </w:rPr>
                  </w:pPr>
                </w:p>
              </w:tc>
              <w:tc>
                <w:tcPr>
                  <w:tcW w:w="839" w:type="pct"/>
                  <w:tcBorders>
                    <w:top w:val="single" w:color="auto" w:sz="4" w:space="0"/>
                    <w:left w:val="single" w:color="auto" w:sz="4" w:space="0"/>
                    <w:right w:val="single" w:color="auto" w:sz="4" w:space="0"/>
                  </w:tcBorders>
                  <w:shd w:val="clear" w:color="auto" w:fill="auto"/>
                  <w:noWrap w:val="0"/>
                  <w:vAlign w:val="center"/>
                </w:tcPr>
                <w:p w14:paraId="5BB8E417">
                  <w:pPr>
                    <w:autoSpaceDE w:val="0"/>
                    <w:autoSpaceDN w:val="0"/>
                    <w:adjustRightInd w:val="0"/>
                    <w:jc w:val="center"/>
                    <w:rPr>
                      <w:rFonts w:hint="eastAsia" w:ascii="Times New Roman" w:hAnsi="Times New Roman" w:eastAsia="宋体" w:cs="TimesNewRomanPSMT"/>
                      <w:color w:val="auto"/>
                      <w:szCs w:val="21"/>
                      <w:lang w:eastAsia="zh-CN"/>
                    </w:rPr>
                  </w:pPr>
                  <w:r>
                    <w:rPr>
                      <w:rFonts w:hint="eastAsia" w:ascii="Times New Roman" w:hAnsi="Times New Roman" w:eastAsia="宋体" w:cs="TimesNewRomanPSMT"/>
                      <w:color w:val="auto"/>
                      <w:szCs w:val="21"/>
                      <w:lang w:eastAsia="zh-CN"/>
                    </w:rPr>
                    <w:t>甲醛</w:t>
                  </w:r>
                </w:p>
              </w:tc>
              <w:tc>
                <w:tcPr>
                  <w:tcW w:w="17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CC7B44">
                  <w:pPr>
                    <w:autoSpaceDE w:val="0"/>
                    <w:autoSpaceDN w:val="0"/>
                    <w:adjustRightInd w:val="0"/>
                    <w:jc w:val="center"/>
                    <w:rPr>
                      <w:rFonts w:hint="default" w:eastAsia="宋体" w:cs="TimesNewRomanPSMT"/>
                      <w:color w:val="auto"/>
                      <w:szCs w:val="21"/>
                      <w:lang w:val="en-US" w:eastAsia="zh-CN"/>
                    </w:rPr>
                  </w:pPr>
                  <w:r>
                    <w:rPr>
                      <w:rFonts w:hint="eastAsia" w:cs="TimesNewRomanPSMT"/>
                      <w:color w:val="auto"/>
                      <w:szCs w:val="21"/>
                      <w:lang w:val="en-US" w:eastAsia="zh-CN"/>
                    </w:rPr>
                    <w:t>0.363</w:t>
                  </w:r>
                </w:p>
              </w:tc>
            </w:tr>
            <w:tr w14:paraId="5FDB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51AE332">
                  <w:pPr>
                    <w:jc w:val="center"/>
                    <w:rPr>
                      <w:rFonts w:hint="eastAsia"/>
                      <w:bCs/>
                      <w:color w:val="auto"/>
                      <w:szCs w:val="21"/>
                    </w:rPr>
                  </w:pPr>
                </w:p>
              </w:tc>
              <w:tc>
                <w:tcPr>
                  <w:tcW w:w="9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B68655">
                  <w:pPr>
                    <w:pStyle w:val="23"/>
                    <w:jc w:val="center"/>
                    <w:rPr>
                      <w:rFonts w:ascii="Times New Roman" w:hAnsi="Times New Roman" w:cs="宋体"/>
                      <w:color w:val="auto"/>
                      <w:sz w:val="21"/>
                      <w:lang w:eastAsia="zh-CN"/>
                    </w:rPr>
                  </w:pPr>
                </w:p>
              </w:tc>
              <w:tc>
                <w:tcPr>
                  <w:tcW w:w="839" w:type="pct"/>
                  <w:tcBorders>
                    <w:top w:val="single" w:color="auto" w:sz="4" w:space="0"/>
                    <w:left w:val="single" w:color="auto" w:sz="4" w:space="0"/>
                    <w:right w:val="single" w:color="auto" w:sz="4" w:space="0"/>
                  </w:tcBorders>
                  <w:shd w:val="clear" w:color="auto" w:fill="auto"/>
                  <w:noWrap w:val="0"/>
                  <w:vAlign w:val="center"/>
                </w:tcPr>
                <w:p w14:paraId="1F1F9A9C">
                  <w:pPr>
                    <w:autoSpaceDE w:val="0"/>
                    <w:autoSpaceDN w:val="0"/>
                    <w:adjustRightInd w:val="0"/>
                    <w:jc w:val="center"/>
                    <w:rPr>
                      <w:rFonts w:hint="eastAsia" w:eastAsia="宋体" w:cs="TimesNewRomanPSMT"/>
                      <w:color w:val="auto"/>
                      <w:szCs w:val="21"/>
                      <w:vertAlign w:val="subscript"/>
                      <w:lang w:eastAsia="zh-CN"/>
                    </w:rPr>
                  </w:pPr>
                  <w:r>
                    <w:rPr>
                      <w:rFonts w:hint="eastAsia" w:cs="TimesNewRomanPSMT"/>
                      <w:color w:val="auto"/>
                      <w:szCs w:val="21"/>
                      <w:vertAlign w:val="baseline"/>
                      <w:lang w:eastAsia="zh-CN"/>
                    </w:rPr>
                    <w:t>非甲烷总烃</w:t>
                  </w:r>
                </w:p>
              </w:tc>
              <w:tc>
                <w:tcPr>
                  <w:tcW w:w="17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09A8A3">
                  <w:pPr>
                    <w:autoSpaceDE w:val="0"/>
                    <w:autoSpaceDN w:val="0"/>
                    <w:adjustRightInd w:val="0"/>
                    <w:jc w:val="center"/>
                    <w:rPr>
                      <w:rFonts w:hint="default" w:eastAsia="宋体" w:cs="TimesNewRomanPSMT"/>
                      <w:color w:val="auto"/>
                      <w:szCs w:val="21"/>
                      <w:lang w:val="en-US" w:eastAsia="zh-CN"/>
                    </w:rPr>
                  </w:pPr>
                  <w:r>
                    <w:rPr>
                      <w:rFonts w:hint="eastAsia" w:cs="TimesNewRomanPSMT"/>
                      <w:color w:val="auto"/>
                      <w:szCs w:val="21"/>
                      <w:lang w:val="en-US" w:eastAsia="zh-CN"/>
                    </w:rPr>
                    <w:t>1.97</w:t>
                  </w:r>
                </w:p>
              </w:tc>
            </w:tr>
            <w:tr w14:paraId="3526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07AE99D">
                  <w:pPr>
                    <w:autoSpaceDE w:val="0"/>
                    <w:autoSpaceDN w:val="0"/>
                    <w:adjustRightInd w:val="0"/>
                    <w:jc w:val="center"/>
                    <w:rPr>
                      <w:rFonts w:cs="TimesNewRomanPSMT"/>
                      <w:b/>
                      <w:color w:val="auto"/>
                      <w:szCs w:val="21"/>
                    </w:rPr>
                  </w:pPr>
                  <w:r>
                    <w:rPr>
                      <w:rFonts w:hint="eastAsia" w:cs="TimesNewRomanPSMT"/>
                      <w:b/>
                      <w:color w:val="auto"/>
                      <w:szCs w:val="21"/>
                    </w:rPr>
                    <w:t>合计</w:t>
                  </w:r>
                </w:p>
              </w:tc>
              <w:tc>
                <w:tcPr>
                  <w:tcW w:w="9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B3E5AE">
                  <w:pPr>
                    <w:jc w:val="center"/>
                    <w:rPr>
                      <w:rFonts w:hint="default" w:eastAsia="宋体"/>
                      <w:color w:val="auto"/>
                      <w:szCs w:val="21"/>
                      <w:lang w:val="en-US" w:eastAsia="zh-CN"/>
                    </w:rPr>
                  </w:pPr>
                  <w:r>
                    <w:rPr>
                      <w:rFonts w:hint="eastAsia"/>
                      <w:color w:val="auto"/>
                      <w:szCs w:val="21"/>
                      <w:lang w:val="en-US" w:eastAsia="zh-CN"/>
                    </w:rPr>
                    <w:t>18000</w:t>
                  </w:r>
                </w:p>
              </w:tc>
              <w:tc>
                <w:tcPr>
                  <w:tcW w:w="8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8240E7">
                  <w:pPr>
                    <w:autoSpaceDE w:val="0"/>
                    <w:autoSpaceDN w:val="0"/>
                    <w:adjustRightInd w:val="0"/>
                    <w:jc w:val="center"/>
                    <w:rPr>
                      <w:rFonts w:cs="TimesNewRomanPSMT"/>
                      <w:b/>
                      <w:color w:val="auto"/>
                      <w:szCs w:val="21"/>
                    </w:rPr>
                  </w:pPr>
                  <w:r>
                    <w:rPr>
                      <w:rFonts w:hint="eastAsia" w:cs="TimesNewRomanPSMT"/>
                      <w:b/>
                      <w:color w:val="auto"/>
                      <w:szCs w:val="21"/>
                    </w:rPr>
                    <w:t>合计</w:t>
                  </w:r>
                </w:p>
              </w:tc>
              <w:tc>
                <w:tcPr>
                  <w:tcW w:w="17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D6C8BC">
                  <w:pPr>
                    <w:autoSpaceDE w:val="0"/>
                    <w:autoSpaceDN w:val="0"/>
                    <w:adjustRightInd w:val="0"/>
                    <w:jc w:val="center"/>
                    <w:rPr>
                      <w:rFonts w:hint="default" w:cs="TimesNewRomanPSMT"/>
                      <w:b/>
                      <w:color w:val="auto"/>
                      <w:szCs w:val="21"/>
                      <w:lang w:val="en-US"/>
                    </w:rPr>
                  </w:pPr>
                  <w:r>
                    <w:rPr>
                      <w:rFonts w:hint="eastAsia"/>
                      <w:color w:val="auto"/>
                      <w:szCs w:val="21"/>
                      <w:lang w:val="en-US" w:eastAsia="zh-CN"/>
                    </w:rPr>
                    <w:t>18000</w:t>
                  </w:r>
                </w:p>
              </w:tc>
            </w:tr>
          </w:tbl>
          <w:p w14:paraId="7701AF5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宋体" w:eastAsia="宋体" w:cs="Times New Roman"/>
                <w:b/>
                <w:bCs/>
                <w:sz w:val="24"/>
                <w:lang w:eastAsia="zh-CN"/>
              </w:rPr>
            </w:pPr>
            <w:r>
              <w:rPr>
                <w:rFonts w:hint="eastAsia" w:ascii="Times New Roman" w:hAnsi="宋体" w:eastAsia="宋体" w:cs="Times New Roman"/>
                <w:b/>
                <w:bCs/>
                <w:sz w:val="24"/>
                <w:lang w:val="en-US" w:eastAsia="zh-CN"/>
              </w:rPr>
              <w:t>6</w:t>
            </w:r>
            <w:r>
              <w:rPr>
                <w:rFonts w:hint="eastAsia" w:hAnsi="宋体" w:cs="Times New Roman"/>
                <w:b/>
                <w:bCs/>
                <w:sz w:val="24"/>
                <w:lang w:val="en-US" w:eastAsia="zh-CN"/>
              </w:rPr>
              <w:t>.</w:t>
            </w:r>
            <w:r>
              <w:rPr>
                <w:rFonts w:hint="eastAsia" w:ascii="Times New Roman" w:hAnsi="宋体" w:eastAsia="宋体" w:cs="Times New Roman"/>
                <w:b/>
                <w:bCs/>
                <w:sz w:val="24"/>
                <w:lang w:eastAsia="zh-CN"/>
              </w:rPr>
              <w:t>水平衡</w:t>
            </w:r>
          </w:p>
          <w:p w14:paraId="3F4CB6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宋体" w:eastAsia="宋体" w:cs="Times New Roman"/>
                <w:sz w:val="24"/>
                <w:lang w:eastAsia="zh-CN"/>
              </w:rPr>
            </w:pPr>
            <w:r>
              <w:rPr>
                <w:rFonts w:hint="eastAsia" w:ascii="Times New Roman" w:hAnsi="宋体" w:eastAsia="宋体" w:cs="Times New Roman"/>
                <w:sz w:val="24"/>
              </w:rPr>
              <w:t>本项目用水由市政给水管网供给。运营期用水主要为</w:t>
            </w:r>
            <w:r>
              <w:rPr>
                <w:rFonts w:hint="eastAsia" w:ascii="Times New Roman" w:hAnsi="宋体" w:eastAsia="宋体" w:cs="Times New Roman"/>
                <w:sz w:val="24"/>
                <w:lang w:eastAsia="zh-CN"/>
              </w:rPr>
              <w:t>离心雾化器冷却水及水膜除尘系统用水。</w:t>
            </w:r>
          </w:p>
          <w:p w14:paraId="768605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宋体" w:eastAsia="宋体" w:cs="Times New Roman"/>
                <w:sz w:val="24"/>
                <w:lang w:eastAsia="zh-CN"/>
              </w:rPr>
            </w:pPr>
            <w:r>
              <w:rPr>
                <w:rFonts w:hint="eastAsia" w:ascii="Times New Roman" w:hAnsi="宋体" w:eastAsia="宋体" w:cs="Times New Roman"/>
                <w:sz w:val="24"/>
                <w:lang w:eastAsia="zh-CN"/>
              </w:rPr>
              <w:t>⑴给水情况</w:t>
            </w:r>
          </w:p>
          <w:p w14:paraId="6064A0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lang w:eastAsia="zh-CN"/>
              </w:rPr>
              <w:t>①</w:t>
            </w:r>
            <w:r>
              <w:rPr>
                <w:rFonts w:hint="eastAsia" w:ascii="Times New Roman" w:hAnsi="宋体" w:eastAsia="宋体" w:cs="Times New Roman"/>
                <w:sz w:val="24"/>
                <w:lang w:eastAsia="zh-CN"/>
              </w:rPr>
              <w:t>离心雾化器冷却用水</w:t>
            </w:r>
          </w:p>
          <w:p w14:paraId="6A599F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宋体" w:eastAsia="宋体" w:cs="Times New Roman"/>
                <w:sz w:val="24"/>
                <w:vertAlign w:val="baseline"/>
                <w:lang w:val="en-US" w:eastAsia="zh-CN"/>
              </w:rPr>
            </w:pPr>
            <w:r>
              <w:rPr>
                <w:rFonts w:hint="eastAsia" w:ascii="宋体" w:hAnsi="宋体" w:eastAsia="宋体" w:cs="宋体"/>
                <w:sz w:val="24"/>
                <w:lang w:eastAsia="zh-CN"/>
              </w:rPr>
              <w:t>本项目喷雾干燥塔自带的</w:t>
            </w:r>
            <w:r>
              <w:rPr>
                <w:rFonts w:hint="eastAsia" w:ascii="Times New Roman" w:hAnsi="宋体" w:eastAsia="宋体" w:cs="Times New Roman"/>
                <w:sz w:val="24"/>
                <w:lang w:eastAsia="zh-CN"/>
              </w:rPr>
              <w:t>离心雾化器需要进行用水冷却，根据设备单位提供的设备说明，离心雾化器下方有</w:t>
            </w:r>
            <w:r>
              <w:rPr>
                <w:rFonts w:hint="eastAsia" w:ascii="Times New Roman" w:hAnsi="宋体" w:eastAsia="宋体" w:cs="Times New Roman"/>
                <w:sz w:val="24"/>
                <w:lang w:val="en-US" w:eastAsia="zh-CN"/>
              </w:rPr>
              <w:t>1个0.5m</w:t>
            </w:r>
            <w:r>
              <w:rPr>
                <w:rFonts w:hint="eastAsia" w:ascii="Times New Roman" w:hAnsi="宋体" w:eastAsia="宋体" w:cs="Times New Roman"/>
                <w:sz w:val="24"/>
                <w:vertAlign w:val="superscript"/>
                <w:lang w:val="en-US" w:eastAsia="zh-CN"/>
              </w:rPr>
              <w:t>3</w:t>
            </w:r>
            <w:r>
              <w:rPr>
                <w:rFonts w:hint="eastAsia" w:ascii="Times New Roman" w:hAnsi="宋体" w:eastAsia="宋体" w:cs="Times New Roman"/>
                <w:sz w:val="24"/>
                <w:lang w:val="en-US" w:eastAsia="zh-CN"/>
              </w:rPr>
              <w:t>的水箱，通过泵循环对</w:t>
            </w:r>
            <w:r>
              <w:rPr>
                <w:rFonts w:hint="eastAsia" w:ascii="Times New Roman" w:hAnsi="宋体" w:eastAsia="宋体" w:cs="Times New Roman"/>
                <w:sz w:val="24"/>
                <w:lang w:eastAsia="zh-CN"/>
              </w:rPr>
              <w:t>离心雾化器进行降温</w:t>
            </w:r>
            <w:r>
              <w:rPr>
                <w:rFonts w:hint="eastAsia" w:hAnsi="宋体" w:cs="Times New Roman"/>
                <w:sz w:val="24"/>
                <w:lang w:eastAsia="zh-CN"/>
              </w:rPr>
              <w:t>、</w:t>
            </w:r>
            <w:r>
              <w:rPr>
                <w:rFonts w:hint="eastAsia" w:ascii="Times New Roman" w:hAnsi="宋体" w:eastAsia="宋体" w:cs="Times New Roman"/>
                <w:sz w:val="24"/>
                <w:lang w:eastAsia="zh-CN"/>
              </w:rPr>
              <w:t>冷却，冷却水使用新鲜水，冷却过程中为蒸发损耗，蒸发损耗量按循环量的</w:t>
            </w:r>
            <w:r>
              <w:rPr>
                <w:rFonts w:hint="eastAsia" w:ascii="Times New Roman" w:hAnsi="宋体" w:eastAsia="宋体" w:cs="Times New Roman"/>
                <w:sz w:val="24"/>
                <w:lang w:val="en-US" w:eastAsia="zh-CN"/>
              </w:rPr>
              <w:t>0.2%计算，</w:t>
            </w:r>
            <w:r>
              <w:rPr>
                <w:rFonts w:hint="eastAsia" w:ascii="Times New Roman" w:hAnsi="宋体" w:eastAsia="宋体" w:cs="Times New Roman"/>
                <w:sz w:val="24"/>
                <w:lang w:eastAsia="zh-CN"/>
              </w:rPr>
              <w:t>冷却水定期补充即可，则补充新鲜水量为</w:t>
            </w:r>
            <w:r>
              <w:rPr>
                <w:rFonts w:hint="eastAsia" w:ascii="Times New Roman" w:hAnsi="宋体" w:eastAsia="宋体" w:cs="Times New Roman"/>
                <w:sz w:val="24"/>
                <w:lang w:val="en-US" w:eastAsia="zh-CN"/>
              </w:rPr>
              <w:t>0.001m</w:t>
            </w:r>
            <w:r>
              <w:rPr>
                <w:rFonts w:hint="eastAsia" w:ascii="Times New Roman" w:hAnsi="宋体" w:eastAsia="宋体" w:cs="Times New Roman"/>
                <w:sz w:val="24"/>
                <w:vertAlign w:val="superscript"/>
                <w:lang w:val="en-US" w:eastAsia="zh-CN"/>
              </w:rPr>
              <w:t>3</w:t>
            </w:r>
            <w:r>
              <w:rPr>
                <w:rFonts w:hint="default" w:ascii="Times New Roman" w:hAnsi="Times New Roman" w:eastAsia="宋体" w:cs="Times New Roman"/>
                <w:color w:val="000000"/>
                <w:kern w:val="0"/>
                <w:sz w:val="24"/>
                <w:szCs w:val="24"/>
                <w:lang w:val="en-US" w:eastAsia="zh-CN" w:bidi="zh-HK"/>
              </w:rPr>
              <w:t>/d</w:t>
            </w:r>
            <w:r>
              <w:rPr>
                <w:rFonts w:hint="default"/>
                <w:color w:val="auto"/>
                <w:sz w:val="24"/>
                <w:szCs w:val="24"/>
              </w:rPr>
              <w:t>，即</w:t>
            </w:r>
            <w:r>
              <w:rPr>
                <w:rFonts w:hint="eastAsia"/>
                <w:color w:val="auto"/>
                <w:sz w:val="24"/>
                <w:szCs w:val="24"/>
                <w:lang w:val="en-US" w:eastAsia="zh-CN"/>
              </w:rPr>
              <w:t>0.3</w:t>
            </w:r>
            <w:r>
              <w:rPr>
                <w:rFonts w:hint="default"/>
                <w:color w:val="auto"/>
                <w:sz w:val="24"/>
                <w:szCs w:val="24"/>
              </w:rPr>
              <w:t>m</w:t>
            </w:r>
            <w:r>
              <w:rPr>
                <w:rFonts w:hint="default"/>
                <w:color w:val="auto"/>
                <w:sz w:val="24"/>
                <w:szCs w:val="24"/>
                <w:vertAlign w:val="superscript"/>
              </w:rPr>
              <w:t>3</w:t>
            </w:r>
            <w:r>
              <w:rPr>
                <w:rFonts w:hint="default"/>
                <w:color w:val="auto"/>
                <w:sz w:val="24"/>
                <w:szCs w:val="24"/>
              </w:rPr>
              <w:t>/a</w:t>
            </w:r>
            <w:r>
              <w:rPr>
                <w:rFonts w:hint="eastAsia" w:ascii="Times New Roman" w:hAnsi="宋体" w:eastAsia="宋体" w:cs="Times New Roman"/>
                <w:sz w:val="24"/>
                <w:vertAlign w:val="baseline"/>
                <w:lang w:val="en-US" w:eastAsia="zh-CN"/>
              </w:rPr>
              <w:t>。</w:t>
            </w:r>
          </w:p>
          <w:p w14:paraId="4802DA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lang w:eastAsia="zh-CN"/>
              </w:rPr>
              <w:t>②水膜除尘系统用水</w:t>
            </w:r>
          </w:p>
          <w:p w14:paraId="3EE171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rPr>
            </w:pPr>
            <w:r>
              <w:rPr>
                <w:rFonts w:hint="eastAsia" w:ascii="宋体" w:hAnsi="宋体" w:eastAsia="宋体" w:cs="宋体"/>
                <w:sz w:val="24"/>
                <w:lang w:eastAsia="zh-CN"/>
              </w:rPr>
              <w:t>本项目对热风炉燃烧废气及干燥废气采用旋风除尘</w:t>
            </w:r>
            <w:r>
              <w:rPr>
                <w:rFonts w:hint="eastAsia" w:ascii="宋体" w:hAnsi="宋体" w:eastAsia="宋体" w:cs="宋体"/>
                <w:sz w:val="24"/>
                <w:lang w:val="en-US" w:eastAsia="zh-CN"/>
              </w:rPr>
              <w:t>+两级水膜除尘</w:t>
            </w:r>
            <w:r>
              <w:rPr>
                <w:rFonts w:hint="default" w:ascii="Times New Roman" w:hAnsi="Times New Roman" w:eastAsia="宋体" w:cs="Times New Roman"/>
                <w:sz w:val="24"/>
                <w:lang w:val="en-US" w:eastAsia="zh-CN"/>
              </w:rPr>
              <w:t>系统治理废气，</w:t>
            </w:r>
            <w:r>
              <w:rPr>
                <w:rFonts w:hint="default" w:ascii="Times New Roman" w:hAnsi="Times New Roman" w:eastAsia="宋体" w:cs="Times New Roman"/>
                <w:sz w:val="24"/>
                <w:lang w:eastAsia="zh-CN"/>
              </w:rPr>
              <w:t>根据设备单位提供的设备说明，</w:t>
            </w:r>
            <w:r>
              <w:rPr>
                <w:rFonts w:hint="default" w:ascii="Times New Roman" w:hAnsi="Times New Roman" w:eastAsia="宋体" w:cs="Times New Roman"/>
                <w:sz w:val="24"/>
                <w:lang w:val="en-US" w:eastAsia="zh-CN"/>
              </w:rPr>
              <w:t>两级水膜除尘系统循环水量为80m</w:t>
            </w:r>
            <w:r>
              <w:rPr>
                <w:rFonts w:hint="default" w:ascii="Times New Roman" w:hAnsi="Times New Roman" w:eastAsia="宋体" w:cs="Times New Roman"/>
                <w:sz w:val="24"/>
                <w:vertAlign w:val="superscript"/>
                <w:lang w:val="en-US" w:eastAsia="zh-CN"/>
              </w:rPr>
              <w:t>3</w:t>
            </w:r>
            <w:r>
              <w:rPr>
                <w:rFonts w:hint="eastAsia" w:eastAsia="宋体" w:cs="Times New Roman"/>
                <w:sz w:val="24"/>
                <w:vertAlign w:val="baseline"/>
                <w:lang w:val="en-US" w:eastAsia="zh-CN"/>
              </w:rPr>
              <w:t>/d</w:t>
            </w:r>
            <w:r>
              <w:rPr>
                <w:rFonts w:hint="eastAsia" w:ascii="宋体" w:hAnsi="宋体" w:eastAsia="宋体" w:cs="宋体"/>
                <w:sz w:val="24"/>
                <w:lang w:val="en-US" w:eastAsia="zh-CN"/>
              </w:rPr>
              <w:t>，</w:t>
            </w:r>
            <w:r>
              <w:rPr>
                <w:rFonts w:hint="default"/>
                <w:color w:val="auto"/>
                <w:sz w:val="24"/>
                <w:szCs w:val="24"/>
              </w:rPr>
              <w:t>挥发损耗率约</w:t>
            </w:r>
            <w:r>
              <w:rPr>
                <w:rFonts w:hint="eastAsia"/>
                <w:color w:val="auto"/>
                <w:sz w:val="24"/>
                <w:szCs w:val="24"/>
                <w:lang w:val="en-US" w:eastAsia="zh-CN"/>
              </w:rPr>
              <w:t>0.1</w:t>
            </w:r>
            <w:r>
              <w:rPr>
                <w:rFonts w:hint="default"/>
                <w:color w:val="auto"/>
                <w:sz w:val="24"/>
                <w:szCs w:val="24"/>
              </w:rPr>
              <w:t>%</w:t>
            </w:r>
            <w:r>
              <w:rPr>
                <w:rFonts w:hint="eastAsia"/>
                <w:color w:val="auto"/>
                <w:sz w:val="24"/>
                <w:szCs w:val="24"/>
              </w:rPr>
              <w:t>，</w:t>
            </w:r>
            <w:r>
              <w:rPr>
                <w:rFonts w:hint="default"/>
                <w:color w:val="auto"/>
                <w:sz w:val="24"/>
                <w:szCs w:val="24"/>
              </w:rPr>
              <w:t>每天需补充用水</w:t>
            </w:r>
            <w:r>
              <w:rPr>
                <w:rFonts w:hint="eastAsia"/>
                <w:color w:val="auto"/>
                <w:sz w:val="24"/>
                <w:szCs w:val="24"/>
                <w:lang w:val="en-US" w:eastAsia="zh-CN"/>
              </w:rPr>
              <w:t>0.08</w:t>
            </w:r>
            <w:r>
              <w:rPr>
                <w:rFonts w:hint="default"/>
                <w:color w:val="auto"/>
                <w:sz w:val="24"/>
                <w:szCs w:val="24"/>
              </w:rPr>
              <w:t>m</w:t>
            </w:r>
            <w:r>
              <w:rPr>
                <w:rFonts w:hint="default"/>
                <w:color w:val="auto"/>
                <w:sz w:val="24"/>
                <w:szCs w:val="24"/>
                <w:vertAlign w:val="superscript"/>
              </w:rPr>
              <w:t>3</w:t>
            </w:r>
            <w:r>
              <w:rPr>
                <w:rFonts w:hint="default"/>
                <w:color w:val="auto"/>
                <w:sz w:val="24"/>
                <w:szCs w:val="24"/>
              </w:rPr>
              <w:t>，即</w:t>
            </w:r>
            <w:r>
              <w:rPr>
                <w:rFonts w:hint="eastAsia"/>
                <w:color w:val="auto"/>
                <w:sz w:val="24"/>
                <w:szCs w:val="24"/>
                <w:lang w:val="en-US" w:eastAsia="zh-CN"/>
              </w:rPr>
              <w:t>24m</w:t>
            </w:r>
            <w:r>
              <w:rPr>
                <w:rFonts w:hint="default"/>
                <w:color w:val="auto"/>
                <w:sz w:val="24"/>
                <w:szCs w:val="24"/>
                <w:vertAlign w:val="superscript"/>
              </w:rPr>
              <w:t>3</w:t>
            </w:r>
            <w:r>
              <w:rPr>
                <w:rFonts w:hint="default"/>
                <w:color w:val="auto"/>
                <w:sz w:val="24"/>
                <w:szCs w:val="24"/>
              </w:rPr>
              <w:t>/a。</w:t>
            </w:r>
          </w:p>
          <w:p w14:paraId="102D87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szCs w:val="24"/>
                <w:lang w:val="en-US" w:eastAsia="zh-CN"/>
              </w:rPr>
            </w:pPr>
            <w:r>
              <w:rPr>
                <w:rFonts w:hint="eastAsia" w:ascii="宋体" w:hAnsi="宋体" w:eastAsia="宋体" w:cs="宋体"/>
                <w:color w:val="auto"/>
                <w:sz w:val="24"/>
                <w:szCs w:val="24"/>
              </w:rPr>
              <w:t>⑵</w:t>
            </w:r>
            <w:r>
              <w:rPr>
                <w:rFonts w:hint="eastAsia" w:ascii="宋体" w:hAnsi="宋体" w:eastAsia="宋体" w:cs="宋体"/>
                <w:color w:val="auto"/>
                <w:sz w:val="24"/>
                <w:szCs w:val="24"/>
                <w:lang w:eastAsia="zh-CN"/>
              </w:rPr>
              <w:t>排水</w:t>
            </w:r>
          </w:p>
          <w:p w14:paraId="18BDB2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szCs w:val="24"/>
                <w:lang w:eastAsia="zh-CN"/>
              </w:rPr>
            </w:pPr>
            <w:r>
              <w:rPr>
                <w:rFonts w:hint="eastAsia"/>
                <w:color w:val="auto"/>
                <w:sz w:val="24"/>
                <w:szCs w:val="24"/>
                <w:lang w:eastAsia="zh-CN"/>
              </w:rPr>
              <w:t>本项目废水均不外排，</w:t>
            </w:r>
            <w:r>
              <w:rPr>
                <w:rFonts w:hint="eastAsia" w:ascii="Times New Roman" w:hAnsi="宋体" w:eastAsia="宋体" w:cs="Times New Roman"/>
                <w:sz w:val="24"/>
                <w:lang w:eastAsia="zh-CN"/>
              </w:rPr>
              <w:t>离心雾化器冷却用水循环使用不外排，水膜除尘系统废水每个月</w:t>
            </w:r>
            <w:r>
              <w:rPr>
                <w:rFonts w:hint="eastAsia" w:ascii="宋体" w:hAnsi="宋体" w:eastAsia="宋体" w:cs="宋体"/>
                <w:sz w:val="24"/>
                <w:lang w:val="en-US" w:eastAsia="zh-CN"/>
              </w:rPr>
              <w:t>定期将水膜除尘水排入干燥塔蒸发处理一次，</w:t>
            </w:r>
            <w:r>
              <w:rPr>
                <w:rFonts w:hint="eastAsia" w:ascii="Times New Roman" w:hAnsi="宋体" w:eastAsia="宋体" w:cs="Times New Roman"/>
                <w:sz w:val="24"/>
                <w:lang w:eastAsia="zh-CN"/>
              </w:rPr>
              <w:t>项目不对外环境排放污水。</w:t>
            </w:r>
          </w:p>
          <w:p w14:paraId="4547A5D4">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eastAsia="宋体"/>
                <w:b w:val="0"/>
                <w:bCs w:val="0"/>
                <w:color w:val="auto"/>
                <w:sz w:val="24"/>
                <w:szCs w:val="24"/>
                <w:vertAlign w:val="baseline"/>
                <w:lang w:val="en-US" w:eastAsia="zh-CN"/>
              </w:rPr>
            </w:pPr>
            <w:r>
              <w:rPr>
                <w:rFonts w:hint="eastAsia"/>
                <w:b w:val="0"/>
                <w:bCs w:val="0"/>
                <w:color w:val="auto"/>
                <w:sz w:val="24"/>
                <w:szCs w:val="24"/>
                <w:lang w:eastAsia="zh-CN"/>
              </w:rPr>
              <w:t>表</w:t>
            </w:r>
            <w:r>
              <w:rPr>
                <w:rFonts w:hint="eastAsia"/>
                <w:b w:val="0"/>
                <w:bCs w:val="0"/>
                <w:color w:val="auto"/>
                <w:sz w:val="24"/>
                <w:szCs w:val="24"/>
                <w:lang w:val="en-US" w:eastAsia="zh-CN"/>
              </w:rPr>
              <w:t>2-14  项目给排水情况一览表</w:t>
            </w:r>
          </w:p>
          <w:tbl>
            <w:tblPr>
              <w:tblStyle w:val="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79"/>
              <w:gridCol w:w="1519"/>
              <w:gridCol w:w="1800"/>
              <w:gridCol w:w="1175"/>
              <w:gridCol w:w="1787"/>
              <w:gridCol w:w="1095"/>
            </w:tblGrid>
            <w:tr w14:paraId="2F93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4" w:hRule="atLeast"/>
                <w:jc w:val="center"/>
              </w:trPr>
              <w:tc>
                <w:tcPr>
                  <w:tcW w:w="478" w:type="pct"/>
                  <w:tcBorders>
                    <w:tl2br w:val="nil"/>
                    <w:tr2bl w:val="nil"/>
                  </w:tcBorders>
                  <w:shd w:val="clear" w:color="auto" w:fill="auto"/>
                  <w:noWrap w:val="0"/>
                  <w:vAlign w:val="center"/>
                </w:tcPr>
                <w:p w14:paraId="1B9CE4C9">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序号</w:t>
                  </w:r>
                </w:p>
              </w:tc>
              <w:tc>
                <w:tcPr>
                  <w:tcW w:w="931" w:type="pct"/>
                  <w:tcBorders>
                    <w:tl2br w:val="nil"/>
                    <w:tr2bl w:val="nil"/>
                  </w:tcBorders>
                  <w:shd w:val="clear" w:color="auto" w:fill="auto"/>
                  <w:noWrap w:val="0"/>
                  <w:vAlign w:val="center"/>
                </w:tcPr>
                <w:p w14:paraId="5162BD6B">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用水项目</w:t>
                  </w:r>
                </w:p>
              </w:tc>
              <w:tc>
                <w:tcPr>
                  <w:tcW w:w="1103" w:type="pct"/>
                  <w:tcBorders>
                    <w:tl2br w:val="nil"/>
                    <w:tr2bl w:val="nil"/>
                  </w:tcBorders>
                  <w:shd w:val="clear" w:color="auto" w:fill="auto"/>
                  <w:noWrap w:val="0"/>
                  <w:vAlign w:val="center"/>
                </w:tcPr>
                <w:p w14:paraId="5550744E">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新鲜水量</w:t>
                  </w:r>
                </w:p>
              </w:tc>
              <w:tc>
                <w:tcPr>
                  <w:tcW w:w="720" w:type="pct"/>
                  <w:tcBorders>
                    <w:tl2br w:val="nil"/>
                    <w:tr2bl w:val="nil"/>
                  </w:tcBorders>
                  <w:shd w:val="clear" w:color="auto" w:fill="auto"/>
                  <w:noWrap w:val="0"/>
                  <w:vAlign w:val="center"/>
                </w:tcPr>
                <w:p w14:paraId="1950AF88">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循环水量</w:t>
                  </w:r>
                </w:p>
              </w:tc>
              <w:tc>
                <w:tcPr>
                  <w:tcW w:w="1095" w:type="pct"/>
                  <w:tcBorders>
                    <w:tl2br w:val="nil"/>
                    <w:tr2bl w:val="nil"/>
                  </w:tcBorders>
                  <w:shd w:val="clear" w:color="auto" w:fill="auto"/>
                  <w:noWrap w:val="0"/>
                  <w:vAlign w:val="center"/>
                </w:tcPr>
                <w:p w14:paraId="259B1852">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损耗水量</w:t>
                  </w:r>
                </w:p>
              </w:tc>
              <w:tc>
                <w:tcPr>
                  <w:tcW w:w="671" w:type="pct"/>
                  <w:tcBorders>
                    <w:tl2br w:val="nil"/>
                    <w:tr2bl w:val="nil"/>
                  </w:tcBorders>
                  <w:shd w:val="clear" w:color="auto" w:fill="auto"/>
                  <w:noWrap w:val="0"/>
                  <w:vAlign w:val="center"/>
                </w:tcPr>
                <w:p w14:paraId="476A4E8B">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排水量</w:t>
                  </w:r>
                </w:p>
              </w:tc>
            </w:tr>
            <w:tr w14:paraId="3EC8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78" w:type="pct"/>
                  <w:tcBorders>
                    <w:tl2br w:val="nil"/>
                    <w:tr2bl w:val="nil"/>
                  </w:tcBorders>
                  <w:shd w:val="clear" w:color="auto" w:fill="auto"/>
                  <w:noWrap w:val="0"/>
                  <w:vAlign w:val="center"/>
                </w:tcPr>
                <w:p w14:paraId="5B338AF2">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31" w:type="pct"/>
                  <w:tcBorders>
                    <w:tl2br w:val="nil"/>
                    <w:tr2bl w:val="nil"/>
                  </w:tcBorders>
                  <w:shd w:val="clear" w:color="auto" w:fill="auto"/>
                  <w:noWrap w:val="0"/>
                  <w:vAlign w:val="center"/>
                </w:tcPr>
                <w:p w14:paraId="34EEA474">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rPr>
                  </w:pPr>
                  <w:r>
                    <w:rPr>
                      <w:rFonts w:hint="eastAsia" w:ascii="Times New Roman" w:hAnsi="宋体" w:eastAsia="宋体" w:cs="Times New Roman"/>
                      <w:sz w:val="21"/>
                      <w:szCs w:val="21"/>
                      <w:lang w:eastAsia="zh-CN"/>
                    </w:rPr>
                    <w:t>离心雾化器冷却用水</w:t>
                  </w:r>
                </w:p>
              </w:tc>
              <w:tc>
                <w:tcPr>
                  <w:tcW w:w="1103" w:type="pct"/>
                  <w:tcBorders>
                    <w:tl2br w:val="nil"/>
                    <w:tr2bl w:val="nil"/>
                  </w:tcBorders>
                  <w:shd w:val="clear" w:color="auto" w:fill="auto"/>
                  <w:noWrap w:val="0"/>
                  <w:vAlign w:val="center"/>
                </w:tcPr>
                <w:p w14:paraId="04489189">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kern w:val="0"/>
                      <w:sz w:val="21"/>
                      <w:szCs w:val="21"/>
                      <w:lang w:val="en-US" w:eastAsia="zh-CN"/>
                    </w:rPr>
                    <w:t>0.001</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/d（</w:t>
                  </w:r>
                  <w:r>
                    <w:rPr>
                      <w:rFonts w:hint="eastAsia" w:ascii="Times New Roman" w:hAnsi="Times New Roman" w:cs="Times New Roman"/>
                      <w:b w:val="0"/>
                      <w:bCs w:val="0"/>
                      <w:color w:val="auto"/>
                      <w:kern w:val="0"/>
                      <w:sz w:val="21"/>
                      <w:szCs w:val="21"/>
                      <w:lang w:val="en-US" w:eastAsia="zh-CN"/>
                    </w:rPr>
                    <w:t>0.3</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/a）</w:t>
                  </w:r>
                </w:p>
              </w:tc>
              <w:tc>
                <w:tcPr>
                  <w:tcW w:w="720" w:type="pct"/>
                  <w:tcBorders>
                    <w:tl2br w:val="nil"/>
                    <w:tr2bl w:val="nil"/>
                  </w:tcBorders>
                  <w:shd w:val="clear" w:color="auto" w:fill="auto"/>
                  <w:noWrap w:val="0"/>
                  <w:vAlign w:val="center"/>
                </w:tcPr>
                <w:p w14:paraId="186689CE">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p>
              </w:tc>
              <w:tc>
                <w:tcPr>
                  <w:tcW w:w="1095" w:type="pct"/>
                  <w:tcBorders>
                    <w:tl2br w:val="nil"/>
                    <w:tr2bl w:val="nil"/>
                  </w:tcBorders>
                  <w:shd w:val="clear" w:color="auto" w:fill="auto"/>
                  <w:noWrap w:val="0"/>
                  <w:vAlign w:val="center"/>
                </w:tcPr>
                <w:p w14:paraId="496E1721">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kern w:val="0"/>
                      <w:sz w:val="21"/>
                      <w:szCs w:val="21"/>
                      <w:lang w:val="en-US" w:eastAsia="zh-CN"/>
                    </w:rPr>
                    <w:t>0.001</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/d（</w:t>
                  </w:r>
                  <w:r>
                    <w:rPr>
                      <w:rFonts w:hint="eastAsia" w:ascii="Times New Roman" w:hAnsi="Times New Roman" w:cs="Times New Roman"/>
                      <w:b w:val="0"/>
                      <w:bCs w:val="0"/>
                      <w:color w:val="auto"/>
                      <w:kern w:val="0"/>
                      <w:sz w:val="21"/>
                      <w:szCs w:val="21"/>
                      <w:lang w:val="en-US" w:eastAsia="zh-CN"/>
                    </w:rPr>
                    <w:t>0.3</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/a）</w:t>
                  </w:r>
                </w:p>
              </w:tc>
              <w:tc>
                <w:tcPr>
                  <w:tcW w:w="671" w:type="pct"/>
                  <w:tcBorders>
                    <w:tl2br w:val="nil"/>
                    <w:tr2bl w:val="nil"/>
                  </w:tcBorders>
                  <w:shd w:val="clear" w:color="auto" w:fill="auto"/>
                  <w:noWrap w:val="0"/>
                  <w:vAlign w:val="center"/>
                </w:tcPr>
                <w:p w14:paraId="1BB17997">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kern w:val="0"/>
                      <w:sz w:val="21"/>
                      <w:szCs w:val="21"/>
                      <w:lang w:val="en-US" w:eastAsia="zh-CN"/>
                    </w:rPr>
                    <w:t>0</w:t>
                  </w:r>
                </w:p>
              </w:tc>
            </w:tr>
            <w:tr w14:paraId="2DC3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78" w:type="pct"/>
                  <w:tcBorders>
                    <w:tl2br w:val="nil"/>
                    <w:tr2bl w:val="nil"/>
                  </w:tcBorders>
                  <w:shd w:val="clear" w:color="auto" w:fill="auto"/>
                  <w:noWrap w:val="0"/>
                  <w:vAlign w:val="center"/>
                </w:tcPr>
                <w:p w14:paraId="17816BCA">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210" w:firstLineChars="100"/>
                    <w:jc w:val="both"/>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2</w:t>
                  </w:r>
                </w:p>
              </w:tc>
              <w:tc>
                <w:tcPr>
                  <w:tcW w:w="931" w:type="pct"/>
                  <w:tcBorders>
                    <w:tl2br w:val="nil"/>
                    <w:tr2bl w:val="nil"/>
                  </w:tcBorders>
                  <w:shd w:val="clear" w:color="auto" w:fill="auto"/>
                  <w:noWrap w:val="0"/>
                  <w:vAlign w:val="center"/>
                </w:tcPr>
                <w:p w14:paraId="266E2F3E">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hAnsi="宋体" w:eastAsia="宋体"/>
                      <w:b w:val="0"/>
                      <w:bCs w:val="0"/>
                      <w:color w:val="auto"/>
                      <w:sz w:val="21"/>
                      <w:szCs w:val="21"/>
                      <w:lang w:eastAsia="zh-CN"/>
                    </w:rPr>
                  </w:pPr>
                  <w:r>
                    <w:rPr>
                      <w:rFonts w:hint="eastAsia" w:ascii="宋体" w:hAnsi="宋体" w:eastAsia="宋体" w:cs="宋体"/>
                      <w:sz w:val="21"/>
                      <w:szCs w:val="21"/>
                      <w:lang w:eastAsia="zh-CN"/>
                    </w:rPr>
                    <w:t>水膜除尘系统用水</w:t>
                  </w:r>
                </w:p>
              </w:tc>
              <w:tc>
                <w:tcPr>
                  <w:tcW w:w="1103" w:type="pct"/>
                  <w:tcBorders>
                    <w:tl2br w:val="nil"/>
                    <w:tr2bl w:val="nil"/>
                  </w:tcBorders>
                  <w:shd w:val="clear" w:color="auto" w:fill="auto"/>
                  <w:noWrap w:val="0"/>
                  <w:vAlign w:val="center"/>
                </w:tcPr>
                <w:p w14:paraId="7E35EBCF">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0.08</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/d（</w:t>
                  </w:r>
                  <w:r>
                    <w:rPr>
                      <w:rFonts w:hint="eastAsia" w:ascii="Times New Roman" w:hAnsi="Times New Roman" w:cs="Times New Roman"/>
                      <w:b w:val="0"/>
                      <w:bCs w:val="0"/>
                      <w:color w:val="auto"/>
                      <w:kern w:val="0"/>
                      <w:sz w:val="21"/>
                      <w:szCs w:val="21"/>
                      <w:lang w:val="en-US" w:eastAsia="zh-CN"/>
                    </w:rPr>
                    <w:t>24m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/a）</w:t>
                  </w:r>
                </w:p>
              </w:tc>
              <w:tc>
                <w:tcPr>
                  <w:tcW w:w="720" w:type="pct"/>
                  <w:tcBorders>
                    <w:tl2br w:val="nil"/>
                    <w:tr2bl w:val="nil"/>
                  </w:tcBorders>
                  <w:shd w:val="clear" w:color="auto" w:fill="auto"/>
                  <w:noWrap w:val="0"/>
                  <w:vAlign w:val="center"/>
                </w:tcPr>
                <w:p w14:paraId="16A37960">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80</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p>
              </w:tc>
              <w:tc>
                <w:tcPr>
                  <w:tcW w:w="1095" w:type="pct"/>
                  <w:tcBorders>
                    <w:tl2br w:val="nil"/>
                    <w:tr2bl w:val="nil"/>
                  </w:tcBorders>
                  <w:shd w:val="clear" w:color="auto" w:fill="auto"/>
                  <w:noWrap w:val="0"/>
                  <w:vAlign w:val="center"/>
                </w:tcPr>
                <w:p w14:paraId="7E6B9EDF">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0.08</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/d（</w:t>
                  </w:r>
                  <w:r>
                    <w:rPr>
                      <w:rFonts w:hint="eastAsia" w:ascii="Times New Roman" w:hAnsi="Times New Roman" w:cs="Times New Roman"/>
                      <w:b w:val="0"/>
                      <w:bCs w:val="0"/>
                      <w:color w:val="auto"/>
                      <w:kern w:val="0"/>
                      <w:sz w:val="21"/>
                      <w:szCs w:val="21"/>
                      <w:lang w:val="en-US" w:eastAsia="zh-CN"/>
                    </w:rPr>
                    <w:t>24m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/a）</w:t>
                  </w:r>
                </w:p>
              </w:tc>
              <w:tc>
                <w:tcPr>
                  <w:tcW w:w="671" w:type="pct"/>
                  <w:tcBorders>
                    <w:tl2br w:val="nil"/>
                    <w:tr2bl w:val="nil"/>
                  </w:tcBorders>
                  <w:shd w:val="clear" w:color="auto" w:fill="auto"/>
                  <w:noWrap w:val="0"/>
                  <w:vAlign w:val="center"/>
                </w:tcPr>
                <w:p w14:paraId="660A32A2">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0</w:t>
                  </w:r>
                </w:p>
              </w:tc>
            </w:tr>
            <w:tr w14:paraId="125E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jc w:val="center"/>
              </w:trPr>
              <w:tc>
                <w:tcPr>
                  <w:tcW w:w="478" w:type="pct"/>
                  <w:tcBorders>
                    <w:tl2br w:val="nil"/>
                    <w:tr2bl w:val="nil"/>
                  </w:tcBorders>
                  <w:shd w:val="clear" w:color="auto" w:fill="auto"/>
                  <w:noWrap w:val="0"/>
                  <w:vAlign w:val="center"/>
                </w:tcPr>
                <w:p w14:paraId="7F5B73CA">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210" w:firstLineChars="100"/>
                    <w:jc w:val="both"/>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3</w:t>
                  </w:r>
                </w:p>
              </w:tc>
              <w:tc>
                <w:tcPr>
                  <w:tcW w:w="931" w:type="pct"/>
                  <w:tcBorders>
                    <w:tl2br w:val="nil"/>
                    <w:tr2bl w:val="nil"/>
                  </w:tcBorders>
                  <w:shd w:val="clear" w:color="auto" w:fill="auto"/>
                  <w:noWrap w:val="0"/>
                  <w:vAlign w:val="center"/>
                </w:tcPr>
                <w:p w14:paraId="4507E5F5">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总计</w:t>
                  </w:r>
                </w:p>
              </w:tc>
              <w:tc>
                <w:tcPr>
                  <w:tcW w:w="1103" w:type="pct"/>
                  <w:tcBorders>
                    <w:tl2br w:val="nil"/>
                    <w:tr2bl w:val="nil"/>
                  </w:tcBorders>
                  <w:shd w:val="clear" w:color="auto" w:fill="auto"/>
                  <w:noWrap w:val="0"/>
                  <w:vAlign w:val="center"/>
                </w:tcPr>
                <w:p w14:paraId="3E1D010F">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0.081</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/d</w:t>
                  </w:r>
                </w:p>
                <w:p w14:paraId="5BF93986">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rPr>
                    <w:t>(24.3</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/a</w:t>
                  </w:r>
                  <w:r>
                    <w:rPr>
                      <w:rFonts w:hint="eastAsia" w:ascii="Times New Roman" w:hAnsi="Times New Roman" w:cs="Times New Roman"/>
                      <w:b w:val="0"/>
                      <w:bCs w:val="0"/>
                      <w:color w:val="auto"/>
                      <w:kern w:val="0"/>
                      <w:sz w:val="21"/>
                      <w:szCs w:val="21"/>
                      <w:lang w:val="en-US" w:eastAsia="zh-CN"/>
                    </w:rPr>
                    <w:t>)</w:t>
                  </w:r>
                </w:p>
              </w:tc>
              <w:tc>
                <w:tcPr>
                  <w:tcW w:w="720" w:type="pct"/>
                  <w:tcBorders>
                    <w:tl2br w:val="nil"/>
                    <w:tr2bl w:val="nil"/>
                  </w:tcBorders>
                  <w:shd w:val="clear" w:color="auto" w:fill="auto"/>
                  <w:noWrap w:val="0"/>
                  <w:vAlign w:val="center"/>
                </w:tcPr>
                <w:p w14:paraId="28A18B6C">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rPr>
                    <w:t>80.5</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p>
              </w:tc>
              <w:tc>
                <w:tcPr>
                  <w:tcW w:w="1095" w:type="pct"/>
                  <w:tcBorders>
                    <w:tl2br w:val="nil"/>
                    <w:tr2bl w:val="nil"/>
                  </w:tcBorders>
                  <w:shd w:val="clear" w:color="auto" w:fill="auto"/>
                  <w:noWrap w:val="0"/>
                  <w:vAlign w:val="center"/>
                </w:tcPr>
                <w:p w14:paraId="062F23BE">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0.081</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/d</w:t>
                  </w:r>
                </w:p>
                <w:p w14:paraId="3E871244">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rPr>
                    <w:t>(24.3</w:t>
                  </w:r>
                  <w:r>
                    <w:rPr>
                      <w:rFonts w:hint="default" w:ascii="Times New Roman" w:hAnsi="Times New Roman" w:cs="Times New Roman"/>
                      <w:b w:val="0"/>
                      <w:bCs w:val="0"/>
                      <w:color w:val="auto"/>
                      <w:kern w:val="0"/>
                      <w:sz w:val="21"/>
                      <w:szCs w:val="21"/>
                    </w:rPr>
                    <w:t>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/a</w:t>
                  </w:r>
                  <w:r>
                    <w:rPr>
                      <w:rFonts w:hint="eastAsia" w:ascii="Times New Roman" w:hAnsi="Times New Roman" w:cs="Times New Roman"/>
                      <w:b w:val="0"/>
                      <w:bCs w:val="0"/>
                      <w:color w:val="auto"/>
                      <w:kern w:val="0"/>
                      <w:sz w:val="21"/>
                      <w:szCs w:val="21"/>
                      <w:lang w:val="en-US" w:eastAsia="zh-CN"/>
                    </w:rPr>
                    <w:t>)</w:t>
                  </w:r>
                </w:p>
              </w:tc>
              <w:tc>
                <w:tcPr>
                  <w:tcW w:w="671" w:type="pct"/>
                  <w:tcBorders>
                    <w:tl2br w:val="nil"/>
                    <w:tr2bl w:val="nil"/>
                  </w:tcBorders>
                  <w:shd w:val="clear" w:color="auto" w:fill="auto"/>
                  <w:noWrap w:val="0"/>
                  <w:vAlign w:val="center"/>
                </w:tcPr>
                <w:p w14:paraId="425D70BD">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rPr>
                    <w:t>0</w:t>
                  </w:r>
                </w:p>
              </w:tc>
            </w:tr>
          </w:tbl>
          <w:p w14:paraId="3A2453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rPr>
            </w:pPr>
          </w:p>
          <w:p w14:paraId="31161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object>
                <v:shape id="_x0000_i1031" o:spt="75" type="#_x0000_t75" style="height:171.4pt;width:320pt;" o:ole="t" filled="f" o:preferrelative="t" stroked="t" coordsize="21600,21600">
                  <v:path/>
                  <v:fill on="f" focussize="0,0"/>
                  <v:stroke joinstyle="miter"/>
                  <v:imagedata r:id="rId19" o:title=""/>
                  <o:lock v:ext="edit" aspectratio="t"/>
                  <w10:wrap type="none"/>
                  <w10:anchorlock/>
                </v:shape>
                <o:OLEObject Type="Embed" ProgID="Visio.Drawing.11" ShapeID="_x0000_i1031" DrawAspect="Content" ObjectID="_1468075728" r:id="rId18">
                  <o:LockedField>false</o:LockedField>
                </o:OLEObject>
              </w:object>
            </w:r>
          </w:p>
          <w:p w14:paraId="70E17A62">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b w:val="0"/>
                <w:bCs w:val="0"/>
                <w:color w:val="auto"/>
                <w:sz w:val="24"/>
                <w:szCs w:val="24"/>
              </w:rPr>
            </w:pPr>
            <w:r>
              <w:rPr>
                <w:b w:val="0"/>
                <w:bCs w:val="0"/>
                <w:color w:val="auto"/>
                <w:sz w:val="24"/>
                <w:szCs w:val="24"/>
                <w:highlight w:val="none"/>
              </w:rPr>
              <w:t>图2-</w:t>
            </w:r>
            <w:r>
              <w:rPr>
                <w:rFonts w:hint="eastAsia"/>
                <w:b w:val="0"/>
                <w:bCs w:val="0"/>
                <w:color w:val="auto"/>
                <w:sz w:val="24"/>
                <w:szCs w:val="24"/>
                <w:highlight w:val="none"/>
                <w:lang w:val="en-US" w:eastAsia="zh-CN"/>
              </w:rPr>
              <w:t>4</w:t>
            </w:r>
            <w:r>
              <w:rPr>
                <w:b w:val="0"/>
                <w:bCs w:val="0"/>
                <w:color w:val="auto"/>
                <w:sz w:val="24"/>
                <w:szCs w:val="24"/>
                <w:highlight w:val="none"/>
              </w:rPr>
              <w:t xml:space="preserve">  </w:t>
            </w:r>
            <w:r>
              <w:rPr>
                <w:rFonts w:hint="eastAsia"/>
                <w:b w:val="0"/>
                <w:bCs w:val="0"/>
                <w:color w:val="auto"/>
                <w:sz w:val="24"/>
                <w:szCs w:val="24"/>
                <w:highlight w:val="none"/>
              </w:rPr>
              <w:t>本项目</w:t>
            </w:r>
            <w:r>
              <w:rPr>
                <w:b w:val="0"/>
                <w:bCs w:val="0"/>
                <w:color w:val="auto"/>
                <w:sz w:val="24"/>
                <w:szCs w:val="24"/>
                <w:highlight w:val="none"/>
              </w:rPr>
              <w:t>水平衡图（m</w:t>
            </w:r>
            <w:r>
              <w:rPr>
                <w:b w:val="0"/>
                <w:bCs w:val="0"/>
                <w:color w:val="auto"/>
                <w:sz w:val="24"/>
                <w:szCs w:val="24"/>
                <w:highlight w:val="none"/>
                <w:vertAlign w:val="superscript"/>
              </w:rPr>
              <w:t>3</w:t>
            </w:r>
            <w:r>
              <w:rPr>
                <w:b w:val="0"/>
                <w:bCs w:val="0"/>
                <w:color w:val="auto"/>
                <w:sz w:val="24"/>
                <w:szCs w:val="24"/>
                <w:highlight w:val="none"/>
              </w:rPr>
              <w:t>/</w:t>
            </w:r>
            <w:r>
              <w:rPr>
                <w:rFonts w:hint="eastAsia"/>
                <w:b w:val="0"/>
                <w:bCs w:val="0"/>
                <w:color w:val="auto"/>
                <w:sz w:val="24"/>
                <w:szCs w:val="24"/>
                <w:highlight w:val="none"/>
                <w:lang w:val="en-US" w:eastAsia="zh-CN"/>
              </w:rPr>
              <w:t>d</w:t>
            </w:r>
            <w:r>
              <w:rPr>
                <w:b w:val="0"/>
                <w:bCs w:val="0"/>
                <w:color w:val="auto"/>
                <w:sz w:val="24"/>
                <w:szCs w:val="24"/>
                <w:highlight w:val="none"/>
              </w:rPr>
              <w:t>）</w:t>
            </w:r>
          </w:p>
          <w:p w14:paraId="7E438A0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b/>
                <w:kern w:val="0"/>
                <w:sz w:val="24"/>
              </w:rPr>
              <w:t>7</w:t>
            </w:r>
            <w:r>
              <w:rPr>
                <w:rFonts w:hint="eastAsia" w:hAnsi="宋体"/>
                <w:b/>
                <w:kern w:val="0"/>
                <w:sz w:val="24"/>
                <w:lang w:val="en-US" w:eastAsia="zh-CN"/>
              </w:rPr>
              <w:t>.</w:t>
            </w:r>
            <w:r>
              <w:rPr>
                <w:rFonts w:hAnsi="宋体"/>
                <w:b/>
                <w:kern w:val="0"/>
                <w:sz w:val="24"/>
              </w:rPr>
              <w:t>劳动定员及工作制度</w:t>
            </w:r>
          </w:p>
          <w:p w14:paraId="1908F6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Ansi="宋体"/>
                <w:sz w:val="24"/>
              </w:rPr>
            </w:pPr>
            <w:r>
              <w:rPr>
                <w:rFonts w:hint="eastAsia" w:hAnsi="宋体"/>
                <w:sz w:val="24"/>
              </w:rPr>
              <w:t>本</w:t>
            </w:r>
            <w:r>
              <w:rPr>
                <w:rFonts w:hAnsi="宋体"/>
                <w:sz w:val="24"/>
              </w:rPr>
              <w:t>项目不新增劳动定额，从原有</w:t>
            </w:r>
            <w:r>
              <w:rPr>
                <w:rFonts w:hint="eastAsia"/>
                <w:sz w:val="24"/>
                <w:lang w:val="en-US" w:eastAsia="zh-CN"/>
              </w:rPr>
              <w:t>125</w:t>
            </w:r>
            <w:r>
              <w:rPr>
                <w:rFonts w:hAnsi="宋体"/>
                <w:sz w:val="24"/>
              </w:rPr>
              <w:t>人中调配人员。工作制度实行三班两运转制，企业近几年工作时间约</w:t>
            </w:r>
            <w:r>
              <w:rPr>
                <w:rFonts w:hint="eastAsia"/>
                <w:sz w:val="24"/>
                <w:lang w:val="en-US" w:eastAsia="zh-CN"/>
              </w:rPr>
              <w:t>300</w:t>
            </w:r>
            <w:r>
              <w:rPr>
                <w:rFonts w:hint="eastAsia" w:hAnsi="宋体"/>
                <w:sz w:val="24"/>
              </w:rPr>
              <w:t>d/a</w:t>
            </w:r>
            <w:r>
              <w:rPr>
                <w:rFonts w:hAnsi="宋体"/>
                <w:sz w:val="24"/>
              </w:rPr>
              <w:t>。</w:t>
            </w:r>
          </w:p>
          <w:p w14:paraId="5091AC7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8</w:t>
            </w:r>
            <w:r>
              <w:rPr>
                <w:rFonts w:hint="eastAsia" w:cs="Times New Roman"/>
                <w:b/>
                <w:kern w:val="0"/>
                <w:sz w:val="24"/>
                <w:lang w:val="en-US" w:eastAsia="zh-CN"/>
              </w:rPr>
              <w:t>.</w:t>
            </w:r>
            <w:r>
              <w:rPr>
                <w:rFonts w:ascii="Times New Roman" w:hAnsi="Times New Roman" w:eastAsia="宋体" w:cs="Times New Roman"/>
                <w:b/>
                <w:kern w:val="0"/>
                <w:sz w:val="24"/>
              </w:rPr>
              <w:t>平面布置</w:t>
            </w:r>
          </w:p>
          <w:p w14:paraId="6B768F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r>
              <w:rPr>
                <w:rFonts w:hint="eastAsia"/>
                <w:kern w:val="0"/>
                <w:sz w:val="24"/>
              </w:rPr>
              <w:t>本项目在厂内北部</w:t>
            </w:r>
            <w:r>
              <w:rPr>
                <w:rFonts w:hint="eastAsia"/>
                <w:kern w:val="0"/>
                <w:sz w:val="24"/>
                <w:lang w:eastAsia="zh-CN"/>
              </w:rPr>
              <w:t>现有的萘系减水剂粉剂生产车间内建设干燥系统</w:t>
            </w:r>
            <w:r>
              <w:rPr>
                <w:rFonts w:hint="eastAsia"/>
                <w:kern w:val="0"/>
                <w:sz w:val="24"/>
              </w:rPr>
              <w:t>，其中</w:t>
            </w:r>
            <w:r>
              <w:rPr>
                <w:rFonts w:hint="eastAsia"/>
                <w:kern w:val="0"/>
                <w:sz w:val="24"/>
                <w:lang w:eastAsia="zh-CN"/>
              </w:rPr>
              <w:t>热风炉燃烧系统、干燥系统及包装系统自西向东</w:t>
            </w:r>
            <w:r>
              <w:rPr>
                <w:kern w:val="0"/>
                <w:sz w:val="24"/>
              </w:rPr>
              <w:t>依次布设于</w:t>
            </w:r>
            <w:r>
              <w:rPr>
                <w:rFonts w:hint="eastAsia"/>
                <w:kern w:val="0"/>
                <w:sz w:val="24"/>
                <w:lang w:eastAsia="zh-CN"/>
              </w:rPr>
              <w:t>车间内偏东侧。热风炉靠近甲醛尾气吸收塔，便于尾气输送。热风炉靠近</w:t>
            </w:r>
            <w:r>
              <w:rPr>
                <w:rFonts w:hint="eastAsia"/>
                <w:kern w:val="0"/>
                <w:sz w:val="24"/>
              </w:rPr>
              <w:t>喷雾</w:t>
            </w:r>
            <w:r>
              <w:rPr>
                <w:kern w:val="0"/>
                <w:sz w:val="24"/>
              </w:rPr>
              <w:t>干燥塔，</w:t>
            </w:r>
            <w:r>
              <w:rPr>
                <w:rFonts w:hint="eastAsia"/>
                <w:kern w:val="0"/>
                <w:sz w:val="24"/>
                <w:lang w:eastAsia="zh-CN"/>
              </w:rPr>
              <w:t>热风炉</w:t>
            </w:r>
            <w:r>
              <w:rPr>
                <w:kern w:val="0"/>
                <w:sz w:val="24"/>
              </w:rPr>
              <w:t>产生的热能就近用于喷雾干燥塔。</w:t>
            </w:r>
          </w:p>
          <w:p w14:paraId="705692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1C60A0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78F4D7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48ECF9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3EA754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282231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54801D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751443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37F3CB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0A8CC8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p>
          <w:p w14:paraId="6F208D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Cs/>
                <w:szCs w:val="21"/>
                <w:lang w:val="en-US" w:eastAsia="zh-CN"/>
              </w:rPr>
            </w:pPr>
          </w:p>
        </w:tc>
      </w:tr>
      <w:tr w14:paraId="564A5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720" w:hRule="atLeast"/>
          <w:jc w:val="center"/>
        </w:trPr>
        <w:tc>
          <w:tcPr>
            <w:tcW w:w="738" w:type="dxa"/>
            <w:shd w:val="clear" w:color="auto" w:fill="auto"/>
            <w:noWrap w:val="0"/>
            <w:vAlign w:val="center"/>
          </w:tcPr>
          <w:p w14:paraId="11763911">
            <w:pPr>
              <w:pStyle w:val="36"/>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工艺流程和产排污环节</w:t>
            </w:r>
          </w:p>
        </w:tc>
        <w:tc>
          <w:tcPr>
            <w:tcW w:w="8322" w:type="dxa"/>
            <w:shd w:val="clear" w:color="auto" w:fill="auto"/>
            <w:noWrap w:val="0"/>
            <w:vAlign w:val="top"/>
          </w:tcPr>
          <w:p w14:paraId="05BB36F9">
            <w:pPr>
              <w:widowControl/>
              <w:spacing w:line="500" w:lineRule="exact"/>
              <w:ind w:firstLine="482" w:firstLineChars="200"/>
              <w:rPr>
                <w:b/>
                <w:bCs/>
                <w:kern w:val="0"/>
                <w:sz w:val="24"/>
              </w:rPr>
            </w:pPr>
            <w:r>
              <w:rPr>
                <w:b/>
                <w:bCs/>
                <w:kern w:val="0"/>
                <w:sz w:val="24"/>
              </w:rPr>
              <w:t>1</w:t>
            </w:r>
            <w:r>
              <w:rPr>
                <w:rFonts w:hint="eastAsia"/>
                <w:b/>
                <w:bCs/>
                <w:kern w:val="0"/>
                <w:sz w:val="24"/>
                <w:lang w:val="en-US" w:eastAsia="zh-CN"/>
              </w:rPr>
              <w:t>.</w:t>
            </w:r>
            <w:r>
              <w:rPr>
                <w:b/>
                <w:bCs/>
                <w:kern w:val="0"/>
                <w:sz w:val="24"/>
              </w:rPr>
              <w:t>施工期工艺流程和产排污环节</w:t>
            </w:r>
          </w:p>
          <w:p w14:paraId="452F8D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本项目施工期主要为现有厂房的屋顶拆除，钢结构墙体加高，尾气管道的安装及加热、干燥系统的安装。</w:t>
            </w:r>
          </w:p>
          <w:p w14:paraId="733679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4"/>
              </w:rPr>
            </w:pPr>
            <w:r>
              <w:rPr>
                <w:rFonts w:hint="eastAsia" w:ascii="Times New Roman" w:hAnsi="Times New Roman" w:eastAsia="宋体" w:cs="Times New Roman"/>
                <w:kern w:val="0"/>
                <w:sz w:val="24"/>
              </w:rPr>
              <w:object>
                <v:shape id="_x0000_i1032" o:spt="75" type="#_x0000_t75" style="height:78.75pt;width:349.5pt;" o:ole="t" filled="f" o:preferrelative="t" stroked="t" coordsize="21600,21600">
                  <v:path/>
                  <v:fill on="f" focussize="0,0"/>
                  <v:stroke/>
                  <v:imagedata r:id="rId21" o:title=""/>
                  <o:lock v:ext="edit" aspectratio="t"/>
                  <w10:wrap type="none"/>
                  <w10:anchorlock/>
                </v:shape>
                <o:OLEObject Type="Embed" ProgID="Visio.Drawing.11" ShapeID="_x0000_i1032" DrawAspect="Content" ObjectID="_1468075729" r:id="rId20">
                  <o:LockedField>false</o:LockedField>
                </o:OLEObject>
              </w:object>
            </w:r>
          </w:p>
          <w:p w14:paraId="71AE2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eastAsia="zh-CN"/>
              </w:rPr>
              <w:t>图</w:t>
            </w:r>
            <w:r>
              <w:rPr>
                <w:rFonts w:hint="eastAsia" w:ascii="Times New Roman" w:hAnsi="Times New Roman" w:eastAsia="宋体" w:cs="Times New Roman"/>
                <w:kern w:val="0"/>
                <w:sz w:val="24"/>
                <w:lang w:val="en-US" w:eastAsia="zh-CN"/>
              </w:rPr>
              <w:t>2-5  施工工艺流程</w:t>
            </w:r>
            <w:r>
              <w:rPr>
                <w:rFonts w:hAnsi="宋体"/>
                <w:kern w:val="0"/>
                <w:sz w:val="24"/>
              </w:rPr>
              <w:t>及产污环节图</w:t>
            </w:r>
          </w:p>
          <w:p w14:paraId="3C4D6EFD">
            <w:pPr>
              <w:spacing w:line="500" w:lineRule="exact"/>
              <w:ind w:firstLine="482" w:firstLineChars="200"/>
              <w:jc w:val="left"/>
              <w:rPr>
                <w:rFonts w:ascii="宋体" w:hAnsi="宋体" w:cs="宋体"/>
                <w:kern w:val="0"/>
                <w:sz w:val="24"/>
              </w:rPr>
            </w:pPr>
            <w:r>
              <w:rPr>
                <w:b/>
                <w:bCs/>
                <w:kern w:val="0"/>
                <w:sz w:val="24"/>
              </w:rPr>
              <w:t>2</w:t>
            </w:r>
            <w:r>
              <w:rPr>
                <w:rFonts w:hint="eastAsia"/>
                <w:b/>
                <w:bCs/>
                <w:kern w:val="0"/>
                <w:sz w:val="24"/>
                <w:lang w:val="en-US" w:eastAsia="zh-CN"/>
              </w:rPr>
              <w:t>.</w:t>
            </w:r>
            <w:r>
              <w:rPr>
                <w:b/>
                <w:bCs/>
                <w:kern w:val="0"/>
                <w:sz w:val="24"/>
              </w:rPr>
              <w:t>运营期工艺流程和产排污环节</w:t>
            </w:r>
          </w:p>
          <w:p w14:paraId="5ED282A6">
            <w:pPr>
              <w:spacing w:line="500" w:lineRule="exact"/>
              <w:ind w:firstLine="480" w:firstLineChars="200"/>
              <w:jc w:val="left"/>
              <w:rPr>
                <w:rFonts w:hint="eastAsia" w:ascii="宋体" w:hAnsi="宋体" w:eastAsia="宋体" w:cs="宋体"/>
                <w:kern w:val="0"/>
                <w:sz w:val="24"/>
                <w:lang w:eastAsia="zh-CN"/>
              </w:rPr>
            </w:pPr>
            <w:r>
              <w:rPr>
                <w:rFonts w:hint="eastAsia" w:ascii="宋体" w:hAnsi="宋体" w:eastAsia="宋体" w:cs="宋体"/>
                <w:kern w:val="0"/>
                <w:sz w:val="24"/>
              </w:rPr>
              <w:t>⑴</w:t>
            </w:r>
            <w:r>
              <w:rPr>
                <w:rFonts w:hint="eastAsia" w:ascii="宋体" w:hAnsi="宋体" w:eastAsia="宋体" w:cs="宋体"/>
                <w:kern w:val="0"/>
                <w:sz w:val="24"/>
                <w:lang w:eastAsia="zh-CN"/>
              </w:rPr>
              <w:t>生产工艺流程及产排污环节</w:t>
            </w:r>
          </w:p>
          <w:p w14:paraId="752B7F70">
            <w:pPr>
              <w:spacing w:line="500" w:lineRule="exact"/>
              <w:ind w:firstLine="480" w:firstLineChars="200"/>
              <w:jc w:val="left"/>
              <w:rPr>
                <w:rFonts w:hint="eastAsia" w:hAnsi="宋体"/>
                <w:sz w:val="24"/>
              </w:rPr>
            </w:pPr>
            <w:r>
              <w:rPr>
                <w:rFonts w:hint="eastAsia" w:ascii="宋体" w:hAnsi="宋体" w:cs="宋体"/>
                <w:kern w:val="0"/>
                <w:sz w:val="24"/>
              </w:rPr>
              <w:t>本项目</w:t>
            </w:r>
            <w:r>
              <w:rPr>
                <w:rFonts w:hint="eastAsia" w:ascii="宋体" w:hAnsi="宋体" w:cs="宋体"/>
                <w:kern w:val="0"/>
                <w:sz w:val="24"/>
                <w:lang w:eastAsia="zh-CN"/>
              </w:rPr>
              <w:t>利用现有甲醛吸收塔尾气经过热风炉点燃后为干燥喷雾塔提供热源；</w:t>
            </w:r>
            <w:r>
              <w:rPr>
                <w:rFonts w:hint="eastAsia" w:hAnsi="宋体"/>
                <w:sz w:val="24"/>
              </w:rPr>
              <w:t>企业现有</w:t>
            </w:r>
            <w:r>
              <w:rPr>
                <w:rFonts w:hint="eastAsia" w:hAnsi="宋体"/>
                <w:sz w:val="24"/>
                <w:lang w:eastAsia="zh-CN"/>
              </w:rPr>
              <w:t>甲醛生产线及萘系减水剂水剂的生产工艺</w:t>
            </w:r>
            <w:r>
              <w:rPr>
                <w:rFonts w:hint="eastAsia" w:hAnsi="宋体"/>
                <w:sz w:val="24"/>
              </w:rPr>
              <w:t>不发生变化，工艺流程及产污环节见下图。</w:t>
            </w:r>
          </w:p>
          <w:p w14:paraId="73318FBF">
            <w:pPr>
              <w:jc w:val="center"/>
              <w:rPr>
                <w:kern w:val="0"/>
              </w:rPr>
            </w:pPr>
            <w:r>
              <w:rPr>
                <w:rFonts w:hint="default" w:ascii="Times New Roman" w:hAnsi="Times New Roman" w:eastAsia="宋体" w:cs="Times New Roman"/>
                <w:sz w:val="24"/>
                <w:szCs w:val="24"/>
              </w:rPr>
              <w:object>
                <v:shape id="_x0000_i1033" o:spt="75" type="#_x0000_t75" style="height:195.35pt;width:398.9pt;" o:ole="t" filled="f" o:preferrelative="t" stroked="t" coordsize="21600,21600">
                  <v:path/>
                  <v:fill on="f" focussize="0,0"/>
                  <v:stroke joinstyle="miter"/>
                  <v:imagedata r:id="rId23" o:title=""/>
                  <o:lock v:ext="edit" aspectratio="t"/>
                  <w10:wrap type="none"/>
                  <w10:anchorlock/>
                </v:shape>
                <o:OLEObject Type="Embed" ProgID="Visio.Drawing.11" ShapeID="_x0000_i1033" DrawAspect="Content" ObjectID="_1468075730" r:id="rId22">
                  <o:LockedField>false</o:LockedField>
                </o:OLEObject>
              </w:object>
            </w:r>
          </w:p>
          <w:p w14:paraId="17408B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kern w:val="0"/>
                <w:sz w:val="24"/>
              </w:rPr>
            </w:pPr>
            <w:r>
              <w:rPr>
                <w:rFonts w:hAnsi="宋体"/>
                <w:kern w:val="0"/>
                <w:sz w:val="24"/>
              </w:rPr>
              <w:t>图</w:t>
            </w:r>
            <w:r>
              <w:rPr>
                <w:kern w:val="0"/>
                <w:sz w:val="24"/>
              </w:rPr>
              <w:t>2-</w:t>
            </w:r>
            <w:r>
              <w:rPr>
                <w:rFonts w:hint="eastAsia"/>
                <w:kern w:val="0"/>
                <w:sz w:val="24"/>
                <w:lang w:val="en-US" w:eastAsia="zh-CN"/>
              </w:rPr>
              <w:t>6</w:t>
            </w:r>
            <w:r>
              <w:rPr>
                <w:kern w:val="0"/>
                <w:sz w:val="24"/>
              </w:rPr>
              <w:t xml:space="preserve">  </w:t>
            </w:r>
            <w:r>
              <w:rPr>
                <w:rFonts w:hint="eastAsia"/>
                <w:kern w:val="0"/>
                <w:sz w:val="24"/>
              </w:rPr>
              <w:t>生产</w:t>
            </w:r>
            <w:r>
              <w:rPr>
                <w:rFonts w:hAnsi="宋体"/>
                <w:kern w:val="0"/>
                <w:sz w:val="24"/>
              </w:rPr>
              <w:t>工艺流程及产污环节图</w:t>
            </w:r>
          </w:p>
          <w:p w14:paraId="0A21D4AD">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rPr>
              <w:t>⑵</w:t>
            </w:r>
            <w:r>
              <w:rPr>
                <w:rFonts w:hint="eastAsia" w:ascii="Times New Roman" w:hAnsi="Times New Roman" w:eastAsia="宋体" w:cs="Times New Roman"/>
                <w:sz w:val="24"/>
                <w:lang w:eastAsia="zh-CN"/>
              </w:rPr>
              <w:t>设备工艺流程</w:t>
            </w:r>
          </w:p>
          <w:p w14:paraId="4F188D98">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本项目选择1台ZRQ-240万大卡直燃式甲醛尾气热风炉和1套LPG-1000离心喷雾专用干燥机（主塔直径6.8m，高17.1m）。</w:t>
            </w:r>
          </w:p>
          <w:p w14:paraId="1B2004BA">
            <w:pPr>
              <w:widowControl/>
              <w:spacing w:line="500" w:lineRule="exact"/>
              <w:ind w:firstLine="480" w:firstLineChars="200"/>
              <w:rPr>
                <w:rFonts w:hint="eastAsia" w:ascii="Times New Roman" w:hAnsi="Times New Roman" w:eastAsia="宋体" w:cs="Times New Roman"/>
                <w:sz w:val="24"/>
              </w:rPr>
            </w:pPr>
          </w:p>
          <w:p w14:paraId="3F69C9BF">
            <w:pPr>
              <w:widowControl/>
              <w:spacing w:line="500" w:lineRule="exact"/>
              <w:ind w:firstLine="480" w:firstLineChars="200"/>
              <w:rPr>
                <w:rFonts w:hint="eastAsia" w:ascii="Times New Roman" w:hAnsi="Times New Roman" w:eastAsia="宋体" w:cs="Times New Roman"/>
                <w:sz w:val="24"/>
              </w:rPr>
            </w:pPr>
          </w:p>
          <w:p w14:paraId="68448B45">
            <w:pPr>
              <w:widowControl/>
              <w:spacing w:line="500" w:lineRule="exact"/>
              <w:ind w:firstLine="480" w:firstLineChars="200"/>
              <w:rPr>
                <w:rFonts w:hint="eastAsia" w:ascii="Times New Roman" w:hAnsi="Times New Roman" w:eastAsia="宋体" w:cs="Times New Roman"/>
                <w:sz w:val="24"/>
              </w:rPr>
            </w:pPr>
          </w:p>
          <w:p w14:paraId="35DCBB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kern w:val="0"/>
                <w:sz w:val="24"/>
              </w:rPr>
            </w:pPr>
            <w:r>
              <w:rPr>
                <w:rFonts w:hint="eastAsia" w:ascii="宋体" w:hAnsi="宋体" w:eastAsia="宋体" w:cs="宋体"/>
                <w:sz w:val="24"/>
                <w:lang w:eastAsia="zh-CN"/>
              </w:rPr>
              <w:pict>
                <v:shape id="图片 13" o:spid="_x0000_s1033" o:spt="75" alt="d783d33cccf4449eeb4406706363d88" type="#_x0000_t75" style="position:absolute;left:0pt;margin-left:2.2pt;margin-top:5.3pt;height:206.55pt;width:403.65pt;mso-wrap-distance-bottom:0pt;mso-wrap-distance-left:9pt;mso-wrap-distance-right:9pt;mso-wrap-distance-top:0pt;z-index:251660288;mso-width-relative:page;mso-height-relative:page;" filled="f" o:preferrelative="t" stroked="t" coordsize="21600,21600">
                  <v:path/>
                  <v:fill on="f" focussize="0,0"/>
                  <v:stroke/>
                  <v:imagedata r:id="rId24" o:title="d783d33cccf4449eeb4406706363d88"/>
                  <o:lock v:ext="edit" aspectratio="t"/>
                  <w10:wrap type="square"/>
                </v:shape>
              </w:pict>
            </w:r>
            <w:r>
              <w:rPr>
                <w:rFonts w:hAnsi="宋体"/>
                <w:kern w:val="0"/>
                <w:sz w:val="24"/>
              </w:rPr>
              <w:t>图</w:t>
            </w:r>
            <w:r>
              <w:rPr>
                <w:kern w:val="0"/>
                <w:sz w:val="24"/>
              </w:rPr>
              <w:t>2-</w:t>
            </w:r>
            <w:r>
              <w:rPr>
                <w:rFonts w:hint="eastAsia"/>
                <w:kern w:val="0"/>
                <w:sz w:val="24"/>
                <w:lang w:val="en-US" w:eastAsia="zh-CN"/>
              </w:rPr>
              <w:t>7</w:t>
            </w:r>
            <w:r>
              <w:rPr>
                <w:kern w:val="0"/>
                <w:sz w:val="24"/>
              </w:rPr>
              <w:t xml:space="preserve">  </w:t>
            </w:r>
            <w:r>
              <w:rPr>
                <w:rFonts w:hint="eastAsia"/>
                <w:kern w:val="0"/>
                <w:sz w:val="24"/>
                <w:lang w:eastAsia="zh-CN"/>
              </w:rPr>
              <w:t>设备</w:t>
            </w:r>
            <w:r>
              <w:rPr>
                <w:rFonts w:hAnsi="宋体"/>
                <w:kern w:val="0"/>
                <w:sz w:val="24"/>
              </w:rPr>
              <w:t>工艺流程</w:t>
            </w:r>
          </w:p>
          <w:p w14:paraId="7AD45C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本干燥系统通过甲醛尾气燃烧产生高温热风，经调节至300℃-400℃后，从干燥室顶部热风分配器通道输入。热风分配器将高温热风转化为均匀旋转的气流送入干燥室内，为物料干燥提供热源。料液经泵输送至高速旋转的雾化盘，被分散成微细料雾。由于采用顺喷式热交换方式，料雾自主塔顶雾化器喷出后，与自上而下的旋流热空气充分接触，水分迅速蒸发，在短时间内完成干燥过程，形成中空、壁薄且在水中能快速溶解的球状产品。干燥后的粉粒产品主要从干燥主塔下料口、旋风除尘器下料口等3处出料，通过冷风收料管统一输送至小收料旋风除尘器，最终进入成品料罐进行包装。干燥后的空气与尾气一同进入旋风分离器进行初步分离，尾气再经水膜除尘器回收处理，最后由引风机抽出排空。</w:t>
            </w:r>
          </w:p>
          <w:p w14:paraId="5DE64A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rPr>
            </w:pPr>
            <w:r>
              <w:rPr>
                <w:sz w:val="24"/>
              </w:rPr>
              <w:t>本项目运营期产污环节及污染因子识别结果汇总情况见下表。</w:t>
            </w:r>
          </w:p>
          <w:p w14:paraId="7710C3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Cs/>
                <w:sz w:val="24"/>
              </w:rPr>
            </w:pPr>
            <w:r>
              <w:rPr>
                <w:bCs/>
                <w:sz w:val="24"/>
              </w:rPr>
              <w:t>表</w:t>
            </w:r>
            <w:r>
              <w:rPr>
                <w:rFonts w:hint="eastAsia"/>
                <w:bCs/>
                <w:sz w:val="24"/>
              </w:rPr>
              <w:t>2-</w:t>
            </w:r>
            <w:r>
              <w:rPr>
                <w:rFonts w:hint="eastAsia"/>
                <w:bCs/>
                <w:sz w:val="24"/>
                <w:lang w:val="en-US" w:eastAsia="zh-CN"/>
              </w:rPr>
              <w:t>15</w:t>
            </w:r>
            <w:r>
              <w:rPr>
                <w:rFonts w:hint="eastAsia"/>
                <w:bCs/>
                <w:sz w:val="24"/>
              </w:rPr>
              <w:t xml:space="preserve">  </w:t>
            </w:r>
            <w:r>
              <w:rPr>
                <w:bCs/>
                <w:sz w:val="24"/>
              </w:rPr>
              <w:t>项目产污环节及污染因子汇总表</w:t>
            </w:r>
          </w:p>
          <w:tbl>
            <w:tblPr>
              <w:tblStyle w:val="11"/>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49"/>
              <w:gridCol w:w="700"/>
              <w:gridCol w:w="1073"/>
              <w:gridCol w:w="2170"/>
              <w:gridCol w:w="2437"/>
              <w:gridCol w:w="1023"/>
            </w:tblGrid>
            <w:tr w14:paraId="6C2E8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459" w:type="pct"/>
                  <w:shd w:val="clear" w:color="auto" w:fill="auto"/>
                  <w:noWrap w:val="0"/>
                  <w:vAlign w:val="center"/>
                </w:tcPr>
                <w:p w14:paraId="254C7E14">
                  <w:pPr>
                    <w:widowControl/>
                    <w:jc w:val="center"/>
                    <w:rPr>
                      <w:bCs/>
                      <w:szCs w:val="21"/>
                    </w:rPr>
                  </w:pPr>
                  <w:r>
                    <w:rPr>
                      <w:rFonts w:hint="eastAsia"/>
                      <w:bCs/>
                      <w:szCs w:val="21"/>
                    </w:rPr>
                    <w:t>项目</w:t>
                  </w:r>
                </w:p>
              </w:tc>
              <w:tc>
                <w:tcPr>
                  <w:tcW w:w="1087" w:type="pct"/>
                  <w:gridSpan w:val="2"/>
                  <w:shd w:val="clear" w:color="auto" w:fill="auto"/>
                  <w:noWrap w:val="0"/>
                  <w:vAlign w:val="center"/>
                </w:tcPr>
                <w:p w14:paraId="628505E9">
                  <w:pPr>
                    <w:widowControl/>
                    <w:jc w:val="center"/>
                    <w:rPr>
                      <w:bCs/>
                      <w:szCs w:val="21"/>
                    </w:rPr>
                  </w:pPr>
                  <w:r>
                    <w:rPr>
                      <w:rFonts w:hint="eastAsia"/>
                      <w:bCs/>
                      <w:szCs w:val="21"/>
                    </w:rPr>
                    <w:t>污染物</w:t>
                  </w:r>
                </w:p>
              </w:tc>
              <w:tc>
                <w:tcPr>
                  <w:tcW w:w="1330" w:type="pct"/>
                  <w:shd w:val="clear" w:color="auto" w:fill="auto"/>
                  <w:noWrap w:val="0"/>
                  <w:vAlign w:val="center"/>
                </w:tcPr>
                <w:p w14:paraId="7ACB2127">
                  <w:pPr>
                    <w:widowControl/>
                    <w:jc w:val="center"/>
                    <w:rPr>
                      <w:bCs/>
                      <w:szCs w:val="21"/>
                    </w:rPr>
                  </w:pPr>
                  <w:r>
                    <w:rPr>
                      <w:bCs/>
                      <w:szCs w:val="21"/>
                    </w:rPr>
                    <w:t>污染因子</w:t>
                  </w:r>
                </w:p>
              </w:tc>
              <w:tc>
                <w:tcPr>
                  <w:tcW w:w="1494" w:type="pct"/>
                  <w:shd w:val="clear" w:color="auto" w:fill="auto"/>
                  <w:noWrap w:val="0"/>
                  <w:vAlign w:val="center"/>
                </w:tcPr>
                <w:p w14:paraId="57DEA003">
                  <w:pPr>
                    <w:widowControl/>
                    <w:jc w:val="center"/>
                    <w:rPr>
                      <w:bCs/>
                      <w:szCs w:val="21"/>
                    </w:rPr>
                  </w:pPr>
                  <w:r>
                    <w:rPr>
                      <w:bCs/>
                      <w:szCs w:val="21"/>
                    </w:rPr>
                    <w:t>治理措施</w:t>
                  </w:r>
                </w:p>
              </w:tc>
              <w:tc>
                <w:tcPr>
                  <w:tcW w:w="627" w:type="pct"/>
                  <w:shd w:val="clear" w:color="auto" w:fill="auto"/>
                  <w:noWrap w:val="0"/>
                  <w:vAlign w:val="center"/>
                </w:tcPr>
                <w:p w14:paraId="5ACF1FAA">
                  <w:pPr>
                    <w:widowControl/>
                    <w:jc w:val="center"/>
                    <w:rPr>
                      <w:bCs/>
                      <w:szCs w:val="21"/>
                    </w:rPr>
                  </w:pPr>
                  <w:r>
                    <w:rPr>
                      <w:bCs/>
                      <w:szCs w:val="21"/>
                    </w:rPr>
                    <w:t>排放方式</w:t>
                  </w:r>
                </w:p>
              </w:tc>
            </w:tr>
            <w:tr w14:paraId="4B573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9" w:type="pct"/>
                  <w:vMerge w:val="restart"/>
                  <w:shd w:val="clear" w:color="auto" w:fill="auto"/>
                  <w:noWrap w:val="0"/>
                  <w:vAlign w:val="center"/>
                </w:tcPr>
                <w:p w14:paraId="5827814F">
                  <w:pPr>
                    <w:widowControl/>
                    <w:jc w:val="center"/>
                    <w:rPr>
                      <w:szCs w:val="21"/>
                    </w:rPr>
                  </w:pPr>
                  <w:r>
                    <w:rPr>
                      <w:szCs w:val="21"/>
                    </w:rPr>
                    <w:t>废气</w:t>
                  </w:r>
                </w:p>
              </w:tc>
              <w:tc>
                <w:tcPr>
                  <w:tcW w:w="1087" w:type="pct"/>
                  <w:gridSpan w:val="2"/>
                  <w:shd w:val="clear" w:color="auto" w:fill="auto"/>
                  <w:noWrap w:val="0"/>
                  <w:vAlign w:val="center"/>
                </w:tcPr>
                <w:p w14:paraId="5332F509">
                  <w:pPr>
                    <w:widowControl/>
                    <w:jc w:val="center"/>
                    <w:rPr>
                      <w:rFonts w:hint="eastAsia" w:eastAsia="宋体"/>
                      <w:szCs w:val="21"/>
                      <w:lang w:eastAsia="zh-CN"/>
                    </w:rPr>
                  </w:pPr>
                  <w:r>
                    <w:rPr>
                      <w:rFonts w:hint="eastAsia"/>
                      <w:szCs w:val="21"/>
                      <w:lang w:eastAsia="zh-CN"/>
                    </w:rPr>
                    <w:t>热风炉燃烧废气</w:t>
                  </w:r>
                </w:p>
              </w:tc>
              <w:tc>
                <w:tcPr>
                  <w:tcW w:w="1330" w:type="pct"/>
                  <w:shd w:val="clear" w:color="auto" w:fill="auto"/>
                  <w:noWrap w:val="0"/>
                  <w:vAlign w:val="center"/>
                </w:tcPr>
                <w:p w14:paraId="245A6D11">
                  <w:pPr>
                    <w:widowControl/>
                    <w:jc w:val="center"/>
                    <w:rPr>
                      <w:rFonts w:hint="default" w:eastAsia="宋体"/>
                      <w:szCs w:val="21"/>
                      <w:lang w:val="en-US" w:eastAsia="zh-CN"/>
                    </w:rPr>
                  </w:pPr>
                  <w:r>
                    <w:rPr>
                      <w:rFonts w:hint="eastAsia"/>
                      <w:szCs w:val="21"/>
                      <w:lang w:val="en-US" w:eastAsia="zh-CN"/>
                    </w:rPr>
                    <w:t>TSP</w:t>
                  </w:r>
                  <w:r>
                    <w:rPr>
                      <w:rFonts w:hint="eastAsia"/>
                      <w:szCs w:val="21"/>
                      <w:lang w:eastAsia="zh-CN"/>
                    </w:rPr>
                    <w:t>、氮氧化物、甲醛、甲醇、非甲烷总烃</w:t>
                  </w:r>
                </w:p>
              </w:tc>
              <w:tc>
                <w:tcPr>
                  <w:tcW w:w="1494" w:type="pct"/>
                  <w:vMerge w:val="restart"/>
                  <w:shd w:val="clear" w:color="auto" w:fill="auto"/>
                  <w:noWrap w:val="0"/>
                  <w:vAlign w:val="center"/>
                </w:tcPr>
                <w:p w14:paraId="75486158">
                  <w:pPr>
                    <w:widowControl/>
                    <w:jc w:val="center"/>
                    <w:rPr>
                      <w:rFonts w:hint="default" w:eastAsia="宋体"/>
                      <w:szCs w:val="21"/>
                      <w:lang w:val="en-US" w:eastAsia="zh-CN"/>
                    </w:rPr>
                  </w:pPr>
                  <w:r>
                    <w:rPr>
                      <w:szCs w:val="21"/>
                    </w:rPr>
                    <w:t>密闭生产设备，经管道</w:t>
                  </w:r>
                  <w:r>
                    <w:rPr>
                      <w:rFonts w:hint="eastAsia"/>
                      <w:szCs w:val="21"/>
                      <w:lang w:eastAsia="zh-CN"/>
                    </w:rPr>
                    <w:t>接入旋风除尘器</w:t>
                  </w:r>
                  <w:r>
                    <w:rPr>
                      <w:rFonts w:hint="eastAsia"/>
                      <w:szCs w:val="21"/>
                      <w:lang w:val="en-US" w:eastAsia="zh-CN"/>
                    </w:rPr>
                    <w:t>+两级水膜除尘</w:t>
                  </w:r>
                </w:p>
              </w:tc>
              <w:tc>
                <w:tcPr>
                  <w:tcW w:w="627" w:type="pct"/>
                  <w:shd w:val="clear" w:color="auto" w:fill="auto"/>
                  <w:noWrap w:val="0"/>
                  <w:vAlign w:val="center"/>
                </w:tcPr>
                <w:p w14:paraId="109C858E">
                  <w:pPr>
                    <w:widowControl/>
                    <w:jc w:val="center"/>
                    <w:rPr>
                      <w:szCs w:val="21"/>
                    </w:rPr>
                  </w:pPr>
                  <w:r>
                    <w:rPr>
                      <w:rFonts w:hint="eastAsia"/>
                      <w:szCs w:val="21"/>
                      <w:lang w:eastAsia="zh-CN"/>
                    </w:rPr>
                    <w:t>有组织</w:t>
                  </w:r>
                </w:p>
              </w:tc>
            </w:tr>
            <w:tr w14:paraId="44BA2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9" w:type="pct"/>
                  <w:vMerge w:val="continue"/>
                  <w:shd w:val="clear" w:color="auto" w:fill="auto"/>
                  <w:noWrap w:val="0"/>
                  <w:vAlign w:val="center"/>
                </w:tcPr>
                <w:p w14:paraId="18AA2AB3">
                  <w:pPr>
                    <w:widowControl/>
                    <w:jc w:val="center"/>
                    <w:rPr>
                      <w:szCs w:val="21"/>
                    </w:rPr>
                  </w:pPr>
                </w:p>
              </w:tc>
              <w:tc>
                <w:tcPr>
                  <w:tcW w:w="1087" w:type="pct"/>
                  <w:gridSpan w:val="2"/>
                  <w:shd w:val="clear" w:color="auto" w:fill="auto"/>
                  <w:noWrap w:val="0"/>
                  <w:vAlign w:val="center"/>
                </w:tcPr>
                <w:p w14:paraId="76447AFD">
                  <w:pPr>
                    <w:widowControl/>
                    <w:jc w:val="center"/>
                    <w:rPr>
                      <w:rFonts w:hint="eastAsia" w:eastAsia="宋体"/>
                      <w:szCs w:val="21"/>
                      <w:lang w:eastAsia="zh-CN"/>
                    </w:rPr>
                  </w:pPr>
                  <w:r>
                    <w:rPr>
                      <w:rFonts w:hint="eastAsia"/>
                      <w:szCs w:val="21"/>
                      <w:lang w:eastAsia="zh-CN"/>
                    </w:rPr>
                    <w:t>干燥废气</w:t>
                  </w:r>
                </w:p>
              </w:tc>
              <w:tc>
                <w:tcPr>
                  <w:tcW w:w="1330" w:type="pct"/>
                  <w:shd w:val="clear" w:color="auto" w:fill="auto"/>
                  <w:noWrap w:val="0"/>
                  <w:vAlign w:val="center"/>
                </w:tcPr>
                <w:p w14:paraId="313B06B1">
                  <w:pPr>
                    <w:widowControl/>
                    <w:jc w:val="center"/>
                    <w:rPr>
                      <w:rFonts w:hint="default" w:eastAsia="宋体"/>
                      <w:szCs w:val="21"/>
                      <w:lang w:val="en-US" w:eastAsia="zh-CN"/>
                    </w:rPr>
                  </w:pPr>
                  <w:r>
                    <w:rPr>
                      <w:rFonts w:hint="eastAsia"/>
                      <w:szCs w:val="21"/>
                      <w:lang w:val="en-US" w:eastAsia="zh-CN"/>
                    </w:rPr>
                    <w:t>TSP</w:t>
                  </w:r>
                  <w:r>
                    <w:rPr>
                      <w:rFonts w:hint="eastAsia"/>
                      <w:szCs w:val="21"/>
                      <w:lang w:eastAsia="zh-CN"/>
                    </w:rPr>
                    <w:t>、甲醛、萘（以非甲烷总烃表征）</w:t>
                  </w:r>
                </w:p>
              </w:tc>
              <w:tc>
                <w:tcPr>
                  <w:tcW w:w="1494" w:type="pct"/>
                  <w:vMerge w:val="continue"/>
                  <w:shd w:val="clear" w:color="auto" w:fill="auto"/>
                  <w:noWrap w:val="0"/>
                  <w:vAlign w:val="center"/>
                </w:tcPr>
                <w:p w14:paraId="511701DD">
                  <w:pPr>
                    <w:widowControl/>
                    <w:jc w:val="center"/>
                    <w:rPr>
                      <w:szCs w:val="21"/>
                    </w:rPr>
                  </w:pPr>
                </w:p>
              </w:tc>
              <w:tc>
                <w:tcPr>
                  <w:tcW w:w="627" w:type="pct"/>
                  <w:shd w:val="clear" w:color="auto" w:fill="auto"/>
                  <w:noWrap w:val="0"/>
                  <w:vAlign w:val="center"/>
                </w:tcPr>
                <w:p w14:paraId="01D7E378">
                  <w:pPr>
                    <w:widowControl/>
                    <w:jc w:val="center"/>
                    <w:rPr>
                      <w:szCs w:val="21"/>
                    </w:rPr>
                  </w:pPr>
                  <w:r>
                    <w:rPr>
                      <w:szCs w:val="21"/>
                    </w:rPr>
                    <w:t>有组织</w:t>
                  </w:r>
                </w:p>
              </w:tc>
            </w:tr>
            <w:tr w14:paraId="7F2E2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9" w:type="pct"/>
                  <w:shd w:val="clear" w:color="auto" w:fill="auto"/>
                  <w:noWrap w:val="0"/>
                  <w:vAlign w:val="center"/>
                </w:tcPr>
                <w:p w14:paraId="71697316">
                  <w:pPr>
                    <w:widowControl/>
                    <w:jc w:val="center"/>
                    <w:rPr>
                      <w:szCs w:val="21"/>
                    </w:rPr>
                  </w:pPr>
                  <w:r>
                    <w:rPr>
                      <w:szCs w:val="21"/>
                    </w:rPr>
                    <w:t>噪声</w:t>
                  </w:r>
                </w:p>
              </w:tc>
              <w:tc>
                <w:tcPr>
                  <w:tcW w:w="1087" w:type="pct"/>
                  <w:gridSpan w:val="2"/>
                  <w:shd w:val="clear" w:color="auto" w:fill="auto"/>
                  <w:noWrap w:val="0"/>
                  <w:vAlign w:val="center"/>
                </w:tcPr>
                <w:p w14:paraId="07888630">
                  <w:pPr>
                    <w:widowControl/>
                    <w:jc w:val="center"/>
                    <w:rPr>
                      <w:szCs w:val="21"/>
                    </w:rPr>
                  </w:pPr>
                  <w:r>
                    <w:rPr>
                      <w:szCs w:val="21"/>
                    </w:rPr>
                    <w:t>生产设备</w:t>
                  </w:r>
                </w:p>
              </w:tc>
              <w:tc>
                <w:tcPr>
                  <w:tcW w:w="1330" w:type="pct"/>
                  <w:shd w:val="clear" w:color="auto" w:fill="auto"/>
                  <w:noWrap w:val="0"/>
                  <w:vAlign w:val="center"/>
                </w:tcPr>
                <w:p w14:paraId="23F45389">
                  <w:pPr>
                    <w:widowControl/>
                    <w:jc w:val="center"/>
                    <w:rPr>
                      <w:szCs w:val="21"/>
                    </w:rPr>
                  </w:pPr>
                  <w:r>
                    <w:rPr>
                      <w:szCs w:val="21"/>
                    </w:rPr>
                    <w:t>噪声、振动</w:t>
                  </w:r>
                </w:p>
              </w:tc>
              <w:tc>
                <w:tcPr>
                  <w:tcW w:w="1494" w:type="pct"/>
                  <w:shd w:val="clear" w:color="auto" w:fill="auto"/>
                  <w:noWrap w:val="0"/>
                  <w:vAlign w:val="center"/>
                </w:tcPr>
                <w:p w14:paraId="1BBDF9C4">
                  <w:pPr>
                    <w:widowControl/>
                    <w:jc w:val="center"/>
                    <w:rPr>
                      <w:szCs w:val="21"/>
                    </w:rPr>
                  </w:pPr>
                  <w:r>
                    <w:rPr>
                      <w:kern w:val="0"/>
                      <w:szCs w:val="21"/>
                    </w:rPr>
                    <w:t>噪声设备采取</w:t>
                  </w:r>
                  <w:r>
                    <w:rPr>
                      <w:rFonts w:hint="eastAsia"/>
                      <w:kern w:val="0"/>
                      <w:szCs w:val="21"/>
                    </w:rPr>
                    <w:t>消声、</w:t>
                  </w:r>
                  <w:r>
                    <w:rPr>
                      <w:kern w:val="0"/>
                      <w:szCs w:val="21"/>
                    </w:rPr>
                    <w:t>减振、厂房隔声措施</w:t>
                  </w:r>
                </w:p>
              </w:tc>
              <w:tc>
                <w:tcPr>
                  <w:tcW w:w="627" w:type="pct"/>
                  <w:shd w:val="clear" w:color="auto" w:fill="auto"/>
                  <w:noWrap w:val="0"/>
                  <w:vAlign w:val="center"/>
                </w:tcPr>
                <w:p w14:paraId="6C1B0D36">
                  <w:pPr>
                    <w:widowControl/>
                    <w:jc w:val="center"/>
                    <w:rPr>
                      <w:szCs w:val="21"/>
                    </w:rPr>
                  </w:pPr>
                  <w:r>
                    <w:rPr>
                      <w:szCs w:val="21"/>
                    </w:rPr>
                    <w:t>/</w:t>
                  </w:r>
                </w:p>
              </w:tc>
            </w:tr>
            <w:tr w14:paraId="278F1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9" w:type="pct"/>
                  <w:shd w:val="clear" w:color="auto" w:fill="auto"/>
                  <w:noWrap w:val="0"/>
                  <w:vAlign w:val="center"/>
                </w:tcPr>
                <w:p w14:paraId="1CFE4B1C">
                  <w:pPr>
                    <w:widowControl/>
                    <w:jc w:val="center"/>
                    <w:rPr>
                      <w:szCs w:val="21"/>
                    </w:rPr>
                  </w:pPr>
                  <w:r>
                    <w:rPr>
                      <w:szCs w:val="21"/>
                    </w:rPr>
                    <w:t>固废</w:t>
                  </w:r>
                </w:p>
              </w:tc>
              <w:tc>
                <w:tcPr>
                  <w:tcW w:w="429" w:type="pct"/>
                  <w:shd w:val="clear" w:color="auto" w:fill="auto"/>
                  <w:noWrap w:val="0"/>
                  <w:vAlign w:val="center"/>
                </w:tcPr>
                <w:p w14:paraId="73B87F4D">
                  <w:pPr>
                    <w:widowControl/>
                    <w:jc w:val="center"/>
                    <w:rPr>
                      <w:rFonts w:ascii="Times New Roman" w:hAnsi="Times New Roman"/>
                      <w:kern w:val="2"/>
                      <w:sz w:val="21"/>
                      <w:szCs w:val="21"/>
                      <w:lang w:val="en-US" w:eastAsia="zh-CN" w:bidi="ar-SA"/>
                    </w:rPr>
                  </w:pPr>
                  <w:r>
                    <w:rPr>
                      <w:szCs w:val="21"/>
                    </w:rPr>
                    <w:t>危险废物</w:t>
                  </w:r>
                </w:p>
              </w:tc>
              <w:tc>
                <w:tcPr>
                  <w:tcW w:w="658" w:type="pct"/>
                  <w:shd w:val="clear" w:color="auto" w:fill="auto"/>
                  <w:noWrap w:val="0"/>
                  <w:vAlign w:val="center"/>
                </w:tcPr>
                <w:p w14:paraId="28A082B2">
                  <w:pPr>
                    <w:widowControl/>
                    <w:jc w:val="center"/>
                    <w:rPr>
                      <w:rFonts w:ascii="Times New Roman" w:hAnsi="Times New Roman"/>
                      <w:kern w:val="2"/>
                      <w:sz w:val="21"/>
                      <w:szCs w:val="21"/>
                      <w:lang w:val="en-US" w:eastAsia="zh-CN" w:bidi="ar-SA"/>
                    </w:rPr>
                  </w:pPr>
                  <w:r>
                    <w:rPr>
                      <w:rFonts w:hint="eastAsia"/>
                      <w:szCs w:val="21"/>
                    </w:rPr>
                    <w:t>设备</w:t>
                  </w:r>
                  <w:r>
                    <w:rPr>
                      <w:szCs w:val="21"/>
                    </w:rPr>
                    <w:t>维护保养</w:t>
                  </w:r>
                </w:p>
              </w:tc>
              <w:tc>
                <w:tcPr>
                  <w:tcW w:w="1330" w:type="pct"/>
                  <w:shd w:val="clear" w:color="auto" w:fill="auto"/>
                  <w:noWrap w:val="0"/>
                  <w:vAlign w:val="center"/>
                </w:tcPr>
                <w:p w14:paraId="317A72E3">
                  <w:pPr>
                    <w:widowControl/>
                    <w:jc w:val="center"/>
                    <w:rPr>
                      <w:rFonts w:ascii="Times New Roman" w:hAnsi="Times New Roman"/>
                      <w:kern w:val="0"/>
                      <w:sz w:val="21"/>
                      <w:szCs w:val="21"/>
                      <w:lang w:val="en-US" w:eastAsia="zh-CN" w:bidi="ar-SA"/>
                    </w:rPr>
                  </w:pPr>
                  <w:r>
                    <w:rPr>
                      <w:szCs w:val="21"/>
                    </w:rPr>
                    <w:t>废机油、废含油抹布手套</w:t>
                  </w:r>
                </w:p>
              </w:tc>
              <w:tc>
                <w:tcPr>
                  <w:tcW w:w="1494" w:type="pct"/>
                  <w:shd w:val="clear" w:color="auto" w:fill="auto"/>
                  <w:noWrap w:val="0"/>
                  <w:vAlign w:val="center"/>
                </w:tcPr>
                <w:p w14:paraId="7D9FA674">
                  <w:pPr>
                    <w:widowControl/>
                    <w:jc w:val="center"/>
                    <w:rPr>
                      <w:rFonts w:ascii="Times New Roman" w:hAnsi="Times New Roman"/>
                      <w:kern w:val="2"/>
                      <w:sz w:val="21"/>
                      <w:szCs w:val="21"/>
                      <w:lang w:val="en-US" w:eastAsia="zh-CN" w:bidi="ar-SA"/>
                    </w:rPr>
                  </w:pPr>
                  <w:r>
                    <w:rPr>
                      <w:szCs w:val="21"/>
                    </w:rPr>
                    <w:t>分类收集暂存于现有项目危险废物贮存库内，委托资质单位处置</w:t>
                  </w:r>
                </w:p>
              </w:tc>
              <w:tc>
                <w:tcPr>
                  <w:tcW w:w="627" w:type="pct"/>
                  <w:shd w:val="clear" w:color="auto" w:fill="auto"/>
                  <w:noWrap w:val="0"/>
                  <w:vAlign w:val="center"/>
                </w:tcPr>
                <w:p w14:paraId="216B0558">
                  <w:pPr>
                    <w:widowControl/>
                    <w:jc w:val="center"/>
                    <w:rPr>
                      <w:rFonts w:ascii="Times New Roman" w:hAnsi="Times New Roman"/>
                      <w:kern w:val="2"/>
                      <w:sz w:val="21"/>
                      <w:szCs w:val="21"/>
                      <w:lang w:val="en-US" w:eastAsia="zh-CN" w:bidi="ar-SA"/>
                    </w:rPr>
                  </w:pPr>
                  <w:r>
                    <w:rPr>
                      <w:szCs w:val="21"/>
                    </w:rPr>
                    <w:t>不外排</w:t>
                  </w:r>
                </w:p>
              </w:tc>
            </w:tr>
          </w:tbl>
          <w:p w14:paraId="4BA99445">
            <w:pPr>
              <w:spacing w:line="500" w:lineRule="exact"/>
              <w:jc w:val="left"/>
              <w:rPr>
                <w:rFonts w:ascii="宋体" w:hAnsi="宋体"/>
                <w:bCs/>
                <w:szCs w:val="21"/>
              </w:rPr>
            </w:pPr>
          </w:p>
        </w:tc>
      </w:tr>
      <w:tr w14:paraId="00665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9" w:hRule="atLeast"/>
          <w:jc w:val="center"/>
        </w:trPr>
        <w:tc>
          <w:tcPr>
            <w:tcW w:w="738" w:type="dxa"/>
            <w:shd w:val="clear" w:color="auto" w:fill="auto"/>
            <w:noWrap w:val="0"/>
            <w:vAlign w:val="center"/>
          </w:tcPr>
          <w:p w14:paraId="4BC7F0F2">
            <w:pPr>
              <w:pStyle w:val="36"/>
              <w:adjustRightInd w:val="0"/>
              <w:snapToGrid w:val="0"/>
              <w:spacing w:before="0" w:beforeAutospacing="0" w:after="0" w:afterAutospacing="0"/>
              <w:jc w:val="center"/>
              <w:rPr>
                <w:rFonts w:cs="宋体"/>
                <w:kern w:val="2"/>
                <w:sz w:val="21"/>
                <w:szCs w:val="21"/>
                <w:lang w:val="en-US" w:eastAsia="zh-CN"/>
              </w:rPr>
            </w:pPr>
            <w:r>
              <w:rPr>
                <w:rFonts w:hint="eastAsia" w:cs="宋体"/>
                <w:bCs/>
                <w:kern w:val="2"/>
                <w:sz w:val="21"/>
                <w:szCs w:val="21"/>
                <w:lang w:val="en-US" w:eastAsia="zh-CN"/>
              </w:rPr>
              <w:t>与项目有关的原有环境污染问题</w:t>
            </w:r>
          </w:p>
        </w:tc>
        <w:tc>
          <w:tcPr>
            <w:tcW w:w="8322" w:type="dxa"/>
            <w:shd w:val="clear" w:color="auto" w:fill="auto"/>
            <w:noWrap w:val="0"/>
            <w:vAlign w:val="top"/>
          </w:tcPr>
          <w:p w14:paraId="34983397">
            <w:pPr>
              <w:widowControl/>
              <w:spacing w:line="500" w:lineRule="exact"/>
              <w:ind w:firstLine="482" w:firstLineChars="200"/>
              <w:rPr>
                <w:b/>
                <w:bCs/>
                <w:kern w:val="0"/>
                <w:sz w:val="24"/>
                <w:highlight w:val="none"/>
              </w:rPr>
            </w:pPr>
            <w:r>
              <w:rPr>
                <w:b/>
                <w:bCs/>
                <w:kern w:val="0"/>
                <w:sz w:val="24"/>
                <w:highlight w:val="none"/>
              </w:rPr>
              <w:t>1</w:t>
            </w:r>
            <w:r>
              <w:rPr>
                <w:rFonts w:hint="eastAsia"/>
                <w:b/>
                <w:bCs/>
                <w:kern w:val="0"/>
                <w:sz w:val="24"/>
                <w:highlight w:val="none"/>
                <w:lang w:val="en-US" w:eastAsia="zh-CN"/>
              </w:rPr>
              <w:t>.</w:t>
            </w:r>
            <w:r>
              <w:rPr>
                <w:b/>
                <w:bCs/>
                <w:kern w:val="0"/>
                <w:sz w:val="24"/>
                <w:highlight w:val="none"/>
              </w:rPr>
              <w:t>现有工程环保手续履行情况</w:t>
            </w:r>
          </w:p>
          <w:p w14:paraId="5D5D5CF9">
            <w:pPr>
              <w:widowControl/>
              <w:spacing w:line="500" w:lineRule="exact"/>
              <w:ind w:firstLine="480" w:firstLineChars="200"/>
              <w:jc w:val="left"/>
              <w:rPr>
                <w:rFonts w:hint="eastAsia"/>
                <w:bCs/>
                <w:kern w:val="0"/>
                <w:sz w:val="24"/>
                <w:highlight w:val="none"/>
              </w:rPr>
            </w:pPr>
            <w:r>
              <w:rPr>
                <w:rFonts w:hint="eastAsia"/>
                <w:bCs/>
                <w:kern w:val="0"/>
                <w:sz w:val="24"/>
                <w:highlight w:val="none"/>
              </w:rPr>
              <w:t>现有项目共</w:t>
            </w:r>
            <w:r>
              <w:rPr>
                <w:rFonts w:hint="eastAsia"/>
                <w:bCs/>
                <w:kern w:val="0"/>
                <w:sz w:val="24"/>
                <w:highlight w:val="none"/>
                <w:lang w:val="en-US" w:eastAsia="zh-CN"/>
              </w:rPr>
              <w:t>3</w:t>
            </w:r>
            <w:r>
              <w:rPr>
                <w:rFonts w:hint="eastAsia"/>
                <w:bCs/>
                <w:kern w:val="0"/>
                <w:sz w:val="24"/>
                <w:highlight w:val="none"/>
              </w:rPr>
              <w:t>个，环保手续履行情况详见下表。</w:t>
            </w:r>
          </w:p>
          <w:p w14:paraId="41486F56">
            <w:pPr>
              <w:widowControl/>
              <w:spacing w:line="500" w:lineRule="exact"/>
              <w:jc w:val="center"/>
              <w:rPr>
                <w:bCs/>
                <w:kern w:val="0"/>
                <w:sz w:val="24"/>
                <w:highlight w:val="none"/>
              </w:rPr>
            </w:pPr>
            <w:r>
              <w:rPr>
                <w:bCs/>
                <w:kern w:val="0"/>
                <w:sz w:val="24"/>
                <w:highlight w:val="none"/>
              </w:rPr>
              <w:t>表</w:t>
            </w:r>
            <w:r>
              <w:rPr>
                <w:rFonts w:hint="eastAsia"/>
                <w:bCs/>
                <w:kern w:val="0"/>
                <w:sz w:val="24"/>
                <w:highlight w:val="none"/>
              </w:rPr>
              <w:t>2-</w:t>
            </w:r>
            <w:r>
              <w:rPr>
                <w:rFonts w:hint="eastAsia"/>
                <w:bCs/>
                <w:kern w:val="0"/>
                <w:sz w:val="24"/>
                <w:highlight w:val="none"/>
                <w:lang w:val="en-US" w:eastAsia="zh-CN"/>
              </w:rPr>
              <w:t>16</w:t>
            </w:r>
            <w:r>
              <w:rPr>
                <w:rFonts w:hint="eastAsia"/>
                <w:bCs/>
                <w:kern w:val="0"/>
                <w:sz w:val="24"/>
                <w:highlight w:val="none"/>
              </w:rPr>
              <w:t xml:space="preserve">  </w:t>
            </w:r>
            <w:r>
              <w:rPr>
                <w:bCs/>
                <w:kern w:val="0"/>
                <w:sz w:val="24"/>
                <w:highlight w:val="none"/>
              </w:rPr>
              <w:t>现有项目环保手续履行情况</w:t>
            </w:r>
          </w:p>
          <w:tbl>
            <w:tblPr>
              <w:tblStyle w:val="1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98"/>
              <w:gridCol w:w="1348"/>
              <w:gridCol w:w="6211"/>
            </w:tblGrid>
            <w:tr w14:paraId="00BD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40" w:hRule="atLeast"/>
                <w:jc w:val="center"/>
              </w:trPr>
              <w:tc>
                <w:tcPr>
                  <w:tcW w:w="367" w:type="pct"/>
                  <w:vMerge w:val="restart"/>
                  <w:tcBorders>
                    <w:right w:val="single" w:color="auto" w:sz="4" w:space="0"/>
                  </w:tcBorders>
                  <w:shd w:val="clear" w:color="auto" w:fill="auto"/>
                  <w:noWrap w:val="0"/>
                  <w:vAlign w:val="center"/>
                </w:tcPr>
                <w:p w14:paraId="652396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现有项目</w:t>
                  </w:r>
                </w:p>
                <w:p w14:paraId="0862E2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w:t>
                  </w:r>
                </w:p>
              </w:tc>
              <w:tc>
                <w:tcPr>
                  <w:tcW w:w="826" w:type="pct"/>
                  <w:tcBorders>
                    <w:left w:val="single" w:color="auto" w:sz="4" w:space="0"/>
                  </w:tcBorders>
                  <w:shd w:val="clear" w:color="auto" w:fill="auto"/>
                  <w:noWrap w:val="0"/>
                  <w:vAlign w:val="center"/>
                </w:tcPr>
                <w:p w14:paraId="229FBF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项目名称</w:t>
                  </w:r>
                </w:p>
              </w:tc>
              <w:tc>
                <w:tcPr>
                  <w:tcW w:w="3806" w:type="pct"/>
                  <w:shd w:val="clear" w:color="auto" w:fill="auto"/>
                  <w:noWrap w:val="0"/>
                  <w:vAlign w:val="center"/>
                </w:tcPr>
                <w:p w14:paraId="144E14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bCs/>
                      <w:sz w:val="21"/>
                      <w:szCs w:val="21"/>
                      <w:highlight w:val="none"/>
                      <w:lang w:eastAsia="zh-CN"/>
                    </w:rPr>
                    <w:t>年产10万吨减水剂和5万吨甲醛项目</w:t>
                  </w:r>
                  <w:r>
                    <w:rPr>
                      <w:rFonts w:hint="default" w:ascii="Times New Roman" w:hAnsi="Times New Roman" w:cs="Times New Roman"/>
                      <w:sz w:val="21"/>
                      <w:szCs w:val="21"/>
                      <w:highlight w:val="none"/>
                    </w:rPr>
                    <w:t>环境影响报告书</w:t>
                  </w:r>
                </w:p>
              </w:tc>
            </w:tr>
            <w:tr w14:paraId="49661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1EC7AD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37469B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环境影响评价情况</w:t>
                  </w:r>
                </w:p>
              </w:tc>
              <w:tc>
                <w:tcPr>
                  <w:tcW w:w="3806" w:type="pct"/>
                  <w:shd w:val="clear" w:color="auto" w:fill="auto"/>
                  <w:noWrap w:val="0"/>
                  <w:vAlign w:val="center"/>
                </w:tcPr>
                <w:p w14:paraId="4F0223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ascii="Times New Roman" w:hAnsi="Times New Roman"/>
                      <w:color w:val="000000"/>
                      <w:sz w:val="21"/>
                      <w:szCs w:val="21"/>
                      <w:highlight w:val="none"/>
                    </w:rPr>
                    <w:t>一期项目：</w:t>
                  </w:r>
                  <w:r>
                    <w:rPr>
                      <w:rFonts w:hint="default" w:ascii="Times New Roman" w:hAnsi="Times New Roman" w:cs="Times New Roman"/>
                      <w:kern w:val="0"/>
                      <w:sz w:val="21"/>
                      <w:szCs w:val="21"/>
                      <w:highlight w:val="none"/>
                    </w:rPr>
                    <w:t>201</w:t>
                  </w:r>
                  <w:r>
                    <w:rPr>
                      <w:rFonts w:hint="default" w:ascii="Times New Roman" w:hAnsi="Times New Roman" w:cs="Times New Roman"/>
                      <w:kern w:val="0"/>
                      <w:sz w:val="21"/>
                      <w:szCs w:val="21"/>
                      <w:highlight w:val="none"/>
                      <w:lang w:val="en-US" w:eastAsia="zh-CN"/>
                    </w:rPr>
                    <w:t>7</w:t>
                  </w:r>
                  <w:r>
                    <w:rPr>
                      <w:rFonts w:hint="default" w:ascii="Times New Roman" w:hAnsi="Times New Roman" w:cs="Times New Roman"/>
                      <w:kern w:val="0"/>
                      <w:sz w:val="21"/>
                      <w:szCs w:val="21"/>
                      <w:highlight w:val="none"/>
                    </w:rPr>
                    <w:t>年</w:t>
                  </w:r>
                  <w:r>
                    <w:rPr>
                      <w:rFonts w:hint="default" w:ascii="Times New Roman" w:hAnsi="Times New Roman" w:cs="Times New Roman"/>
                      <w:kern w:val="0"/>
                      <w:sz w:val="21"/>
                      <w:szCs w:val="21"/>
                      <w:highlight w:val="none"/>
                      <w:lang w:val="en-US" w:eastAsia="zh-CN"/>
                    </w:rPr>
                    <w:t>8</w:t>
                  </w:r>
                  <w:r>
                    <w:rPr>
                      <w:rFonts w:hint="default" w:ascii="Times New Roman" w:hAnsi="Times New Roman" w:cs="Times New Roman"/>
                      <w:kern w:val="0"/>
                      <w:sz w:val="21"/>
                      <w:szCs w:val="21"/>
                      <w:highlight w:val="none"/>
                    </w:rPr>
                    <w:t>月原宝鸡市环境保护局《关于</w:t>
                  </w:r>
                  <w:r>
                    <w:rPr>
                      <w:rFonts w:hint="default" w:ascii="Times New Roman" w:hAnsi="Times New Roman" w:cs="Times New Roman"/>
                      <w:bCs/>
                      <w:sz w:val="21"/>
                      <w:szCs w:val="21"/>
                      <w:highlight w:val="none"/>
                      <w:lang w:eastAsia="zh-CN"/>
                    </w:rPr>
                    <w:t>宝鸡靖源科技发展有限责任公司环境影响报告书</w:t>
                  </w:r>
                  <w:r>
                    <w:rPr>
                      <w:rFonts w:hint="default" w:ascii="Times New Roman" w:hAnsi="Times New Roman" w:cs="Times New Roman"/>
                      <w:kern w:val="0"/>
                      <w:sz w:val="21"/>
                      <w:szCs w:val="21"/>
                      <w:highlight w:val="none"/>
                    </w:rPr>
                    <w:t>的批复》（</w:t>
                  </w:r>
                  <w:r>
                    <w:rPr>
                      <w:rFonts w:hint="default" w:ascii="Times New Roman" w:hAnsi="Times New Roman" w:cs="Times New Roman"/>
                      <w:bCs/>
                      <w:sz w:val="21"/>
                      <w:szCs w:val="21"/>
                      <w:highlight w:val="none"/>
                      <w:lang w:eastAsia="zh-CN"/>
                    </w:rPr>
                    <w:t>宝市</w:t>
                  </w:r>
                  <w:r>
                    <w:rPr>
                      <w:rFonts w:hint="eastAsia" w:cs="Times New Roman"/>
                      <w:bCs/>
                      <w:sz w:val="21"/>
                      <w:szCs w:val="21"/>
                      <w:highlight w:val="none"/>
                      <w:lang w:eastAsia="zh-CN"/>
                    </w:rPr>
                    <w:t>环函</w:t>
                  </w:r>
                  <w:r>
                    <w:rPr>
                      <w:rFonts w:hint="default" w:ascii="Times New Roman" w:hAnsi="Times New Roman" w:cs="Times New Roman"/>
                      <w:bCs/>
                      <w:spacing w:val="4"/>
                      <w:sz w:val="21"/>
                      <w:szCs w:val="21"/>
                      <w:highlight w:val="none"/>
                    </w:rPr>
                    <w:t>〔</w:t>
                  </w:r>
                  <w:r>
                    <w:rPr>
                      <w:rFonts w:hint="default" w:ascii="Times New Roman" w:hAnsi="Times New Roman" w:cs="Times New Roman"/>
                      <w:bCs/>
                      <w:spacing w:val="4"/>
                      <w:sz w:val="21"/>
                      <w:szCs w:val="21"/>
                      <w:highlight w:val="none"/>
                      <w:lang w:eastAsia="zh-CN"/>
                    </w:rPr>
                    <w:t>2017</w:t>
                  </w:r>
                  <w:r>
                    <w:rPr>
                      <w:rFonts w:hint="default" w:ascii="Times New Roman" w:hAnsi="Times New Roman" w:cs="Times New Roman"/>
                      <w:bCs/>
                      <w:spacing w:val="4"/>
                      <w:sz w:val="21"/>
                      <w:szCs w:val="21"/>
                      <w:highlight w:val="none"/>
                    </w:rPr>
                    <w:t>〕</w:t>
                  </w:r>
                  <w:r>
                    <w:rPr>
                      <w:rFonts w:hint="default" w:ascii="Times New Roman" w:hAnsi="Times New Roman" w:cs="Times New Roman"/>
                      <w:bCs/>
                      <w:sz w:val="21"/>
                      <w:szCs w:val="21"/>
                      <w:highlight w:val="none"/>
                      <w:lang w:eastAsia="zh-CN"/>
                    </w:rPr>
                    <w:t>449号</w:t>
                  </w:r>
                  <w:r>
                    <w:rPr>
                      <w:rFonts w:hint="default" w:ascii="Times New Roman" w:hAnsi="Times New Roman" w:cs="Times New Roman"/>
                      <w:kern w:val="0"/>
                      <w:sz w:val="21"/>
                      <w:szCs w:val="21"/>
                      <w:highlight w:val="none"/>
                    </w:rPr>
                    <w:t>）。</w:t>
                  </w:r>
                </w:p>
              </w:tc>
            </w:tr>
            <w:tr w14:paraId="272ED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02BA1D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5CF970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主要建设</w:t>
                  </w:r>
                </w:p>
                <w:p w14:paraId="594B15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内容</w:t>
                  </w:r>
                </w:p>
              </w:tc>
              <w:tc>
                <w:tcPr>
                  <w:tcW w:w="3806" w:type="pct"/>
                  <w:shd w:val="clear" w:color="auto" w:fill="auto"/>
                  <w:noWrap w:val="0"/>
                  <w:vAlign w:val="center"/>
                </w:tcPr>
                <w:p w14:paraId="25F59D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bCs/>
                      <w:sz w:val="21"/>
                      <w:szCs w:val="21"/>
                      <w:highlight w:val="none"/>
                      <w:lang w:eastAsia="zh-CN"/>
                    </w:rPr>
                    <w:t>年产10万吨减水剂和5万吨甲醛生产线</w:t>
                  </w:r>
                </w:p>
              </w:tc>
            </w:tr>
            <w:tr w14:paraId="7DD2C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45A581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00D25C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竣工环境保护验收情况</w:t>
                  </w:r>
                </w:p>
              </w:tc>
              <w:tc>
                <w:tcPr>
                  <w:tcW w:w="3806" w:type="pct"/>
                  <w:shd w:val="clear" w:color="auto" w:fill="auto"/>
                  <w:noWrap w:val="0"/>
                  <w:vAlign w:val="center"/>
                </w:tcPr>
                <w:p w14:paraId="051C3459">
                  <w:pPr>
                    <w:pStyle w:val="7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kern w:val="0"/>
                      <w:sz w:val="21"/>
                      <w:szCs w:val="21"/>
                      <w:highlight w:val="none"/>
                    </w:rPr>
                  </w:pPr>
                  <w:r>
                    <w:rPr>
                      <w:rFonts w:hint="eastAsia" w:ascii="Times New Roman" w:hAnsi="Times New Roman"/>
                      <w:color w:val="000000"/>
                      <w:sz w:val="21"/>
                      <w:szCs w:val="21"/>
                      <w:highlight w:val="none"/>
                      <w:lang w:val="en-US" w:eastAsia="zh-CN"/>
                    </w:rPr>
                    <w:t>一期项目：①</w:t>
                  </w:r>
                  <w:r>
                    <w:rPr>
                      <w:rFonts w:ascii="Times New Roman" w:hAnsi="Times New Roman"/>
                      <w:color w:val="000000"/>
                      <w:sz w:val="21"/>
                      <w:szCs w:val="21"/>
                      <w:highlight w:val="none"/>
                    </w:rPr>
                    <w:t>完成《宝鸡靖源科技发展有限责任公司10万吨减水剂和5万吨甲醛项目竣工环境保护验收监测报告</w:t>
                  </w:r>
                  <w:r>
                    <w:rPr>
                      <w:rFonts w:hint="eastAsia" w:ascii="Times New Roman" w:hAnsi="Times New Roman"/>
                      <w:color w:val="000000"/>
                      <w:sz w:val="21"/>
                      <w:szCs w:val="21"/>
                      <w:highlight w:val="none"/>
                      <w:lang w:val="en-US" w:eastAsia="zh-CN"/>
                    </w:rPr>
                    <w:t>书（废气、废水）</w:t>
                  </w:r>
                  <w:r>
                    <w:rPr>
                      <w:rFonts w:ascii="Times New Roman" w:hAnsi="Times New Roman"/>
                      <w:color w:val="000000"/>
                      <w:sz w:val="21"/>
                      <w:szCs w:val="21"/>
                      <w:highlight w:val="none"/>
                    </w:rPr>
                    <w:t>》，2018年</w:t>
                  </w:r>
                  <w:r>
                    <w:rPr>
                      <w:rFonts w:hint="eastAsia" w:ascii="Times New Roman" w:hAnsi="Times New Roman"/>
                      <w:color w:val="000000"/>
                      <w:sz w:val="21"/>
                      <w:szCs w:val="21"/>
                      <w:highlight w:val="none"/>
                      <w:lang w:val="en-US" w:eastAsia="zh-CN"/>
                    </w:rPr>
                    <w:t>8</w:t>
                  </w:r>
                  <w:r>
                    <w:rPr>
                      <w:rFonts w:ascii="Times New Roman" w:hAnsi="Times New Roman"/>
                      <w:color w:val="000000"/>
                      <w:sz w:val="21"/>
                      <w:szCs w:val="21"/>
                      <w:highlight w:val="none"/>
                    </w:rPr>
                    <w:t>月通过</w:t>
                  </w:r>
                  <w:r>
                    <w:rPr>
                      <w:rFonts w:hint="eastAsia" w:ascii="Times New Roman" w:hAnsi="Times New Roman"/>
                      <w:color w:val="000000"/>
                      <w:sz w:val="21"/>
                      <w:szCs w:val="21"/>
                      <w:highlight w:val="none"/>
                      <w:lang w:val="en-US" w:eastAsia="zh-CN"/>
                    </w:rPr>
                    <w:t>废气、废水</w:t>
                  </w:r>
                  <w:r>
                    <w:rPr>
                      <w:rFonts w:ascii="Times New Roman" w:hAnsi="Times New Roman"/>
                      <w:color w:val="000000"/>
                      <w:sz w:val="21"/>
                      <w:szCs w:val="21"/>
                      <w:highlight w:val="none"/>
                    </w:rPr>
                    <w:t>竣工环境保护验收</w:t>
                  </w:r>
                  <w:r>
                    <w:rPr>
                      <w:rFonts w:hint="eastAsia" w:ascii="Times New Roman" w:hAnsi="Times New Roman"/>
                      <w:color w:val="000000"/>
                      <w:sz w:val="21"/>
                      <w:szCs w:val="21"/>
                      <w:highlight w:val="none"/>
                      <w:lang w:eastAsia="zh-CN"/>
                    </w:rPr>
                    <w:t>；</w:t>
                  </w:r>
                  <w:r>
                    <w:rPr>
                      <w:rFonts w:hint="eastAsia" w:ascii="Times New Roman" w:hAnsi="Times New Roman"/>
                      <w:color w:val="000000"/>
                      <w:sz w:val="21"/>
                      <w:szCs w:val="21"/>
                      <w:highlight w:val="none"/>
                      <w:lang w:val="en-US" w:eastAsia="zh-CN"/>
                    </w:rPr>
                    <w:t>②</w:t>
                  </w:r>
                  <w:r>
                    <w:rPr>
                      <w:rFonts w:ascii="Times New Roman" w:hAnsi="Times New Roman"/>
                      <w:color w:val="000000"/>
                      <w:sz w:val="21"/>
                      <w:szCs w:val="21"/>
                      <w:highlight w:val="none"/>
                    </w:rPr>
                    <w:t>完成《宝鸡靖源科技发展有限责任公司10万吨减水剂和5万吨甲醛项目竣工环境保护验收监测报告</w:t>
                  </w:r>
                  <w:r>
                    <w:rPr>
                      <w:rFonts w:hint="eastAsia" w:ascii="Times New Roman" w:hAnsi="Times New Roman"/>
                      <w:color w:val="000000"/>
                      <w:sz w:val="21"/>
                      <w:szCs w:val="21"/>
                      <w:highlight w:val="none"/>
                      <w:lang w:val="en-US" w:eastAsia="zh-CN"/>
                    </w:rPr>
                    <w:t>书（噪声、固体废物）</w:t>
                  </w:r>
                  <w:r>
                    <w:rPr>
                      <w:rFonts w:ascii="Times New Roman" w:hAnsi="Times New Roman"/>
                      <w:color w:val="000000"/>
                      <w:sz w:val="21"/>
                      <w:szCs w:val="21"/>
                      <w:highlight w:val="none"/>
                    </w:rPr>
                    <w:t>》，</w:t>
                  </w:r>
                  <w:r>
                    <w:rPr>
                      <w:rFonts w:hint="eastAsia" w:ascii="Times New Roman" w:hAnsi="Times New Roman"/>
                      <w:color w:val="000000"/>
                      <w:sz w:val="21"/>
                      <w:szCs w:val="21"/>
                      <w:highlight w:val="none"/>
                      <w:lang w:val="en-US" w:eastAsia="zh-CN"/>
                    </w:rPr>
                    <w:t>2020</w:t>
                  </w:r>
                  <w:r>
                    <w:rPr>
                      <w:rFonts w:ascii="Times New Roman" w:hAnsi="Times New Roman"/>
                      <w:color w:val="000000"/>
                      <w:sz w:val="21"/>
                      <w:szCs w:val="21"/>
                      <w:highlight w:val="none"/>
                    </w:rPr>
                    <w:t>年</w:t>
                  </w:r>
                  <w:r>
                    <w:rPr>
                      <w:rFonts w:hint="eastAsia" w:ascii="Times New Roman" w:hAnsi="Times New Roman"/>
                      <w:color w:val="000000"/>
                      <w:sz w:val="21"/>
                      <w:szCs w:val="21"/>
                      <w:highlight w:val="none"/>
                      <w:lang w:val="en-US" w:eastAsia="zh-CN"/>
                    </w:rPr>
                    <w:t>11</w:t>
                  </w:r>
                  <w:r>
                    <w:rPr>
                      <w:rFonts w:ascii="Times New Roman" w:hAnsi="Times New Roman"/>
                      <w:color w:val="000000"/>
                      <w:sz w:val="21"/>
                      <w:szCs w:val="21"/>
                      <w:highlight w:val="none"/>
                    </w:rPr>
                    <w:t>月通过</w:t>
                  </w:r>
                  <w:r>
                    <w:rPr>
                      <w:rFonts w:hint="eastAsia" w:ascii="Times New Roman" w:hAnsi="Times New Roman"/>
                      <w:color w:val="000000"/>
                      <w:sz w:val="21"/>
                      <w:szCs w:val="21"/>
                      <w:highlight w:val="none"/>
                      <w:lang w:val="en-US" w:eastAsia="zh-CN"/>
                    </w:rPr>
                    <w:t>噪声、固体废物</w:t>
                  </w:r>
                  <w:r>
                    <w:rPr>
                      <w:rFonts w:ascii="Times New Roman" w:hAnsi="Times New Roman"/>
                      <w:color w:val="000000"/>
                      <w:sz w:val="21"/>
                      <w:szCs w:val="21"/>
                      <w:highlight w:val="none"/>
                    </w:rPr>
                    <w:t>竣工环境保护验收</w:t>
                  </w:r>
                  <w:r>
                    <w:rPr>
                      <w:rFonts w:hint="eastAsia" w:ascii="Times New Roman" w:hAnsi="Times New Roman"/>
                      <w:color w:val="000000"/>
                      <w:sz w:val="21"/>
                      <w:szCs w:val="21"/>
                      <w:highlight w:val="none"/>
                      <w:lang w:eastAsia="zh-CN"/>
                    </w:rPr>
                    <w:t>。</w:t>
                  </w:r>
                </w:p>
              </w:tc>
            </w:tr>
            <w:tr w14:paraId="62129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restart"/>
                  <w:tcBorders>
                    <w:right w:val="single" w:color="auto" w:sz="4" w:space="0"/>
                  </w:tcBorders>
                  <w:shd w:val="clear" w:color="auto" w:fill="auto"/>
                  <w:noWrap w:val="0"/>
                  <w:vAlign w:val="center"/>
                </w:tcPr>
                <w:p w14:paraId="1289F0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现有项目</w:t>
                  </w:r>
                </w:p>
                <w:p w14:paraId="1CF0BD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2</w:t>
                  </w:r>
                </w:p>
              </w:tc>
              <w:tc>
                <w:tcPr>
                  <w:tcW w:w="826" w:type="pct"/>
                  <w:tcBorders>
                    <w:left w:val="single" w:color="auto" w:sz="4" w:space="0"/>
                  </w:tcBorders>
                  <w:shd w:val="clear" w:color="auto" w:fill="auto"/>
                  <w:noWrap w:val="0"/>
                  <w:vAlign w:val="center"/>
                </w:tcPr>
                <w:p w14:paraId="51E426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项目名称</w:t>
                  </w:r>
                </w:p>
              </w:tc>
              <w:tc>
                <w:tcPr>
                  <w:tcW w:w="3806" w:type="pct"/>
                  <w:shd w:val="clear" w:color="auto" w:fill="auto"/>
                  <w:noWrap w:val="0"/>
                  <w:vAlign w:val="center"/>
                </w:tcPr>
                <w:p w14:paraId="08C30C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highlight w:val="none"/>
                      <w:lang w:eastAsia="zh-CN"/>
                    </w:rPr>
                  </w:pPr>
                  <w:r>
                    <w:rPr>
                      <w:rFonts w:ascii="Times New Roman" w:hAnsi="Times New Roman"/>
                      <w:color w:val="000000"/>
                      <w:sz w:val="21"/>
                      <w:szCs w:val="21"/>
                      <w:highlight w:val="none"/>
                    </w:rPr>
                    <w:t>二期项目：</w:t>
                  </w:r>
                  <w:r>
                    <w:rPr>
                      <w:rFonts w:hint="default" w:ascii="Times New Roman" w:hAnsi="Times New Roman" w:cs="Times New Roman"/>
                      <w:sz w:val="21"/>
                      <w:szCs w:val="21"/>
                      <w:highlight w:val="none"/>
                      <w:lang w:eastAsia="zh-CN"/>
                    </w:rPr>
                    <w:t>宝鸡靖源科技发展有限责任公司</w:t>
                  </w:r>
                  <w:r>
                    <w:rPr>
                      <w:rFonts w:hint="default" w:ascii="Times New Roman" w:hAnsi="Times New Roman" w:cs="Times New Roman"/>
                      <w:sz w:val="21"/>
                      <w:szCs w:val="21"/>
                      <w:highlight w:val="none"/>
                    </w:rPr>
                    <w:t>年产20万吨聚羧酸减水剂和5万吨脲醛胶扩建项目环境影响报告</w:t>
                  </w:r>
                  <w:r>
                    <w:rPr>
                      <w:rFonts w:hint="eastAsia" w:cs="Times New Roman"/>
                      <w:sz w:val="21"/>
                      <w:szCs w:val="21"/>
                      <w:highlight w:val="none"/>
                      <w:lang w:eastAsia="zh-CN"/>
                    </w:rPr>
                    <w:t>书</w:t>
                  </w:r>
                </w:p>
              </w:tc>
            </w:tr>
            <w:tr w14:paraId="1FD72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39C47C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7FEAB6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环境影响评价情况</w:t>
                  </w:r>
                </w:p>
              </w:tc>
              <w:tc>
                <w:tcPr>
                  <w:tcW w:w="3806" w:type="pct"/>
                  <w:shd w:val="clear" w:color="auto" w:fill="auto"/>
                  <w:noWrap w:val="0"/>
                  <w:vAlign w:val="center"/>
                </w:tcPr>
                <w:p w14:paraId="2B08F6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ascii="Times New Roman" w:hAnsi="Times New Roman"/>
                      <w:color w:val="000000"/>
                      <w:sz w:val="21"/>
                      <w:szCs w:val="21"/>
                      <w:highlight w:val="none"/>
                    </w:rPr>
                    <w:t>二期项目：环评审批</w:t>
                  </w:r>
                  <w:r>
                    <w:rPr>
                      <w:rFonts w:hint="eastAsia" w:ascii="Times New Roman" w:hAnsi="Times New Roman"/>
                      <w:color w:val="000000"/>
                      <w:sz w:val="21"/>
                      <w:szCs w:val="21"/>
                      <w:highlight w:val="none"/>
                    </w:rPr>
                    <w:t>文号</w:t>
                  </w:r>
                  <w:r>
                    <w:rPr>
                      <w:rFonts w:ascii="Times New Roman" w:hAnsi="Times New Roman"/>
                      <w:color w:val="000000"/>
                      <w:sz w:val="21"/>
                      <w:szCs w:val="21"/>
                      <w:highlight w:val="none"/>
                    </w:rPr>
                    <w:t>《关于宝鸡靖源科技发展有限责任公司年产20万吨聚羧酸减水剂和5万吨脲醛胶扩建项目环境影响报告书的批复》（宝审服环字〔2021〕36号）。</w:t>
                  </w:r>
                </w:p>
              </w:tc>
            </w:tr>
            <w:tr w14:paraId="14049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0E9220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5A5233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环评建设</w:t>
                  </w:r>
                </w:p>
                <w:p w14:paraId="54B447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内容</w:t>
                  </w:r>
                </w:p>
              </w:tc>
              <w:tc>
                <w:tcPr>
                  <w:tcW w:w="3806" w:type="pct"/>
                  <w:shd w:val="clear" w:color="auto" w:fill="auto"/>
                  <w:noWrap w:val="0"/>
                  <w:vAlign w:val="center"/>
                </w:tcPr>
                <w:p w14:paraId="58152B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sz w:val="21"/>
                      <w:szCs w:val="21"/>
                      <w:highlight w:val="none"/>
                    </w:rPr>
                    <w:t>新建年产20万吨聚羧酸减水剂生产线、5万吨脲醛胶生产线及配套附属设施</w:t>
                  </w:r>
                </w:p>
              </w:tc>
            </w:tr>
            <w:tr w14:paraId="07584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646928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5A0DD5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实际建设</w:t>
                  </w:r>
                </w:p>
                <w:p w14:paraId="588E81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内容</w:t>
                  </w:r>
                </w:p>
              </w:tc>
              <w:tc>
                <w:tcPr>
                  <w:tcW w:w="3806" w:type="pct"/>
                  <w:shd w:val="clear" w:color="auto" w:fill="auto"/>
                  <w:noWrap w:val="0"/>
                  <w:vAlign w:val="center"/>
                </w:tcPr>
                <w:p w14:paraId="488FAF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sz w:val="21"/>
                      <w:szCs w:val="21"/>
                      <w:highlight w:val="none"/>
                    </w:rPr>
                    <w:t>年产20万吨聚羧酸减水剂生产线、5万吨脲醛胶生产线及配套附属设施</w:t>
                  </w:r>
                </w:p>
              </w:tc>
            </w:tr>
            <w:tr w14:paraId="306F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578DFD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765FF7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竣工环境保护验收情况</w:t>
                  </w:r>
                </w:p>
              </w:tc>
              <w:tc>
                <w:tcPr>
                  <w:tcW w:w="3806" w:type="pct"/>
                  <w:shd w:val="clear" w:color="auto" w:fill="auto"/>
                  <w:noWrap w:val="0"/>
                  <w:vAlign w:val="center"/>
                </w:tcPr>
                <w:p w14:paraId="753A67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2024年11月</w:t>
                  </w:r>
                  <w:r>
                    <w:rPr>
                      <w:rFonts w:hint="eastAsia" w:cs="Times New Roman"/>
                      <w:kern w:val="0"/>
                      <w:sz w:val="21"/>
                      <w:szCs w:val="21"/>
                      <w:highlight w:val="none"/>
                      <w:lang w:val="en-US" w:eastAsia="zh-CN"/>
                    </w:rPr>
                    <w:t>，</w:t>
                  </w:r>
                  <w:r>
                    <w:rPr>
                      <w:rFonts w:hint="default" w:ascii="Times New Roman" w:hAnsi="Times New Roman" w:cs="Times New Roman"/>
                      <w:bCs/>
                      <w:sz w:val="21"/>
                      <w:szCs w:val="21"/>
                      <w:highlight w:val="none"/>
                      <w:lang w:eastAsia="zh-CN"/>
                    </w:rPr>
                    <w:t>企业对《</w:t>
                  </w:r>
                  <w:r>
                    <w:rPr>
                      <w:rFonts w:hint="default" w:ascii="Times New Roman" w:hAnsi="Times New Roman" w:cs="Times New Roman"/>
                      <w:sz w:val="21"/>
                      <w:szCs w:val="21"/>
                      <w:highlight w:val="none"/>
                    </w:rPr>
                    <w:t>年产20万吨聚羧酸减水剂和5万吨脲醛胶扩建项目</w:t>
                  </w:r>
                  <w:r>
                    <w:rPr>
                      <w:rFonts w:hint="default" w:ascii="Times New Roman" w:hAnsi="Times New Roman" w:cs="Times New Roman"/>
                      <w:bCs/>
                      <w:sz w:val="21"/>
                      <w:szCs w:val="21"/>
                      <w:highlight w:val="none"/>
                      <w:lang w:eastAsia="zh-CN"/>
                    </w:rPr>
                    <w:t>环境影响报告书》进行竣工环境验收</w:t>
                  </w:r>
                </w:p>
              </w:tc>
            </w:tr>
            <w:tr w14:paraId="638E5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right w:val="single" w:color="auto" w:sz="4" w:space="0"/>
                  </w:tcBorders>
                  <w:shd w:val="clear" w:color="auto" w:fill="auto"/>
                  <w:noWrap w:val="0"/>
                  <w:vAlign w:val="center"/>
                </w:tcPr>
                <w:p w14:paraId="3B57A7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现有项目</w:t>
                  </w:r>
                </w:p>
                <w:p w14:paraId="4C68C1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highlight w:val="none"/>
                      <w:lang w:eastAsia="zh-CN"/>
                    </w:rPr>
                  </w:pPr>
                  <w:r>
                    <w:rPr>
                      <w:rFonts w:hint="eastAsia" w:ascii="Times New Roman" w:hAnsi="Times New Roman" w:cs="Times New Roman"/>
                      <w:kern w:val="0"/>
                      <w:sz w:val="21"/>
                      <w:szCs w:val="21"/>
                      <w:highlight w:val="none"/>
                      <w:lang w:val="en-US" w:eastAsia="zh-CN"/>
                    </w:rPr>
                    <w:t>3</w:t>
                  </w:r>
                </w:p>
              </w:tc>
              <w:tc>
                <w:tcPr>
                  <w:tcW w:w="826" w:type="pct"/>
                  <w:tcBorders>
                    <w:left w:val="single" w:color="auto" w:sz="4" w:space="0"/>
                  </w:tcBorders>
                  <w:shd w:val="clear" w:color="auto" w:fill="auto"/>
                  <w:noWrap w:val="0"/>
                  <w:vAlign w:val="center"/>
                </w:tcPr>
                <w:p w14:paraId="08E693A3">
                  <w:pPr>
                    <w:jc w:val="center"/>
                    <w:rPr>
                      <w:rFonts w:hint="default" w:ascii="Times New Roman" w:hAnsi="Times New Roman" w:eastAsia="宋体"/>
                      <w:color w:val="000000"/>
                      <w:kern w:val="2"/>
                      <w:sz w:val="21"/>
                      <w:szCs w:val="21"/>
                      <w:highlight w:val="none"/>
                      <w:lang w:val="en-US" w:eastAsia="zh-CN" w:bidi="ar-SA"/>
                    </w:rPr>
                  </w:pPr>
                  <w:r>
                    <w:rPr>
                      <w:rFonts w:hint="eastAsia" w:ascii="Times New Roman" w:hAnsi="Times New Roman"/>
                      <w:color w:val="000000"/>
                      <w:szCs w:val="21"/>
                      <w:highlight w:val="none"/>
                      <w:lang w:val="en-US" w:eastAsia="zh-CN"/>
                    </w:rPr>
                    <w:t>环境影响登记表</w:t>
                  </w:r>
                </w:p>
              </w:tc>
              <w:tc>
                <w:tcPr>
                  <w:tcW w:w="3806" w:type="pct"/>
                  <w:shd w:val="clear" w:color="auto" w:fill="auto"/>
                  <w:noWrap w:val="0"/>
                  <w:vAlign w:val="center"/>
                </w:tcPr>
                <w:p w14:paraId="3383E24E">
                  <w:pPr>
                    <w:rPr>
                      <w:rFonts w:hint="eastAsia" w:ascii="Times New Roman" w:hAnsi="Times New Roman"/>
                      <w:color w:val="000000"/>
                      <w:kern w:val="2"/>
                      <w:sz w:val="21"/>
                      <w:szCs w:val="21"/>
                      <w:highlight w:val="none"/>
                      <w:lang w:val="en-US" w:eastAsia="zh-CN" w:bidi="ar-SA"/>
                    </w:rPr>
                  </w:pPr>
                  <w:r>
                    <w:rPr>
                      <w:rFonts w:hint="eastAsia" w:ascii="Times New Roman" w:hAnsi="Times New Roman"/>
                      <w:color w:val="000000"/>
                      <w:szCs w:val="21"/>
                      <w:highlight w:val="none"/>
                      <w:lang w:val="en-US" w:eastAsia="zh-CN"/>
                    </w:rPr>
                    <w:t>对一期项目中甲醇甲醛装卸平台废气治理设施升级改造，具体内容为拆除原装卸平台1套活性炭吸附设施及1根15m高排放口（编号为DA001）；在甲醛尾气处理器（焚烧炉）前端增加1套活性炭吸附设施，装卸废气经现有移动式集气罩收集后经管道引入“活性炭吸附设施+甲醛尾气处理器（焚烧炉）”净化处理，处理后由现有15m高排气筒（排气筒编号：DA002）排放。</w:t>
                  </w:r>
                </w:p>
              </w:tc>
            </w:tr>
            <w:tr w14:paraId="48A8D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367" w:type="pct"/>
                  <w:vMerge w:val="restart"/>
                  <w:tcBorders>
                    <w:right w:val="single" w:color="auto" w:sz="4" w:space="0"/>
                  </w:tcBorders>
                  <w:shd w:val="clear" w:color="auto" w:fill="auto"/>
                  <w:noWrap w:val="0"/>
                  <w:vAlign w:val="center"/>
                </w:tcPr>
                <w:p w14:paraId="2E8B0A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排污许可</w:t>
                  </w:r>
                </w:p>
              </w:tc>
              <w:tc>
                <w:tcPr>
                  <w:tcW w:w="826" w:type="pct"/>
                  <w:tcBorders>
                    <w:left w:val="single" w:color="auto" w:sz="4" w:space="0"/>
                  </w:tcBorders>
                  <w:shd w:val="clear" w:color="auto" w:fill="auto"/>
                  <w:noWrap w:val="0"/>
                  <w:vAlign w:val="center"/>
                </w:tcPr>
                <w:p w14:paraId="2AAED8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申领情况</w:t>
                  </w:r>
                </w:p>
              </w:tc>
              <w:tc>
                <w:tcPr>
                  <w:tcW w:w="3806" w:type="pct"/>
                  <w:shd w:val="clear" w:color="auto" w:fill="auto"/>
                  <w:noWrap w:val="0"/>
                  <w:vAlign w:val="center"/>
                </w:tcPr>
                <w:p w14:paraId="628568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ascii="Times New Roman" w:hAnsi="Times New Roman"/>
                      <w:color w:val="000000"/>
                      <w:szCs w:val="21"/>
                      <w:highlight w:val="none"/>
                    </w:rPr>
                    <w:t>证书编号：91610322MA6X99Y59G001V。</w:t>
                  </w:r>
                  <w:r>
                    <w:rPr>
                      <w:rFonts w:hint="eastAsia" w:ascii="Times New Roman" w:hAnsi="Times New Roman"/>
                      <w:color w:val="000000"/>
                      <w:szCs w:val="21"/>
                      <w:highlight w:val="none"/>
                    </w:rPr>
                    <w:t>经历4次变更、1次延续以及1次重新申请，</w:t>
                  </w:r>
                  <w:r>
                    <w:rPr>
                      <w:rFonts w:ascii="Times New Roman" w:hAnsi="Times New Roman"/>
                      <w:color w:val="000000"/>
                      <w:szCs w:val="21"/>
                      <w:highlight w:val="none"/>
                    </w:rPr>
                    <w:t>有效期至2028年</w:t>
                  </w:r>
                  <w:r>
                    <w:rPr>
                      <w:rFonts w:hint="eastAsia" w:ascii="Times New Roman" w:hAnsi="Times New Roman"/>
                      <w:color w:val="000000"/>
                      <w:szCs w:val="21"/>
                      <w:highlight w:val="none"/>
                    </w:rPr>
                    <w:t>11</w:t>
                  </w:r>
                  <w:r>
                    <w:rPr>
                      <w:rFonts w:ascii="Times New Roman" w:hAnsi="Times New Roman"/>
                      <w:color w:val="000000"/>
                      <w:szCs w:val="21"/>
                      <w:highlight w:val="none"/>
                    </w:rPr>
                    <w:t>月</w:t>
                  </w:r>
                  <w:r>
                    <w:rPr>
                      <w:rFonts w:hint="eastAsia" w:ascii="Times New Roman" w:hAnsi="Times New Roman"/>
                      <w:color w:val="000000"/>
                      <w:szCs w:val="21"/>
                      <w:highlight w:val="none"/>
                    </w:rPr>
                    <w:t>23</w:t>
                  </w:r>
                  <w:r>
                    <w:rPr>
                      <w:rFonts w:ascii="Times New Roman" w:hAnsi="Times New Roman"/>
                      <w:color w:val="000000"/>
                      <w:szCs w:val="21"/>
                      <w:highlight w:val="none"/>
                    </w:rPr>
                    <w:t>日。</w:t>
                  </w:r>
                </w:p>
              </w:tc>
            </w:tr>
            <w:tr w14:paraId="710B8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vMerge w:val="continue"/>
                  <w:tcBorders>
                    <w:right w:val="single" w:color="auto" w:sz="4" w:space="0"/>
                  </w:tcBorders>
                  <w:shd w:val="clear" w:color="auto" w:fill="auto"/>
                  <w:noWrap w:val="0"/>
                  <w:vAlign w:val="center"/>
                </w:tcPr>
                <w:p w14:paraId="764234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p>
              </w:tc>
              <w:tc>
                <w:tcPr>
                  <w:tcW w:w="826" w:type="pct"/>
                  <w:tcBorders>
                    <w:left w:val="single" w:color="auto" w:sz="4" w:space="0"/>
                  </w:tcBorders>
                  <w:shd w:val="clear" w:color="auto" w:fill="auto"/>
                  <w:noWrap w:val="0"/>
                  <w:vAlign w:val="center"/>
                </w:tcPr>
                <w:p w14:paraId="6DFAC6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执行情况</w:t>
                  </w:r>
                </w:p>
              </w:tc>
              <w:tc>
                <w:tcPr>
                  <w:tcW w:w="3806" w:type="pct"/>
                  <w:shd w:val="clear" w:color="auto" w:fill="auto"/>
                  <w:noWrap w:val="0"/>
                  <w:vAlign w:val="center"/>
                </w:tcPr>
                <w:p w14:paraId="0792A6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按照排污许可要求完成例行监测，按时提交季度执行报告及年报；同时按照要求的时间节点、方式及内容完成信息公开。</w:t>
                  </w:r>
                </w:p>
              </w:tc>
            </w:tr>
            <w:tr w14:paraId="56743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right w:val="single" w:color="auto" w:sz="4" w:space="0"/>
                  </w:tcBorders>
                  <w:shd w:val="clear" w:color="auto" w:fill="auto"/>
                  <w:noWrap w:val="0"/>
                  <w:vAlign w:val="center"/>
                </w:tcPr>
                <w:p w14:paraId="01CBA0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应急预案</w:t>
                  </w:r>
                </w:p>
              </w:tc>
              <w:tc>
                <w:tcPr>
                  <w:tcW w:w="826" w:type="pct"/>
                  <w:tcBorders>
                    <w:left w:val="single" w:color="auto" w:sz="4" w:space="0"/>
                  </w:tcBorders>
                  <w:shd w:val="clear" w:color="auto" w:fill="auto"/>
                  <w:noWrap w:val="0"/>
                  <w:vAlign w:val="center"/>
                </w:tcPr>
                <w:p w14:paraId="5F214A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突发环境事件应急预案</w:t>
                  </w:r>
                </w:p>
              </w:tc>
              <w:tc>
                <w:tcPr>
                  <w:tcW w:w="3806" w:type="pct"/>
                  <w:shd w:val="clear" w:color="auto" w:fill="auto"/>
                  <w:noWrap w:val="0"/>
                  <w:vAlign w:val="center"/>
                </w:tcPr>
                <w:p w14:paraId="674712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eastAsia" w:ascii="Times New Roman" w:hAnsi="Times New Roman"/>
                      <w:color w:val="000000"/>
                      <w:sz w:val="21"/>
                      <w:szCs w:val="21"/>
                      <w:highlight w:val="none"/>
                      <w:lang w:val="en-US" w:eastAsia="zh-CN"/>
                    </w:rPr>
                    <w:t>2024年12月13日</w:t>
                  </w:r>
                  <w:r>
                    <w:rPr>
                      <w:rFonts w:hint="eastAsia"/>
                      <w:lang w:eastAsia="zh-CN"/>
                    </w:rPr>
                    <w:t>，</w:t>
                  </w:r>
                  <w:r>
                    <w:rPr>
                      <w:rFonts w:ascii="Times New Roman" w:hAnsi="Times New Roman"/>
                      <w:color w:val="000000"/>
                      <w:sz w:val="21"/>
                      <w:szCs w:val="21"/>
                      <w:highlight w:val="none"/>
                    </w:rPr>
                    <w:t>宝鸡市生态环境局凤翔分局对《宝鸡靖源科技发展有限责任公司突发环境事件应急预案》进行备案，备案编号：6103</w:t>
                  </w:r>
                  <w:r>
                    <w:rPr>
                      <w:rFonts w:hint="eastAsia" w:ascii="Times New Roman" w:hAnsi="Times New Roman"/>
                      <w:color w:val="000000"/>
                      <w:sz w:val="21"/>
                      <w:szCs w:val="21"/>
                      <w:highlight w:val="none"/>
                      <w:lang w:val="en-US" w:eastAsia="zh-CN"/>
                    </w:rPr>
                    <w:t>05</w:t>
                  </w:r>
                  <w:r>
                    <w:rPr>
                      <w:rFonts w:ascii="Times New Roman" w:hAnsi="Times New Roman"/>
                      <w:color w:val="000000"/>
                      <w:sz w:val="21"/>
                      <w:szCs w:val="21"/>
                      <w:highlight w:val="none"/>
                    </w:rPr>
                    <w:t>-202</w:t>
                  </w:r>
                  <w:r>
                    <w:rPr>
                      <w:rFonts w:hint="eastAsia" w:ascii="Times New Roman" w:hAnsi="Times New Roman"/>
                      <w:color w:val="000000"/>
                      <w:sz w:val="21"/>
                      <w:szCs w:val="21"/>
                      <w:highlight w:val="none"/>
                      <w:lang w:val="en-US" w:eastAsia="zh-CN"/>
                    </w:rPr>
                    <w:t>4</w:t>
                  </w:r>
                  <w:r>
                    <w:rPr>
                      <w:rFonts w:ascii="Times New Roman" w:hAnsi="Times New Roman"/>
                      <w:color w:val="000000"/>
                      <w:sz w:val="21"/>
                      <w:szCs w:val="21"/>
                      <w:highlight w:val="none"/>
                    </w:rPr>
                    <w:t>-</w:t>
                  </w:r>
                  <w:r>
                    <w:rPr>
                      <w:rFonts w:hint="eastAsia" w:ascii="Times New Roman" w:hAnsi="Times New Roman"/>
                      <w:color w:val="000000"/>
                      <w:sz w:val="21"/>
                      <w:szCs w:val="21"/>
                      <w:highlight w:val="none"/>
                      <w:lang w:val="en-US" w:eastAsia="zh-CN"/>
                    </w:rPr>
                    <w:t>38</w:t>
                  </w:r>
                  <w:r>
                    <w:rPr>
                      <w:rFonts w:ascii="Times New Roman" w:hAnsi="Times New Roman"/>
                      <w:color w:val="000000"/>
                      <w:sz w:val="21"/>
                      <w:szCs w:val="21"/>
                      <w:highlight w:val="none"/>
                    </w:rPr>
                    <w:t>-</w:t>
                  </w:r>
                  <w:r>
                    <w:rPr>
                      <w:rFonts w:hint="eastAsia" w:ascii="Times New Roman" w:hAnsi="Times New Roman"/>
                      <w:color w:val="000000"/>
                      <w:sz w:val="21"/>
                      <w:szCs w:val="21"/>
                      <w:highlight w:val="none"/>
                      <w:lang w:val="en-US" w:eastAsia="zh-CN"/>
                    </w:rPr>
                    <w:t>M</w:t>
                  </w:r>
                  <w:r>
                    <w:rPr>
                      <w:rFonts w:ascii="Times New Roman" w:hAnsi="Times New Roman"/>
                      <w:color w:val="000000"/>
                      <w:sz w:val="21"/>
                      <w:szCs w:val="21"/>
                      <w:highlight w:val="none"/>
                    </w:rPr>
                    <w:t>。</w:t>
                  </w:r>
                </w:p>
              </w:tc>
            </w:tr>
          </w:tbl>
          <w:p w14:paraId="6EA315CF">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b/>
                <w:sz w:val="24"/>
                <w:highlight w:val="none"/>
              </w:rPr>
            </w:pPr>
            <w:r>
              <w:rPr>
                <w:b/>
                <w:sz w:val="24"/>
                <w:highlight w:val="none"/>
              </w:rPr>
              <w:t>二</w:t>
            </w:r>
            <w:r>
              <w:rPr>
                <w:rFonts w:hint="eastAsia"/>
                <w:b/>
                <w:sz w:val="24"/>
                <w:highlight w:val="none"/>
                <w:lang w:val="en-US" w:eastAsia="zh-CN"/>
              </w:rPr>
              <w:t>.</w:t>
            </w:r>
            <w:r>
              <w:rPr>
                <w:rFonts w:hint="eastAsia"/>
                <w:b/>
                <w:sz w:val="24"/>
                <w:highlight w:val="none"/>
              </w:rPr>
              <w:t>现</w:t>
            </w:r>
            <w:r>
              <w:rPr>
                <w:b/>
                <w:sz w:val="24"/>
                <w:highlight w:val="none"/>
              </w:rPr>
              <w:t>有工程污染物排放</w:t>
            </w:r>
            <w:r>
              <w:rPr>
                <w:rFonts w:hint="eastAsia"/>
                <w:b/>
                <w:sz w:val="24"/>
                <w:highlight w:val="none"/>
              </w:rPr>
              <w:t>达标</w:t>
            </w:r>
            <w:r>
              <w:rPr>
                <w:b/>
                <w:sz w:val="24"/>
                <w:highlight w:val="none"/>
              </w:rPr>
              <w:t>情况</w:t>
            </w:r>
          </w:p>
          <w:p w14:paraId="17E714CA">
            <w:pPr>
              <w:spacing w:line="360" w:lineRule="auto"/>
              <w:ind w:firstLine="480" w:firstLineChars="200"/>
              <w:rPr>
                <w:rFonts w:ascii="Times New Roman" w:hAnsi="Times New Roman"/>
                <w:color w:val="000000"/>
                <w:sz w:val="24"/>
                <w:highlight w:val="none"/>
                <w:lang w:bidi="zh-HK"/>
              </w:rPr>
            </w:pPr>
            <w:r>
              <w:rPr>
                <w:rFonts w:hint="eastAsia"/>
                <w:color w:val="000000"/>
                <w:sz w:val="24"/>
                <w:szCs w:val="22"/>
                <w:highlight w:val="none"/>
                <w:lang w:val="en-US" w:eastAsia="zh-CN" w:bidi="zh-HK"/>
              </w:rPr>
              <w:t>1.</w:t>
            </w:r>
            <w:r>
              <w:rPr>
                <w:rFonts w:ascii="Times New Roman" w:hAnsi="Times New Roman"/>
                <w:color w:val="000000"/>
                <w:sz w:val="24"/>
                <w:highlight w:val="none"/>
              </w:rPr>
              <w:t>现有项目</w:t>
            </w:r>
            <w:r>
              <w:rPr>
                <w:rFonts w:ascii="Times New Roman" w:hAnsi="Times New Roman"/>
                <w:color w:val="000000"/>
                <w:sz w:val="24"/>
                <w:szCs w:val="22"/>
                <w:highlight w:val="none"/>
                <w:lang w:bidi="zh-HK"/>
              </w:rPr>
              <w:t>各污染物产生</w:t>
            </w:r>
            <w:r>
              <w:rPr>
                <w:rFonts w:ascii="Times New Roman" w:hAnsi="Times New Roman"/>
                <w:color w:val="000000"/>
                <w:sz w:val="24"/>
                <w:highlight w:val="none"/>
                <w:lang w:bidi="zh-HK"/>
              </w:rPr>
              <w:t>及排放情况汇总</w:t>
            </w:r>
          </w:p>
          <w:p w14:paraId="0A40CB65">
            <w:pPr>
              <w:spacing w:line="360" w:lineRule="auto"/>
              <w:ind w:firstLine="480" w:firstLineChars="200"/>
              <w:rPr>
                <w:rFonts w:ascii="Times New Roman" w:hAnsi="Times New Roman"/>
                <w:color w:val="000000"/>
                <w:sz w:val="24"/>
                <w:highlight w:val="none"/>
                <w:lang w:bidi="zh-HK"/>
              </w:rPr>
            </w:pPr>
            <w:r>
              <w:rPr>
                <w:rFonts w:ascii="Times New Roman" w:hAnsi="Times New Roman"/>
                <w:color w:val="000000"/>
                <w:sz w:val="24"/>
                <w:highlight w:val="none"/>
                <w:lang w:bidi="zh-HK"/>
              </w:rPr>
              <w:t>（1）废气</w:t>
            </w:r>
          </w:p>
          <w:p w14:paraId="64F6B74E">
            <w:pPr>
              <w:widowControl/>
              <w:tabs>
                <w:tab w:val="left" w:pos="4423"/>
              </w:tabs>
              <w:spacing w:line="360" w:lineRule="auto"/>
              <w:ind w:firstLine="480" w:firstLineChars="200"/>
              <w:rPr>
                <w:rFonts w:ascii="Times New Roman" w:hAnsi="Times New Roman"/>
                <w:color w:val="000000"/>
                <w:sz w:val="24"/>
                <w:szCs w:val="21"/>
                <w:highlight w:val="none"/>
                <w:lang w:bidi="zh-HK"/>
              </w:rPr>
            </w:pPr>
            <w:r>
              <w:rPr>
                <w:rFonts w:ascii="Times New Roman" w:hAnsi="Times New Roman"/>
                <w:color w:val="000000"/>
                <w:sz w:val="24"/>
                <w:szCs w:val="21"/>
                <w:highlight w:val="none"/>
                <w:lang w:bidi="zh-HK"/>
              </w:rPr>
              <w:t>1）</w:t>
            </w:r>
            <w:r>
              <w:rPr>
                <w:rFonts w:ascii="Times New Roman" w:hAnsi="Times New Roman"/>
                <w:color w:val="000000"/>
                <w:sz w:val="24"/>
                <w:highlight w:val="none"/>
              </w:rPr>
              <w:t>现有项目</w:t>
            </w:r>
            <w:r>
              <w:rPr>
                <w:rFonts w:ascii="Times New Roman" w:hAnsi="Times New Roman"/>
                <w:color w:val="000000"/>
                <w:sz w:val="24"/>
                <w:szCs w:val="21"/>
                <w:highlight w:val="none"/>
                <w:lang w:bidi="zh-HK"/>
              </w:rPr>
              <w:t>废气种类</w:t>
            </w:r>
          </w:p>
          <w:p w14:paraId="10B13617">
            <w:pPr>
              <w:widowControl/>
              <w:tabs>
                <w:tab w:val="left" w:pos="4423"/>
              </w:tabs>
              <w:spacing w:line="360" w:lineRule="auto"/>
              <w:ind w:firstLine="480" w:firstLineChars="200"/>
              <w:rPr>
                <w:rFonts w:ascii="Times New Roman" w:hAnsi="Times New Roman"/>
                <w:color w:val="000000"/>
                <w:sz w:val="24"/>
                <w:szCs w:val="21"/>
                <w:highlight w:val="none"/>
                <w:lang w:bidi="zh-HK"/>
              </w:rPr>
            </w:pPr>
            <w:r>
              <w:rPr>
                <w:rFonts w:hint="eastAsia" w:ascii="Times New Roman" w:hAnsi="Times New Roman"/>
                <w:color w:val="000000"/>
                <w:sz w:val="24"/>
                <w:szCs w:val="21"/>
                <w:highlight w:val="none"/>
                <w:lang w:val="en-US" w:eastAsia="zh-CN" w:bidi="zh-HK"/>
              </w:rPr>
              <w:t>一期</w:t>
            </w:r>
            <w:r>
              <w:rPr>
                <w:rFonts w:ascii="Times New Roman" w:hAnsi="Times New Roman"/>
                <w:color w:val="000000"/>
                <w:sz w:val="24"/>
                <w:szCs w:val="21"/>
                <w:highlight w:val="none"/>
                <w:lang w:bidi="zh-HK"/>
              </w:rPr>
              <w:t>现有项目废气主要为</w:t>
            </w:r>
            <w:r>
              <w:rPr>
                <w:rFonts w:ascii="Times New Roman" w:hAnsi="Times New Roman"/>
                <w:color w:val="000000"/>
                <w:sz w:val="24"/>
                <w:highlight w:val="none"/>
              </w:rPr>
              <w:t>减水剂生产线中产生的投料废气、反应废气、甲醛生产尾气、</w:t>
            </w:r>
            <w:r>
              <w:rPr>
                <w:rFonts w:hint="eastAsia" w:ascii="Times New Roman" w:hAnsi="Times New Roman"/>
                <w:color w:val="000000"/>
                <w:sz w:val="24"/>
                <w:highlight w:val="none"/>
              </w:rPr>
              <w:t>原料及成品装卸区装卸废气、</w:t>
            </w:r>
            <w:r>
              <w:rPr>
                <w:rFonts w:ascii="Times New Roman" w:hAnsi="Times New Roman"/>
                <w:color w:val="000000"/>
                <w:sz w:val="24"/>
                <w:highlight w:val="none"/>
              </w:rPr>
              <w:t>储罐区无组织废气</w:t>
            </w:r>
            <w:r>
              <w:rPr>
                <w:rFonts w:ascii="Times New Roman" w:hAnsi="Times New Roman"/>
                <w:color w:val="000000"/>
                <w:sz w:val="24"/>
                <w:szCs w:val="21"/>
                <w:highlight w:val="none"/>
                <w:lang w:bidi="zh-HK"/>
              </w:rPr>
              <w:t>。</w:t>
            </w:r>
          </w:p>
          <w:p w14:paraId="6DAB33C7">
            <w:pPr>
              <w:widowControl/>
              <w:tabs>
                <w:tab w:val="left" w:pos="4423"/>
              </w:tabs>
              <w:spacing w:line="360" w:lineRule="auto"/>
              <w:ind w:firstLine="480" w:firstLineChars="200"/>
              <w:rPr>
                <w:rFonts w:ascii="Times New Roman" w:hAnsi="Times New Roman"/>
                <w:color w:val="000000"/>
                <w:sz w:val="24"/>
                <w:szCs w:val="21"/>
                <w:highlight w:val="none"/>
                <w:lang w:bidi="zh-HK"/>
              </w:rPr>
            </w:pPr>
            <w:r>
              <w:rPr>
                <w:rFonts w:hint="eastAsia" w:ascii="Times New Roman" w:hAnsi="Times New Roman"/>
                <w:color w:val="000000"/>
                <w:sz w:val="24"/>
                <w:szCs w:val="21"/>
                <w:highlight w:val="none"/>
                <w:lang w:eastAsia="zh-CN" w:bidi="zh-HK"/>
              </w:rPr>
              <w:t>二期现有项目废气主要为</w:t>
            </w:r>
            <w:r>
              <w:rPr>
                <w:rFonts w:hint="default" w:ascii="Times New Roman" w:hAnsi="Times New Roman" w:eastAsia="宋体" w:cs="Times New Roman"/>
                <w:color w:val="auto"/>
                <w:kern w:val="2"/>
                <w:sz w:val="24"/>
                <w:szCs w:val="24"/>
                <w:highlight w:val="none"/>
                <w:lang w:val="en-US" w:eastAsia="zh-CN"/>
              </w:rPr>
              <w:t>桶装加料开盖废气、桶装物料至配料罐大呼吸废气、合成过程中产生的不凝废气、设备动静密封点泄漏的有机废气。</w:t>
            </w:r>
          </w:p>
          <w:p w14:paraId="60558DDE">
            <w:pPr>
              <w:widowControl/>
              <w:tabs>
                <w:tab w:val="left" w:pos="4423"/>
              </w:tabs>
              <w:spacing w:line="360" w:lineRule="auto"/>
              <w:ind w:firstLine="480" w:firstLineChars="200"/>
              <w:rPr>
                <w:rFonts w:hint="default" w:ascii="Times New Roman" w:hAnsi="Times New Roman" w:eastAsia="宋体"/>
                <w:color w:val="000000"/>
                <w:sz w:val="24"/>
                <w:szCs w:val="21"/>
                <w:highlight w:val="none"/>
                <w:lang w:val="en-US" w:eastAsia="zh-CN" w:bidi="zh-HK"/>
              </w:rPr>
            </w:pPr>
            <w:r>
              <w:rPr>
                <w:rFonts w:ascii="Times New Roman" w:hAnsi="Times New Roman"/>
                <w:color w:val="000000"/>
                <w:sz w:val="24"/>
                <w:szCs w:val="21"/>
                <w:highlight w:val="none"/>
                <w:lang w:bidi="zh-HK"/>
              </w:rPr>
              <w:t>2）</w:t>
            </w:r>
            <w:r>
              <w:rPr>
                <w:rFonts w:ascii="Times New Roman" w:hAnsi="Times New Roman"/>
                <w:color w:val="000000"/>
                <w:sz w:val="24"/>
                <w:highlight w:val="none"/>
              </w:rPr>
              <w:t>现有项目废气治理</w:t>
            </w:r>
            <w:r>
              <w:rPr>
                <w:rFonts w:ascii="Times New Roman" w:hAnsi="Times New Roman"/>
                <w:color w:val="000000"/>
                <w:sz w:val="24"/>
                <w:szCs w:val="21"/>
                <w:highlight w:val="none"/>
                <w:lang w:bidi="zh-HK"/>
              </w:rPr>
              <w:t>措施</w:t>
            </w:r>
            <w:r>
              <w:rPr>
                <w:rFonts w:hint="eastAsia" w:ascii="Times New Roman" w:hAnsi="Times New Roman"/>
                <w:color w:val="000000"/>
                <w:sz w:val="24"/>
                <w:szCs w:val="21"/>
                <w:highlight w:val="none"/>
                <w:lang w:val="en-US" w:eastAsia="zh-CN" w:bidi="zh-HK"/>
              </w:rPr>
              <w:t>及达标情况</w:t>
            </w:r>
          </w:p>
          <w:p w14:paraId="02DBEC44">
            <w:pPr>
              <w:spacing w:line="360" w:lineRule="auto"/>
              <w:ind w:firstLine="480" w:firstLineChars="200"/>
              <w:rPr>
                <w:rFonts w:ascii="Times New Roman" w:hAnsi="Times New Roman"/>
                <w:color w:val="000000"/>
                <w:sz w:val="24"/>
                <w:highlight w:val="none"/>
              </w:rPr>
            </w:pPr>
            <w:r>
              <w:rPr>
                <w:rFonts w:ascii="Times New Roman" w:hAnsi="Times New Roman"/>
                <w:color w:val="000000"/>
                <w:sz w:val="24"/>
                <w:szCs w:val="21"/>
                <w:highlight w:val="none"/>
                <w:lang w:bidi="zh-HK"/>
              </w:rPr>
              <w:t>①</w:t>
            </w:r>
            <w:r>
              <w:rPr>
                <w:rFonts w:hint="eastAsia" w:ascii="Times New Roman" w:hAnsi="Times New Roman"/>
                <w:bCs/>
                <w:color w:val="000000"/>
                <w:spacing w:val="-10"/>
                <w:sz w:val="24"/>
                <w:highlight w:val="none"/>
                <w:lang w:eastAsia="zh-CN"/>
              </w:rPr>
              <w:t>一期：</w:t>
            </w:r>
            <w:r>
              <w:rPr>
                <w:rFonts w:ascii="Times New Roman" w:hAnsi="Times New Roman"/>
                <w:color w:val="000000"/>
                <w:sz w:val="24"/>
                <w:highlight w:val="none"/>
              </w:rPr>
              <w:t>减水剂生产废气</w:t>
            </w:r>
            <w:r>
              <w:rPr>
                <w:rFonts w:ascii="Times New Roman" w:hAnsi="Times New Roman"/>
                <w:color w:val="000000"/>
                <w:sz w:val="24"/>
                <w:szCs w:val="21"/>
                <w:highlight w:val="none"/>
                <w:lang w:bidi="zh-HK"/>
              </w:rPr>
              <w:t>（</w:t>
            </w:r>
            <w:r>
              <w:rPr>
                <w:rFonts w:ascii="Times New Roman" w:hAnsi="Times New Roman"/>
                <w:color w:val="000000"/>
                <w:sz w:val="24"/>
                <w:highlight w:val="none"/>
              </w:rPr>
              <w:t>甲醛、颗粒物、非甲烷总烃、硫酸雾</w:t>
            </w:r>
            <w:r>
              <w:rPr>
                <w:rFonts w:ascii="Times New Roman" w:hAnsi="Times New Roman"/>
                <w:color w:val="000000"/>
                <w:sz w:val="24"/>
                <w:szCs w:val="21"/>
                <w:highlight w:val="none"/>
                <w:lang w:bidi="zh-HK"/>
              </w:rPr>
              <w:t>）</w:t>
            </w:r>
            <w:r>
              <w:rPr>
                <w:rFonts w:ascii="Times New Roman" w:hAnsi="Times New Roman"/>
                <w:color w:val="000000"/>
                <w:sz w:val="24"/>
                <w:highlight w:val="none"/>
              </w:rPr>
              <w:t>：经碱液淋洗塔+水淋洗塔+活性炭吸附塔处理达标后，由15m高排气筒</w:t>
            </w:r>
            <w:r>
              <w:rPr>
                <w:rFonts w:hint="eastAsia" w:ascii="Times New Roman" w:hAnsi="Times New Roman"/>
                <w:color w:val="000000"/>
                <w:sz w:val="24"/>
                <w:highlight w:val="none"/>
              </w:rPr>
              <w:t>（DA004）</w:t>
            </w:r>
            <w:r>
              <w:rPr>
                <w:rFonts w:ascii="Times New Roman" w:hAnsi="Times New Roman"/>
                <w:color w:val="000000"/>
                <w:sz w:val="24"/>
                <w:highlight w:val="none"/>
              </w:rPr>
              <w:t>排放。</w:t>
            </w:r>
            <w:r>
              <w:rPr>
                <w:rFonts w:hint="eastAsia" w:ascii="Times New Roman" w:hAnsi="Times New Roman"/>
                <w:color w:val="000000"/>
                <w:sz w:val="24"/>
                <w:highlight w:val="none"/>
                <w:lang w:val="en-US" w:eastAsia="zh-CN"/>
              </w:rPr>
              <w:t>根据</w:t>
            </w:r>
            <w:r>
              <w:rPr>
                <w:rFonts w:ascii="Times New Roman" w:hAnsi="Times New Roman"/>
                <w:bCs/>
                <w:color w:val="000000"/>
                <w:spacing w:val="-10"/>
                <w:sz w:val="24"/>
                <w:highlight w:val="none"/>
              </w:rPr>
              <w:t>建设单位提供的</w:t>
            </w:r>
            <w:r>
              <w:rPr>
                <w:rFonts w:hint="eastAsia" w:ascii="Times New Roman" w:hAnsi="Times New Roman"/>
                <w:color w:val="000000"/>
                <w:sz w:val="24"/>
                <w:highlight w:val="none"/>
                <w:lang w:val="en-US" w:eastAsia="zh-CN"/>
              </w:rPr>
              <w:t>森美佳境监（综）字【2024】第06006号监测报告，减水剂生产废气排气筒出口监测因子低浓度颗粒物、甲醛、非甲烷总烃</w:t>
            </w:r>
            <w:r>
              <w:rPr>
                <w:rFonts w:hint="eastAsia"/>
                <w:color w:val="000000"/>
                <w:sz w:val="24"/>
                <w:highlight w:val="none"/>
                <w:lang w:val="en-US" w:eastAsia="zh-CN"/>
              </w:rPr>
              <w:t>（</w:t>
            </w:r>
            <w:r>
              <w:rPr>
                <w:rFonts w:hint="eastAsia" w:ascii="Times New Roman" w:hAnsi="Times New Roman"/>
                <w:color w:val="000000"/>
                <w:sz w:val="24"/>
                <w:highlight w:val="none"/>
                <w:lang w:val="en-US" w:eastAsia="zh-CN"/>
              </w:rPr>
              <w:t>以碳计</w:t>
            </w:r>
            <w:r>
              <w:rPr>
                <w:rFonts w:hint="eastAsia"/>
                <w:color w:val="000000"/>
                <w:sz w:val="24"/>
                <w:highlight w:val="none"/>
                <w:lang w:val="en-US" w:eastAsia="zh-CN"/>
              </w:rPr>
              <w:t>）</w:t>
            </w:r>
            <w:r>
              <w:rPr>
                <w:rFonts w:hint="eastAsia" w:ascii="Times New Roman" w:hAnsi="Times New Roman"/>
                <w:color w:val="000000"/>
                <w:sz w:val="24"/>
                <w:highlight w:val="none"/>
                <w:lang w:val="en-US" w:eastAsia="zh-CN"/>
              </w:rPr>
              <w:t>的监测结果平均值均满足《合成树脂工业污染物排放标准》GB 31572-2015及其修改单表5中标准限值的要求；硫酸雾的排放浓度及排放速率平均值均满足《大气污染物综合排放标准》GB 16297-1996表2中其他二级标准限值的要求。</w:t>
            </w:r>
          </w:p>
          <w:p w14:paraId="6F2B1FC5">
            <w:pPr>
              <w:spacing w:line="360" w:lineRule="auto"/>
              <w:ind w:firstLine="480" w:firstLineChars="200"/>
              <w:rPr>
                <w:rFonts w:hint="default" w:ascii="Times New Roman" w:hAnsi="Times New Roman"/>
                <w:color w:val="000000"/>
                <w:sz w:val="24"/>
                <w:highlight w:val="none"/>
                <w:lang w:val="en-US" w:eastAsia="zh-CN"/>
              </w:rPr>
            </w:pPr>
            <w:r>
              <w:rPr>
                <w:rFonts w:ascii="Times New Roman" w:hAnsi="Times New Roman"/>
                <w:color w:val="000000"/>
                <w:sz w:val="24"/>
                <w:szCs w:val="21"/>
                <w:highlight w:val="none"/>
                <w:lang w:bidi="zh-HK"/>
              </w:rPr>
              <w:t>②</w:t>
            </w:r>
            <w:r>
              <w:rPr>
                <w:rFonts w:hint="eastAsia" w:ascii="Times New Roman" w:hAnsi="Times New Roman"/>
                <w:bCs/>
                <w:color w:val="000000"/>
                <w:spacing w:val="-10"/>
                <w:sz w:val="24"/>
                <w:highlight w:val="none"/>
                <w:lang w:eastAsia="zh-CN"/>
              </w:rPr>
              <w:t>一期：</w:t>
            </w:r>
            <w:r>
              <w:rPr>
                <w:rFonts w:ascii="Times New Roman" w:hAnsi="Times New Roman"/>
                <w:color w:val="000000"/>
                <w:sz w:val="24"/>
                <w:highlight w:val="none"/>
              </w:rPr>
              <w:t>甲醛尾气锅炉废气（甲醛、氮氧化物</w:t>
            </w:r>
            <w:r>
              <w:rPr>
                <w:rFonts w:hint="eastAsia" w:ascii="Times New Roman" w:hAnsi="Times New Roman"/>
                <w:color w:val="000000"/>
                <w:sz w:val="24"/>
                <w:highlight w:val="none"/>
              </w:rPr>
              <w:t>、</w:t>
            </w:r>
            <w:r>
              <w:rPr>
                <w:rFonts w:hint="eastAsia" w:ascii="Times New Roman" w:hAnsi="Times New Roman"/>
                <w:color w:val="000000"/>
                <w:sz w:val="24"/>
                <w:highlight w:val="none"/>
                <w:lang w:val="en-US" w:eastAsia="zh-CN"/>
              </w:rPr>
              <w:t>颗粒物、</w:t>
            </w:r>
            <w:r>
              <w:rPr>
                <w:rFonts w:hint="eastAsia" w:ascii="Times New Roman" w:hAnsi="Times New Roman"/>
                <w:color w:val="000000"/>
                <w:sz w:val="24"/>
                <w:highlight w:val="none"/>
              </w:rPr>
              <w:t>甲醇、</w:t>
            </w:r>
            <w:r>
              <w:rPr>
                <w:rFonts w:ascii="Times New Roman" w:hAnsi="Times New Roman"/>
                <w:color w:val="000000"/>
                <w:sz w:val="24"/>
                <w:highlight w:val="none"/>
              </w:rPr>
              <w:t>非甲烷总烃）</w:t>
            </w:r>
            <w:r>
              <w:rPr>
                <w:rFonts w:ascii="Times New Roman" w:hAnsi="Times New Roman"/>
                <w:color w:val="000000"/>
                <w:sz w:val="24"/>
                <w:szCs w:val="21"/>
                <w:highlight w:val="none"/>
                <w:lang w:bidi="zh-HK"/>
              </w:rPr>
              <w:t>：</w:t>
            </w:r>
            <w:r>
              <w:rPr>
                <w:rFonts w:ascii="Times New Roman" w:hAnsi="Times New Roman"/>
                <w:color w:val="000000"/>
                <w:sz w:val="24"/>
                <w:highlight w:val="none"/>
              </w:rPr>
              <w:t>经尾气处理器（焚烧炉）燃烧处理达标后，由15m高排气筒</w:t>
            </w:r>
            <w:r>
              <w:rPr>
                <w:rFonts w:hint="eastAsia" w:ascii="Times New Roman" w:hAnsi="Times New Roman"/>
                <w:color w:val="000000"/>
                <w:sz w:val="24"/>
                <w:highlight w:val="none"/>
              </w:rPr>
              <w:t>（DA002）</w:t>
            </w:r>
            <w:r>
              <w:rPr>
                <w:rFonts w:ascii="Times New Roman" w:hAnsi="Times New Roman"/>
                <w:color w:val="000000"/>
                <w:sz w:val="24"/>
                <w:highlight w:val="none"/>
              </w:rPr>
              <w:t>排放。</w:t>
            </w:r>
            <w:r>
              <w:rPr>
                <w:rFonts w:hint="eastAsia" w:ascii="Times New Roman" w:hAnsi="Times New Roman"/>
                <w:color w:val="000000"/>
                <w:sz w:val="24"/>
                <w:highlight w:val="none"/>
                <w:lang w:val="en-US" w:eastAsia="zh-CN"/>
              </w:rPr>
              <w:t>根据</w:t>
            </w:r>
            <w:r>
              <w:rPr>
                <w:rFonts w:ascii="Times New Roman" w:hAnsi="Times New Roman"/>
                <w:bCs/>
                <w:color w:val="000000"/>
                <w:spacing w:val="-10"/>
                <w:sz w:val="24"/>
                <w:highlight w:val="none"/>
              </w:rPr>
              <w:t>建设单位提供的</w:t>
            </w:r>
            <w:r>
              <w:rPr>
                <w:rFonts w:hint="eastAsia" w:ascii="Times New Roman" w:hAnsi="Times New Roman"/>
                <w:color w:val="000000"/>
                <w:sz w:val="24"/>
                <w:highlight w:val="none"/>
                <w:lang w:val="en-US" w:eastAsia="zh-CN"/>
              </w:rPr>
              <w:t>森美佳境监（气）字【2024】第12092号监测报告，</w:t>
            </w:r>
            <w:r>
              <w:rPr>
                <w:rFonts w:ascii="Times New Roman" w:hAnsi="Times New Roman"/>
                <w:color w:val="000000"/>
                <w:sz w:val="24"/>
                <w:highlight w:val="none"/>
              </w:rPr>
              <w:t>甲醛尾气锅炉废气</w:t>
            </w:r>
            <w:r>
              <w:rPr>
                <w:rFonts w:hint="eastAsia" w:ascii="Times New Roman" w:hAnsi="Times New Roman"/>
                <w:color w:val="000000"/>
                <w:sz w:val="24"/>
                <w:highlight w:val="none"/>
                <w:lang w:val="en-US" w:eastAsia="zh-CN"/>
              </w:rPr>
              <w:t>中氮氧化物、低浓度颗粒物、甲醇的折算浓度平均值均符合《石油化学工业污染物排放标准》GB31571-2015及其修改单表4中工艺加热炉标准限值的要求；非甲烷总烃</w:t>
            </w:r>
            <w:r>
              <w:rPr>
                <w:rFonts w:hint="eastAsia"/>
                <w:color w:val="000000"/>
                <w:sz w:val="24"/>
                <w:highlight w:val="none"/>
                <w:lang w:val="en-US" w:eastAsia="zh-CN"/>
              </w:rPr>
              <w:t>（</w:t>
            </w:r>
            <w:r>
              <w:rPr>
                <w:rFonts w:hint="eastAsia" w:ascii="Times New Roman" w:hAnsi="Times New Roman"/>
                <w:color w:val="000000"/>
                <w:sz w:val="24"/>
                <w:highlight w:val="none"/>
                <w:lang w:val="en-US" w:eastAsia="zh-CN"/>
              </w:rPr>
              <w:t>以碳计</w:t>
            </w:r>
            <w:r>
              <w:rPr>
                <w:rFonts w:hint="eastAsia"/>
                <w:color w:val="000000"/>
                <w:sz w:val="24"/>
                <w:highlight w:val="none"/>
                <w:lang w:val="en-US" w:eastAsia="zh-CN"/>
              </w:rPr>
              <w:t>）</w:t>
            </w:r>
            <w:r>
              <w:rPr>
                <w:rFonts w:hint="eastAsia" w:ascii="Times New Roman" w:hAnsi="Times New Roman"/>
                <w:color w:val="000000"/>
                <w:sz w:val="24"/>
                <w:highlight w:val="none"/>
                <w:lang w:val="en-US" w:eastAsia="zh-CN"/>
              </w:rPr>
              <w:t>的排放浓度及排放速率平均值均符合《大气污染物综合排放标准》GB 16297-1996表2中使用溶剂汽油或其他混合烃类物质二级标准限值的要求。根据</w:t>
            </w:r>
            <w:r>
              <w:rPr>
                <w:rFonts w:ascii="Times New Roman" w:hAnsi="Times New Roman"/>
                <w:bCs/>
                <w:color w:val="000000"/>
                <w:spacing w:val="-10"/>
                <w:sz w:val="24"/>
                <w:highlight w:val="none"/>
              </w:rPr>
              <w:t>建设单位提供的</w:t>
            </w:r>
            <w:r>
              <w:rPr>
                <w:rFonts w:hint="eastAsia" w:ascii="Times New Roman" w:hAnsi="Times New Roman"/>
                <w:color w:val="000000"/>
                <w:sz w:val="24"/>
                <w:highlight w:val="none"/>
                <w:lang w:val="en-US" w:eastAsia="zh-CN"/>
              </w:rPr>
              <w:t>森美佳境监（综）字【2024】第07060号监测报告，</w:t>
            </w:r>
            <w:r>
              <w:rPr>
                <w:rFonts w:ascii="Times New Roman" w:hAnsi="Times New Roman"/>
                <w:color w:val="000000"/>
                <w:sz w:val="24"/>
                <w:highlight w:val="none"/>
              </w:rPr>
              <w:t>甲醛尾气锅炉废气</w:t>
            </w:r>
            <w:r>
              <w:rPr>
                <w:rFonts w:hint="eastAsia" w:ascii="Times New Roman" w:hAnsi="Times New Roman"/>
                <w:color w:val="000000"/>
                <w:sz w:val="24"/>
                <w:highlight w:val="none"/>
                <w:lang w:val="en-US" w:eastAsia="zh-CN"/>
              </w:rPr>
              <w:t>中甲醛的折算浓度平均值符合《石油化学工业污染物排放标准》GB 31571-2015及其修改单表6中标准限值的要求。</w:t>
            </w:r>
          </w:p>
          <w:p w14:paraId="09CA294C">
            <w:pPr>
              <w:spacing w:line="360" w:lineRule="auto"/>
              <w:ind w:firstLine="440" w:firstLineChars="200"/>
              <w:rPr>
                <w:rFonts w:hint="default" w:ascii="Times New Roman" w:hAnsi="Times New Roman"/>
                <w:color w:val="000000"/>
                <w:sz w:val="24"/>
                <w:highlight w:val="none"/>
                <w:lang w:val="en-US"/>
              </w:rPr>
            </w:pPr>
            <w:r>
              <w:rPr>
                <w:rFonts w:ascii="Times New Roman" w:hAnsi="Times New Roman"/>
                <w:bCs/>
                <w:color w:val="000000"/>
                <w:spacing w:val="-10"/>
                <w:sz w:val="24"/>
                <w:highlight w:val="none"/>
              </w:rPr>
              <w:t>③</w:t>
            </w:r>
            <w:r>
              <w:rPr>
                <w:rFonts w:hint="eastAsia" w:ascii="Times New Roman" w:hAnsi="Times New Roman"/>
                <w:bCs/>
                <w:color w:val="000000"/>
                <w:spacing w:val="-10"/>
                <w:sz w:val="24"/>
                <w:highlight w:val="none"/>
                <w:lang w:eastAsia="zh-CN"/>
              </w:rPr>
              <w:t>一期：</w:t>
            </w:r>
            <w:r>
              <w:rPr>
                <w:rFonts w:ascii="Times New Roman" w:hAnsi="Times New Roman"/>
                <w:bCs/>
                <w:color w:val="000000"/>
                <w:spacing w:val="-10"/>
                <w:sz w:val="24"/>
                <w:highlight w:val="none"/>
              </w:rPr>
              <w:t>工业萘人工投料、搅拌溶解废气（</w:t>
            </w:r>
            <w:r>
              <w:rPr>
                <w:rFonts w:ascii="Times New Roman" w:hAnsi="Times New Roman"/>
                <w:color w:val="000000"/>
                <w:sz w:val="24"/>
                <w:highlight w:val="none"/>
              </w:rPr>
              <w:t>非甲烷总烃）：经</w:t>
            </w:r>
            <w:r>
              <w:rPr>
                <w:rFonts w:hint="eastAsia" w:ascii="Times New Roman" w:hAnsi="Times New Roman"/>
                <w:color w:val="000000"/>
                <w:sz w:val="24"/>
                <w:highlight w:val="none"/>
              </w:rPr>
              <w:t>“UV光氧、活性炭吸附”装置</w:t>
            </w:r>
            <w:r>
              <w:rPr>
                <w:rFonts w:ascii="Times New Roman" w:hAnsi="Times New Roman"/>
                <w:color w:val="000000"/>
                <w:sz w:val="24"/>
                <w:highlight w:val="none"/>
              </w:rPr>
              <w:t>处理达标后，由15m高排气筒</w:t>
            </w:r>
            <w:r>
              <w:rPr>
                <w:rFonts w:hint="eastAsia" w:ascii="Times New Roman" w:hAnsi="Times New Roman"/>
                <w:color w:val="000000"/>
                <w:sz w:val="24"/>
                <w:highlight w:val="none"/>
              </w:rPr>
              <w:t>（DA003）</w:t>
            </w:r>
            <w:r>
              <w:rPr>
                <w:rFonts w:ascii="Times New Roman" w:hAnsi="Times New Roman"/>
                <w:color w:val="000000"/>
                <w:sz w:val="24"/>
                <w:highlight w:val="none"/>
              </w:rPr>
              <w:t>排放（本项目建成后该工艺取消）。</w:t>
            </w:r>
            <w:r>
              <w:rPr>
                <w:rFonts w:hint="eastAsia" w:ascii="Times New Roman" w:hAnsi="Times New Roman"/>
                <w:color w:val="000000"/>
                <w:sz w:val="24"/>
                <w:highlight w:val="none"/>
                <w:lang w:val="en-US" w:eastAsia="zh-CN"/>
              </w:rPr>
              <w:t>根据</w:t>
            </w:r>
            <w:r>
              <w:rPr>
                <w:rFonts w:ascii="Times New Roman" w:hAnsi="Times New Roman"/>
                <w:bCs/>
                <w:color w:val="000000"/>
                <w:spacing w:val="-10"/>
                <w:sz w:val="24"/>
                <w:highlight w:val="none"/>
              </w:rPr>
              <w:t>建设单位提供的</w:t>
            </w:r>
            <w:r>
              <w:rPr>
                <w:rFonts w:hint="eastAsia" w:ascii="Times New Roman" w:hAnsi="Times New Roman"/>
                <w:color w:val="000000"/>
                <w:sz w:val="24"/>
                <w:highlight w:val="none"/>
                <w:lang w:val="en-US" w:eastAsia="zh-CN"/>
              </w:rPr>
              <w:t>森美佳境监（综）字【2023】第02044号监测报告，固体萘挥发废气排放口监测因子非甲烷总烃的最大排放浓度及最高排放速率均满足《大气污染物综合排放标准》GB 16297-1996表2中二级标准限值的要求。</w:t>
            </w:r>
          </w:p>
          <w:p w14:paraId="3B6F5169">
            <w:pPr>
              <w:spacing w:line="360" w:lineRule="auto"/>
              <w:ind w:firstLine="440" w:firstLineChars="200"/>
              <w:rPr>
                <w:rFonts w:hint="eastAsia" w:ascii="Times New Roman" w:hAnsi="Times New Roman"/>
                <w:color w:val="000000"/>
                <w:sz w:val="24"/>
                <w:highlight w:val="none"/>
                <w:lang w:val="en-US" w:eastAsia="zh-CN"/>
              </w:rPr>
            </w:pPr>
            <w:r>
              <w:rPr>
                <w:rFonts w:hint="eastAsia" w:ascii="Times New Roman" w:hAnsi="Times New Roman"/>
                <w:bCs/>
                <w:color w:val="000000"/>
                <w:spacing w:val="-10"/>
                <w:sz w:val="24"/>
                <w:highlight w:val="none"/>
              </w:rPr>
              <w:t>④</w:t>
            </w:r>
            <w:r>
              <w:rPr>
                <w:rFonts w:hint="eastAsia" w:ascii="Times New Roman" w:hAnsi="Times New Roman"/>
                <w:bCs/>
                <w:color w:val="000000"/>
                <w:spacing w:val="-10"/>
                <w:sz w:val="24"/>
                <w:highlight w:val="none"/>
                <w:lang w:eastAsia="zh-CN"/>
              </w:rPr>
              <w:t>一期：</w:t>
            </w:r>
            <w:r>
              <w:rPr>
                <w:rFonts w:hint="eastAsia" w:ascii="Times New Roman" w:hAnsi="Times New Roman"/>
                <w:color w:val="000000"/>
                <w:sz w:val="24"/>
                <w:highlight w:val="none"/>
              </w:rPr>
              <w:t>原料及成品装卸区装卸废气</w:t>
            </w:r>
            <w:r>
              <w:rPr>
                <w:rFonts w:hint="eastAsia" w:ascii="Times New Roman" w:hAnsi="Times New Roman"/>
                <w:color w:val="000000"/>
                <w:sz w:val="24"/>
                <w:highlight w:val="none"/>
                <w:lang w:eastAsia="zh-CN"/>
              </w:rPr>
              <w:t>（</w:t>
            </w:r>
            <w:r>
              <w:rPr>
                <w:rFonts w:hint="eastAsia" w:ascii="Times New Roman" w:hAnsi="Times New Roman"/>
                <w:color w:val="000000"/>
                <w:sz w:val="24"/>
                <w:highlight w:val="none"/>
              </w:rPr>
              <w:t>甲醇、</w:t>
            </w:r>
            <w:r>
              <w:rPr>
                <w:rFonts w:hint="eastAsia" w:ascii="Times New Roman" w:hAnsi="Times New Roman"/>
                <w:bCs/>
                <w:color w:val="000000"/>
                <w:spacing w:val="-10"/>
                <w:sz w:val="24"/>
                <w:highlight w:val="none"/>
              </w:rPr>
              <w:t>甲醛</w:t>
            </w:r>
            <w:r>
              <w:rPr>
                <w:rFonts w:hint="eastAsia" w:ascii="Times New Roman" w:hAnsi="Times New Roman"/>
                <w:color w:val="000000"/>
                <w:sz w:val="24"/>
                <w:highlight w:val="none"/>
                <w:lang w:eastAsia="zh-CN"/>
              </w:rPr>
              <w:t>）</w:t>
            </w:r>
            <w:r>
              <w:rPr>
                <w:rFonts w:hint="eastAsia" w:ascii="Times New Roman" w:hAnsi="Times New Roman"/>
                <w:color w:val="000000"/>
                <w:sz w:val="24"/>
                <w:highlight w:val="none"/>
              </w:rPr>
              <w:t>：</w:t>
            </w:r>
            <w:r>
              <w:rPr>
                <w:rFonts w:ascii="Times New Roman" w:hAnsi="Times New Roman"/>
                <w:color w:val="000000"/>
                <w:sz w:val="24"/>
                <w:highlight w:val="none"/>
              </w:rPr>
              <w:t>经</w:t>
            </w:r>
            <w:r>
              <w:rPr>
                <w:rFonts w:hint="eastAsia" w:ascii="Times New Roman" w:hAnsi="Times New Roman"/>
                <w:color w:val="000000"/>
                <w:sz w:val="24"/>
                <w:highlight w:val="none"/>
              </w:rPr>
              <w:t>活性炭吸附装置处理达标后</w:t>
            </w:r>
            <w:r>
              <w:rPr>
                <w:rFonts w:ascii="Times New Roman" w:hAnsi="Times New Roman"/>
                <w:color w:val="000000"/>
                <w:sz w:val="24"/>
                <w:highlight w:val="none"/>
              </w:rPr>
              <w:t>由15m高排气筒</w:t>
            </w:r>
            <w:r>
              <w:rPr>
                <w:rFonts w:hint="eastAsia" w:ascii="Times New Roman" w:hAnsi="Times New Roman"/>
                <w:color w:val="000000"/>
                <w:sz w:val="24"/>
                <w:highlight w:val="none"/>
              </w:rPr>
              <w:t>（DA001）</w:t>
            </w:r>
            <w:r>
              <w:rPr>
                <w:rFonts w:ascii="Times New Roman" w:hAnsi="Times New Roman"/>
                <w:color w:val="000000"/>
                <w:sz w:val="24"/>
                <w:highlight w:val="none"/>
              </w:rPr>
              <w:t>排放</w:t>
            </w:r>
            <w:r>
              <w:rPr>
                <w:rFonts w:hint="eastAsia" w:ascii="Times New Roman" w:hAnsi="Times New Roman"/>
                <w:color w:val="000000"/>
                <w:sz w:val="24"/>
                <w:highlight w:val="none"/>
              </w:rPr>
              <w:t>。</w:t>
            </w:r>
            <w:r>
              <w:rPr>
                <w:rFonts w:hint="eastAsia" w:ascii="Times New Roman" w:hAnsi="Times New Roman"/>
                <w:color w:val="000000"/>
                <w:sz w:val="24"/>
                <w:highlight w:val="none"/>
                <w:lang w:val="en-US" w:eastAsia="zh-CN"/>
              </w:rPr>
              <w:t>根据</w:t>
            </w:r>
            <w:r>
              <w:rPr>
                <w:rFonts w:ascii="Times New Roman" w:hAnsi="Times New Roman"/>
                <w:bCs/>
                <w:color w:val="000000"/>
                <w:spacing w:val="-10"/>
                <w:sz w:val="24"/>
                <w:highlight w:val="none"/>
              </w:rPr>
              <w:t>建设单位提供的</w:t>
            </w:r>
            <w:r>
              <w:rPr>
                <w:rFonts w:hint="eastAsia" w:ascii="Times New Roman" w:hAnsi="Times New Roman"/>
                <w:color w:val="000000"/>
                <w:sz w:val="24"/>
                <w:highlight w:val="none"/>
                <w:lang w:val="en-US" w:eastAsia="zh-CN"/>
              </w:rPr>
              <w:t>森美佳境监（气）字【2024】第06048号监测报告，装卸废气排放口监测因子甲醛、甲醇的监测结果平均值均满足《石油化学工业污染物排放标准》GB 31571-2015及其修改单表6中标准限值的要求。</w:t>
            </w:r>
          </w:p>
          <w:p w14:paraId="6A6D35CA">
            <w:pPr>
              <w:spacing w:line="360" w:lineRule="auto"/>
              <w:ind w:firstLine="480" w:firstLineChars="200"/>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⑤二期：</w:t>
            </w:r>
            <w:r>
              <w:rPr>
                <w:rFonts w:hint="default" w:ascii="Times New Roman" w:hAnsi="Times New Roman" w:eastAsia="宋体" w:cs="Times New Roman"/>
                <w:color w:val="000000"/>
                <w:sz w:val="24"/>
                <w:highlight w:val="none"/>
                <w:lang w:val="en-US" w:eastAsia="zh-CN"/>
              </w:rPr>
              <w:t>合成废气主要产生环节为排空口，废气集中通过管道收集后进入“三级喷淋+除湿器+活性炭吸附装置”处理后通过21m高排气筒</w:t>
            </w:r>
            <w:r>
              <w:rPr>
                <w:rFonts w:hint="eastAsia" w:ascii="Times New Roman" w:hAnsi="Times New Roman"/>
                <w:color w:val="000000"/>
                <w:sz w:val="24"/>
                <w:highlight w:val="none"/>
              </w:rPr>
              <w:t>（DA00</w:t>
            </w:r>
            <w:r>
              <w:rPr>
                <w:rFonts w:hint="eastAsia" w:ascii="Times New Roman" w:hAnsi="Times New Roman"/>
                <w:color w:val="000000"/>
                <w:sz w:val="24"/>
                <w:highlight w:val="none"/>
                <w:lang w:val="en-US" w:eastAsia="zh-CN"/>
              </w:rPr>
              <w:t>7）</w:t>
            </w:r>
            <w:r>
              <w:rPr>
                <w:rFonts w:hint="default" w:ascii="Times New Roman" w:hAnsi="Times New Roman" w:eastAsia="宋体" w:cs="Times New Roman"/>
                <w:color w:val="000000"/>
                <w:sz w:val="24"/>
                <w:highlight w:val="none"/>
                <w:lang w:val="en-US" w:eastAsia="zh-CN"/>
              </w:rPr>
              <w:t>排放，</w:t>
            </w:r>
            <w:r>
              <w:rPr>
                <w:rFonts w:hint="eastAsia" w:ascii="Times New Roman" w:hAnsi="Times New Roman"/>
                <w:color w:val="000000"/>
                <w:sz w:val="24"/>
                <w:highlight w:val="none"/>
                <w:lang w:val="en-US" w:eastAsia="zh-CN"/>
              </w:rPr>
              <w:t>根据</w:t>
            </w:r>
            <w:r>
              <w:rPr>
                <w:rFonts w:ascii="Times New Roman" w:hAnsi="Times New Roman"/>
                <w:bCs/>
                <w:color w:val="000000"/>
                <w:spacing w:val="-10"/>
                <w:sz w:val="24"/>
                <w:highlight w:val="none"/>
              </w:rPr>
              <w:t>建设单位提供的</w:t>
            </w:r>
            <w:r>
              <w:rPr>
                <w:rFonts w:hint="eastAsia" w:ascii="Times New Roman" w:hAnsi="Times New Roman"/>
                <w:color w:val="000000"/>
                <w:sz w:val="24"/>
                <w:highlight w:val="none"/>
                <w:lang w:val="en-US" w:eastAsia="zh-CN"/>
              </w:rPr>
              <w:t>森美佳境监（气）字【2024】第07060号监测报告，</w:t>
            </w:r>
            <w:r>
              <w:rPr>
                <w:rFonts w:hint="default" w:ascii="Times New Roman" w:hAnsi="Times New Roman" w:eastAsia="宋体" w:cs="Times New Roman"/>
                <w:color w:val="000000"/>
                <w:sz w:val="24"/>
                <w:highlight w:val="none"/>
                <w:lang w:val="en-US" w:eastAsia="zh-CN"/>
              </w:rPr>
              <w:t>合成废气排气筒甲醛、非甲烷总烃、颗粒物、酚类</w:t>
            </w:r>
            <w:r>
              <w:rPr>
                <w:rFonts w:hint="eastAsia" w:ascii="Times New Roman" w:hAnsi="Times New Roman" w:eastAsia="宋体" w:cs="Times New Roman"/>
                <w:color w:val="000000"/>
                <w:sz w:val="24"/>
                <w:highlight w:val="none"/>
                <w:lang w:val="en-US" w:eastAsia="zh-CN"/>
              </w:rPr>
              <w:t>符合</w:t>
            </w:r>
            <w:r>
              <w:rPr>
                <w:rFonts w:hint="default" w:ascii="Times New Roman" w:hAnsi="Times New Roman" w:eastAsia="宋体" w:cs="Times New Roman"/>
                <w:color w:val="000000"/>
                <w:sz w:val="24"/>
                <w:highlight w:val="none"/>
                <w:lang w:val="en-US" w:eastAsia="zh-CN"/>
              </w:rPr>
              <w:t>《合成树脂工业污染物排放标准》GB31572-2015表5中相关标准限值的要求；氨（氨气）</w:t>
            </w:r>
            <w:r>
              <w:rPr>
                <w:rFonts w:hint="eastAsia" w:ascii="Times New Roman" w:hAnsi="Times New Roman" w:eastAsia="宋体" w:cs="Times New Roman"/>
                <w:color w:val="000000"/>
                <w:sz w:val="24"/>
                <w:highlight w:val="none"/>
                <w:lang w:val="en-US" w:eastAsia="zh-CN"/>
              </w:rPr>
              <w:t>符合</w:t>
            </w:r>
            <w:r>
              <w:rPr>
                <w:rFonts w:hint="default" w:ascii="Times New Roman" w:hAnsi="Times New Roman" w:eastAsia="宋体" w:cs="Times New Roman"/>
                <w:color w:val="000000"/>
                <w:sz w:val="24"/>
                <w:highlight w:val="none"/>
                <w:lang w:val="en-US" w:eastAsia="zh-CN"/>
              </w:rPr>
              <w:t>《恶臭污染物排放标准》GB14554-93表2中相关标准限值的要求</w:t>
            </w:r>
            <w:r>
              <w:rPr>
                <w:rFonts w:hint="eastAsia" w:ascii="Times New Roman" w:hAnsi="Times New Roman" w:eastAsia="宋体" w:cs="Times New Roman"/>
                <w:color w:val="000000"/>
                <w:sz w:val="24"/>
                <w:highlight w:val="none"/>
                <w:lang w:val="en-US" w:eastAsia="zh-CN"/>
              </w:rPr>
              <w:t>。</w:t>
            </w:r>
          </w:p>
          <w:p w14:paraId="458DE74D">
            <w:pPr>
              <w:spacing w:line="360" w:lineRule="auto"/>
              <w:ind w:firstLine="480" w:firstLineChars="200"/>
              <w:rPr>
                <w:rFonts w:hint="default" w:ascii="Times New Roman" w:hAnsi="Times New Roman" w:eastAsia="宋体"/>
                <w:color w:val="000000"/>
                <w:sz w:val="24"/>
                <w:szCs w:val="21"/>
                <w:highlight w:val="none"/>
                <w:lang w:val="en-US" w:eastAsia="zh-CN" w:bidi="zh-HK"/>
              </w:rPr>
            </w:pPr>
            <w:r>
              <w:rPr>
                <w:rFonts w:hint="eastAsia" w:ascii="Times New Roman" w:hAnsi="Times New Roman"/>
                <w:color w:val="000000"/>
                <w:sz w:val="24"/>
                <w:szCs w:val="21"/>
                <w:highlight w:val="none"/>
                <w:lang w:val="en-US" w:eastAsia="zh-CN" w:bidi="zh-HK"/>
              </w:rPr>
              <w:t>3</w:t>
            </w:r>
            <w:r>
              <w:rPr>
                <w:rFonts w:ascii="Times New Roman" w:hAnsi="Times New Roman"/>
                <w:color w:val="000000"/>
                <w:sz w:val="24"/>
                <w:szCs w:val="21"/>
                <w:highlight w:val="none"/>
                <w:lang w:bidi="zh-HK"/>
              </w:rPr>
              <w:t>）</w:t>
            </w:r>
            <w:r>
              <w:rPr>
                <w:rFonts w:hint="eastAsia" w:ascii="Times New Roman" w:hAnsi="Times New Roman"/>
                <w:color w:val="000000"/>
                <w:sz w:val="24"/>
                <w:szCs w:val="21"/>
                <w:highlight w:val="none"/>
                <w:lang w:val="en-US" w:eastAsia="zh-CN" w:bidi="zh-HK"/>
              </w:rPr>
              <w:t>废气污染物排放量</w:t>
            </w:r>
          </w:p>
          <w:p w14:paraId="0FEE9761">
            <w:pPr>
              <w:spacing w:line="360" w:lineRule="auto"/>
              <w:ind w:firstLine="480" w:firstLineChars="200"/>
              <w:rPr>
                <w:rFonts w:hint="default" w:ascii="Times New Roman" w:hAnsi="Times New Roman"/>
                <w:color w:val="000000"/>
                <w:sz w:val="24"/>
                <w:szCs w:val="21"/>
                <w:highlight w:val="none"/>
                <w:lang w:val="en-US" w:eastAsia="zh-CN" w:bidi="zh-HK"/>
              </w:rPr>
            </w:pPr>
            <w:r>
              <w:rPr>
                <w:rFonts w:hint="eastAsia" w:ascii="Times New Roman" w:hAnsi="Times New Roman"/>
                <w:color w:val="000000"/>
                <w:sz w:val="24"/>
                <w:szCs w:val="21"/>
                <w:highlight w:val="none"/>
                <w:lang w:val="en-US" w:eastAsia="zh-CN" w:bidi="zh-HK"/>
              </w:rPr>
              <w:t>①主要排放口</w:t>
            </w:r>
          </w:p>
          <w:p w14:paraId="24AB7E08">
            <w:pPr>
              <w:spacing w:line="360" w:lineRule="auto"/>
              <w:ind w:firstLine="480" w:firstLineChars="200"/>
              <w:rPr>
                <w:rFonts w:hint="default" w:ascii="Times New Roman" w:hAnsi="Times New Roman"/>
                <w:color w:val="000000"/>
                <w:sz w:val="24"/>
                <w:szCs w:val="21"/>
                <w:highlight w:val="none"/>
                <w:lang w:val="en-US" w:eastAsia="zh-CN" w:bidi="zh-HK"/>
              </w:rPr>
            </w:pPr>
            <w:r>
              <w:rPr>
                <w:rFonts w:hint="eastAsia" w:ascii="Times New Roman" w:hAnsi="Times New Roman"/>
                <w:color w:val="000000"/>
                <w:sz w:val="24"/>
                <w:szCs w:val="21"/>
                <w:highlight w:val="none"/>
                <w:lang w:val="en-US" w:eastAsia="zh-CN" w:bidi="zh-HK"/>
              </w:rPr>
              <w:t>装卸废气排放口（DA001）：根据该企业2024年度排污许可证执行报告，年装卸甲醇量为16269.024t（占比设计量73%），废气中甲醇年排放量为0.022852t；年装卸甲醛量为36057.37t（占比设计量72%），废气中甲醛年排放量为0.00283t；折算至满负荷工况下，废气中甲醇年排放量为0.0312t、甲醛年排放量为0.0039t。原废气治理设施为1套活性炭吸附设施，处理效率按20%计，则甲醇装卸废气年产生量为0.039t、甲醛装卸废气年产生量为0.0049t，治理设施升级为“活性炭吸附设施+甲醛尾气处理器（焚烧炉）”，活性炭吸附设施处理效率按20%计，甲醛尾气处理器（焚烧炉）处理效率按97%计，则甲醇装卸废气年产生量为0.0009t、甲醛装卸废气年产生量为0.00012t。</w:t>
            </w:r>
          </w:p>
          <w:p w14:paraId="16F4AD68">
            <w:pPr>
              <w:spacing w:line="360" w:lineRule="auto"/>
              <w:ind w:firstLine="480" w:firstLineChars="200"/>
              <w:rPr>
                <w:rFonts w:hint="default" w:ascii="Times New Roman" w:hAnsi="Times New Roman"/>
                <w:color w:val="000000"/>
                <w:sz w:val="24"/>
                <w:szCs w:val="21"/>
                <w:highlight w:val="none"/>
                <w:lang w:val="en-US" w:eastAsia="zh-CN" w:bidi="zh-HK"/>
              </w:rPr>
            </w:pPr>
            <w:r>
              <w:rPr>
                <w:rFonts w:hint="eastAsia" w:ascii="Times New Roman" w:hAnsi="Times New Roman"/>
                <w:color w:val="000000"/>
                <w:sz w:val="24"/>
                <w:szCs w:val="21"/>
                <w:highlight w:val="none"/>
                <w:lang w:val="en-US" w:eastAsia="zh-CN" w:bidi="zh-HK"/>
              </w:rPr>
              <w:t>甲醛尾气锅炉出口（DA002）：根据该企业2024年度排污许可证执行报告，年产甲醛量为35939.66t（占比设计量72%），废气中氮氧化物年排放量为0.150276t、甲醛年排放量为0.448099t、甲醇年排放量为0.591241t、非甲烷总烃年排放量为1.764143t、颗粒物年排放量为0.030615t；折算至满负荷工况下，废气中氮氧化物年排放量为0.2091t、甲醛年排放量为0.6234t、甲醇年排放量为0.8225t、非甲烷总烃年排放量为2.4543t、颗粒物年排放量为0.0426t。</w:t>
            </w:r>
          </w:p>
          <w:p w14:paraId="18FF59FC">
            <w:pPr>
              <w:spacing w:line="360" w:lineRule="auto"/>
              <w:ind w:firstLine="480" w:firstLineChars="200"/>
              <w:rPr>
                <w:rFonts w:hint="default" w:ascii="Times New Roman" w:hAnsi="Times New Roman"/>
                <w:color w:val="000000"/>
                <w:sz w:val="24"/>
                <w:szCs w:val="21"/>
                <w:highlight w:val="none"/>
                <w:lang w:val="en-US" w:eastAsia="zh-CN" w:bidi="zh-HK"/>
              </w:rPr>
            </w:pPr>
            <w:r>
              <w:rPr>
                <w:rFonts w:hint="eastAsia" w:ascii="Times New Roman" w:hAnsi="Times New Roman"/>
                <w:color w:val="000000"/>
                <w:sz w:val="24"/>
                <w:szCs w:val="21"/>
                <w:highlight w:val="none"/>
                <w:lang w:val="en-US" w:eastAsia="zh-CN" w:bidi="zh-HK"/>
              </w:rPr>
              <w:t>②一般排放口</w:t>
            </w:r>
          </w:p>
          <w:p w14:paraId="122E2029">
            <w:pPr>
              <w:spacing w:line="360" w:lineRule="auto"/>
              <w:ind w:firstLine="480" w:firstLineChars="200"/>
              <w:rPr>
                <w:rFonts w:ascii="Times New Roman" w:hAnsi="Times New Roman"/>
                <w:color w:val="000000"/>
                <w:sz w:val="24"/>
                <w:szCs w:val="21"/>
                <w:highlight w:val="none"/>
                <w:lang w:bidi="zh-HK"/>
              </w:rPr>
            </w:pPr>
            <w:r>
              <w:rPr>
                <w:rFonts w:hint="eastAsia" w:ascii="Times New Roman" w:hAnsi="Times New Roman" w:eastAsia="宋体" w:cs="Times New Roman"/>
                <w:color w:val="000000"/>
                <w:sz w:val="24"/>
                <w:szCs w:val="21"/>
                <w:highlight w:val="none"/>
                <w:lang w:eastAsia="zh-CN" w:bidi="zh-HK"/>
              </w:rPr>
              <w:t>减水剂干燥废气排放口生物质燃烧污染物排放量采用系数法计算排放量，干燥过程的污染物排放量采用《年产</w:t>
            </w:r>
            <w:r>
              <w:rPr>
                <w:rFonts w:hint="eastAsia" w:ascii="Times New Roman" w:hAnsi="Times New Roman" w:eastAsia="宋体" w:cs="Times New Roman"/>
                <w:color w:val="000000"/>
                <w:sz w:val="24"/>
                <w:szCs w:val="21"/>
                <w:highlight w:val="none"/>
                <w:lang w:val="en-US" w:eastAsia="zh-CN" w:bidi="zh-HK"/>
              </w:rPr>
              <w:t>10万吨减水剂和5万吨甲醛项目环评报告</w:t>
            </w:r>
            <w:r>
              <w:rPr>
                <w:rFonts w:hint="eastAsia" w:ascii="Times New Roman" w:hAnsi="Times New Roman" w:eastAsia="宋体" w:cs="Times New Roman"/>
                <w:color w:val="000000"/>
                <w:sz w:val="24"/>
                <w:szCs w:val="21"/>
                <w:highlight w:val="none"/>
                <w:lang w:eastAsia="zh-CN" w:bidi="zh-HK"/>
              </w:rPr>
              <w:t>》中的排放量，其余排放口</w:t>
            </w:r>
            <w:r>
              <w:rPr>
                <w:rFonts w:hint="eastAsia" w:ascii="Times New Roman" w:hAnsi="Times New Roman"/>
                <w:color w:val="000000"/>
                <w:sz w:val="24"/>
                <w:szCs w:val="21"/>
                <w:highlight w:val="none"/>
                <w:lang w:bidi="zh-HK"/>
              </w:rPr>
              <w:t>根据现有项目监测报告，</w:t>
            </w:r>
            <w:r>
              <w:rPr>
                <w:rFonts w:ascii="Times New Roman" w:hAnsi="Times New Roman"/>
                <w:color w:val="000000"/>
                <w:sz w:val="24"/>
                <w:szCs w:val="21"/>
                <w:highlight w:val="none"/>
                <w:lang w:bidi="zh-HK"/>
              </w:rPr>
              <w:t>现有项目</w:t>
            </w:r>
            <w:r>
              <w:rPr>
                <w:rFonts w:hint="eastAsia" w:ascii="Times New Roman" w:hAnsi="Times New Roman"/>
                <w:color w:val="000000"/>
                <w:sz w:val="24"/>
                <w:szCs w:val="21"/>
                <w:highlight w:val="none"/>
                <w:lang w:val="en-US" w:eastAsia="zh-CN" w:bidi="zh-HK"/>
              </w:rPr>
              <w:t>一般排放口</w:t>
            </w:r>
            <w:r>
              <w:rPr>
                <w:rFonts w:ascii="Times New Roman" w:hAnsi="Times New Roman"/>
                <w:color w:val="000000"/>
                <w:sz w:val="24"/>
                <w:highlight w:val="none"/>
              </w:rPr>
              <w:t>废气污染物排放量</w:t>
            </w:r>
            <w:r>
              <w:rPr>
                <w:rFonts w:ascii="Times New Roman" w:hAnsi="Times New Roman"/>
                <w:color w:val="000000"/>
                <w:sz w:val="24"/>
                <w:szCs w:val="21"/>
                <w:highlight w:val="none"/>
                <w:lang w:bidi="zh-HK"/>
              </w:rPr>
              <w:t>情况见表2-</w:t>
            </w:r>
            <w:r>
              <w:rPr>
                <w:rFonts w:hint="eastAsia" w:ascii="Times New Roman" w:hAnsi="Times New Roman"/>
                <w:color w:val="000000"/>
                <w:sz w:val="24"/>
                <w:szCs w:val="21"/>
                <w:highlight w:val="none"/>
                <w:lang w:bidi="zh-HK"/>
              </w:rPr>
              <w:t>1</w:t>
            </w:r>
            <w:r>
              <w:rPr>
                <w:rFonts w:hint="eastAsia" w:ascii="Times New Roman" w:hAnsi="Times New Roman"/>
                <w:color w:val="000000"/>
                <w:sz w:val="24"/>
                <w:szCs w:val="21"/>
                <w:highlight w:val="none"/>
                <w:lang w:val="en-US" w:eastAsia="zh-CN" w:bidi="zh-HK"/>
              </w:rPr>
              <w:t>7</w:t>
            </w:r>
            <w:r>
              <w:rPr>
                <w:rFonts w:ascii="Times New Roman" w:hAnsi="Times New Roman"/>
                <w:color w:val="000000"/>
                <w:sz w:val="24"/>
                <w:szCs w:val="21"/>
                <w:highlight w:val="none"/>
                <w:lang w:bidi="zh-HK"/>
              </w:rPr>
              <w:t>。</w:t>
            </w:r>
          </w:p>
          <w:p w14:paraId="495F25A7">
            <w:pPr>
              <w:jc w:val="center"/>
              <w:rPr>
                <w:rFonts w:ascii="Times New Roman" w:hAnsi="Times New Roman"/>
                <w:b w:val="0"/>
                <w:bCs w:val="0"/>
                <w:color w:val="000000"/>
                <w:sz w:val="24"/>
                <w:highlight w:val="none"/>
              </w:rPr>
            </w:pPr>
            <w:r>
              <w:rPr>
                <w:rFonts w:ascii="Times New Roman" w:hAnsi="Times New Roman"/>
                <w:b w:val="0"/>
                <w:bCs w:val="0"/>
                <w:color w:val="000000"/>
                <w:sz w:val="24"/>
                <w:highlight w:val="none"/>
              </w:rPr>
              <w:t>表2</w:t>
            </w:r>
            <w:r>
              <w:rPr>
                <w:rFonts w:hint="eastAsia" w:ascii="Times New Roman" w:hAnsi="Times New Roman"/>
                <w:b w:val="0"/>
                <w:bCs w:val="0"/>
                <w:color w:val="000000"/>
                <w:sz w:val="24"/>
                <w:highlight w:val="none"/>
              </w:rPr>
              <w:t>-1</w:t>
            </w:r>
            <w:r>
              <w:rPr>
                <w:rFonts w:hint="eastAsia" w:ascii="Times New Roman" w:hAnsi="Times New Roman"/>
                <w:b w:val="0"/>
                <w:bCs w:val="0"/>
                <w:color w:val="000000"/>
                <w:sz w:val="24"/>
                <w:highlight w:val="none"/>
                <w:lang w:val="en-US" w:eastAsia="zh-CN"/>
              </w:rPr>
              <w:t>7</w:t>
            </w:r>
            <w:r>
              <w:rPr>
                <w:rFonts w:ascii="Times New Roman" w:hAnsi="Times New Roman"/>
                <w:b w:val="0"/>
                <w:bCs w:val="0"/>
                <w:color w:val="000000"/>
                <w:sz w:val="24"/>
                <w:highlight w:val="none"/>
              </w:rPr>
              <w:t xml:space="preserve">  现有项目</w:t>
            </w:r>
            <w:r>
              <w:rPr>
                <w:rFonts w:hint="eastAsia" w:ascii="Times New Roman" w:hAnsi="Times New Roman"/>
                <w:b w:val="0"/>
                <w:bCs w:val="0"/>
                <w:color w:val="000000"/>
                <w:sz w:val="24"/>
                <w:highlight w:val="none"/>
                <w:lang w:val="en-US" w:eastAsia="zh-CN"/>
              </w:rPr>
              <w:t>一般排放口</w:t>
            </w:r>
            <w:r>
              <w:rPr>
                <w:rFonts w:ascii="Times New Roman" w:hAnsi="Times New Roman"/>
                <w:b w:val="0"/>
                <w:bCs w:val="0"/>
                <w:color w:val="000000"/>
                <w:sz w:val="24"/>
                <w:highlight w:val="none"/>
              </w:rPr>
              <w:t>废气污染物排放总量一览表</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8"/>
              <w:gridCol w:w="1393"/>
              <w:gridCol w:w="1565"/>
              <w:gridCol w:w="1085"/>
              <w:gridCol w:w="1392"/>
              <w:gridCol w:w="1142"/>
              <w:gridCol w:w="1152"/>
            </w:tblGrid>
            <w:tr w14:paraId="2AA5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trPr>
              <w:tc>
                <w:tcPr>
                  <w:tcW w:w="263" w:type="pct"/>
                  <w:shd w:val="clear" w:color="auto" w:fill="auto"/>
                  <w:noWrap w:val="0"/>
                  <w:vAlign w:val="center"/>
                </w:tcPr>
                <w:p w14:paraId="670DA59F">
                  <w:pPr>
                    <w:jc w:val="center"/>
                    <w:rPr>
                      <w:rFonts w:ascii="Times New Roman" w:hAnsi="Times New Roman"/>
                      <w:bCs/>
                      <w:color w:val="000000"/>
                      <w:szCs w:val="21"/>
                      <w:highlight w:val="none"/>
                    </w:rPr>
                  </w:pPr>
                  <w:r>
                    <w:rPr>
                      <w:rFonts w:ascii="Times New Roman" w:hAnsi="Times New Roman"/>
                      <w:bCs/>
                      <w:color w:val="000000"/>
                      <w:szCs w:val="21"/>
                      <w:highlight w:val="none"/>
                    </w:rPr>
                    <w:t>类别</w:t>
                  </w:r>
                </w:p>
              </w:tc>
              <w:tc>
                <w:tcPr>
                  <w:tcW w:w="854" w:type="pct"/>
                  <w:shd w:val="clear" w:color="auto" w:fill="auto"/>
                  <w:noWrap w:val="0"/>
                  <w:vAlign w:val="center"/>
                </w:tcPr>
                <w:p w14:paraId="2E533A35">
                  <w:pPr>
                    <w:jc w:val="center"/>
                    <w:rPr>
                      <w:rFonts w:ascii="Times New Roman" w:hAnsi="Times New Roman"/>
                      <w:color w:val="000000"/>
                      <w:szCs w:val="21"/>
                      <w:highlight w:val="none"/>
                    </w:rPr>
                  </w:pPr>
                  <w:r>
                    <w:rPr>
                      <w:rFonts w:ascii="Times New Roman" w:hAnsi="Times New Roman"/>
                      <w:color w:val="000000"/>
                      <w:szCs w:val="21"/>
                      <w:highlight w:val="none"/>
                    </w:rPr>
                    <w:t>污染源</w:t>
                  </w:r>
                </w:p>
              </w:tc>
              <w:tc>
                <w:tcPr>
                  <w:tcW w:w="959" w:type="pct"/>
                  <w:shd w:val="clear" w:color="auto" w:fill="auto"/>
                  <w:noWrap w:val="0"/>
                  <w:vAlign w:val="center"/>
                </w:tcPr>
                <w:p w14:paraId="60026997">
                  <w:pPr>
                    <w:jc w:val="center"/>
                    <w:rPr>
                      <w:rFonts w:ascii="Times New Roman" w:hAnsi="Times New Roman"/>
                      <w:bCs/>
                      <w:color w:val="000000"/>
                      <w:szCs w:val="21"/>
                      <w:highlight w:val="none"/>
                    </w:rPr>
                  </w:pPr>
                  <w:r>
                    <w:rPr>
                      <w:rFonts w:ascii="Times New Roman" w:hAnsi="Times New Roman"/>
                      <w:bCs/>
                      <w:color w:val="000000"/>
                      <w:szCs w:val="21"/>
                      <w:highlight w:val="none"/>
                    </w:rPr>
                    <w:t>污染物</w:t>
                  </w:r>
                </w:p>
              </w:tc>
              <w:tc>
                <w:tcPr>
                  <w:tcW w:w="665" w:type="pct"/>
                  <w:shd w:val="clear" w:color="auto" w:fill="auto"/>
                  <w:noWrap w:val="0"/>
                  <w:vAlign w:val="center"/>
                </w:tcPr>
                <w:p w14:paraId="189E8331">
                  <w:pPr>
                    <w:jc w:val="center"/>
                    <w:rPr>
                      <w:rFonts w:ascii="Times New Roman" w:hAnsi="Times New Roman"/>
                      <w:bCs/>
                      <w:color w:val="000000"/>
                      <w:szCs w:val="21"/>
                      <w:highlight w:val="none"/>
                    </w:rPr>
                  </w:pPr>
                  <w:r>
                    <w:rPr>
                      <w:rFonts w:ascii="Times New Roman" w:hAnsi="Times New Roman"/>
                      <w:bCs/>
                      <w:color w:val="000000"/>
                      <w:szCs w:val="21"/>
                      <w:highlight w:val="none"/>
                    </w:rPr>
                    <w:t>排放</w:t>
                  </w:r>
                </w:p>
                <w:p w14:paraId="5C06066D">
                  <w:pPr>
                    <w:jc w:val="center"/>
                    <w:rPr>
                      <w:rFonts w:ascii="Times New Roman" w:hAnsi="Times New Roman"/>
                      <w:bCs/>
                      <w:color w:val="000000"/>
                      <w:szCs w:val="21"/>
                      <w:highlight w:val="none"/>
                    </w:rPr>
                  </w:pPr>
                  <w:r>
                    <w:rPr>
                      <w:rFonts w:ascii="Times New Roman" w:hAnsi="Times New Roman"/>
                      <w:bCs/>
                      <w:color w:val="000000"/>
                      <w:szCs w:val="21"/>
                      <w:highlight w:val="none"/>
                    </w:rPr>
                    <w:t>速率（kg/h）</w:t>
                  </w:r>
                </w:p>
              </w:tc>
              <w:tc>
                <w:tcPr>
                  <w:tcW w:w="853" w:type="pct"/>
                  <w:shd w:val="clear" w:color="auto" w:fill="auto"/>
                  <w:noWrap w:val="0"/>
                  <w:vAlign w:val="center"/>
                </w:tcPr>
                <w:p w14:paraId="17B8F33D">
                  <w:pPr>
                    <w:jc w:val="center"/>
                    <w:rPr>
                      <w:rFonts w:ascii="Times New Roman" w:hAnsi="Times New Roman"/>
                      <w:bCs/>
                      <w:color w:val="000000"/>
                      <w:szCs w:val="21"/>
                      <w:highlight w:val="none"/>
                    </w:rPr>
                  </w:pPr>
                  <w:r>
                    <w:rPr>
                      <w:rFonts w:ascii="Times New Roman" w:hAnsi="Times New Roman"/>
                      <w:bCs/>
                      <w:color w:val="000000"/>
                      <w:szCs w:val="21"/>
                      <w:highlight w:val="none"/>
                    </w:rPr>
                    <w:t>实际排放</w:t>
                  </w:r>
                </w:p>
                <w:p w14:paraId="5EB06C0A">
                  <w:pPr>
                    <w:jc w:val="center"/>
                    <w:rPr>
                      <w:rFonts w:ascii="Times New Roman" w:hAnsi="Times New Roman"/>
                      <w:bCs/>
                      <w:color w:val="000000"/>
                      <w:szCs w:val="21"/>
                      <w:highlight w:val="none"/>
                    </w:rPr>
                  </w:pPr>
                  <w:r>
                    <w:rPr>
                      <w:rFonts w:ascii="Times New Roman" w:hAnsi="Times New Roman"/>
                      <w:bCs/>
                      <w:color w:val="000000"/>
                      <w:szCs w:val="21"/>
                      <w:highlight w:val="none"/>
                    </w:rPr>
                    <w:t>总量（</w:t>
                  </w:r>
                  <w:r>
                    <w:rPr>
                      <w:rFonts w:hint="eastAsia" w:ascii="Times New Roman" w:hAnsi="Times New Roman"/>
                      <w:bCs/>
                      <w:color w:val="000000"/>
                      <w:szCs w:val="21"/>
                      <w:highlight w:val="none"/>
                      <w:lang w:val="en-US" w:eastAsia="zh-CN"/>
                    </w:rPr>
                    <w:t>t</w:t>
                  </w:r>
                  <w:r>
                    <w:rPr>
                      <w:rFonts w:ascii="Times New Roman" w:hAnsi="Times New Roman"/>
                      <w:bCs/>
                      <w:color w:val="000000"/>
                      <w:szCs w:val="21"/>
                      <w:highlight w:val="none"/>
                    </w:rPr>
                    <w:t>/a）</w:t>
                  </w:r>
                </w:p>
              </w:tc>
              <w:tc>
                <w:tcPr>
                  <w:tcW w:w="700" w:type="pct"/>
                  <w:shd w:val="clear" w:color="auto" w:fill="auto"/>
                  <w:noWrap w:val="0"/>
                  <w:vAlign w:val="center"/>
                </w:tcPr>
                <w:p w14:paraId="62D8DC14">
                  <w:pPr>
                    <w:jc w:val="center"/>
                    <w:rPr>
                      <w:rFonts w:hint="eastAsia" w:ascii="Times New Roman" w:hAnsi="Times New Roman"/>
                      <w:bCs/>
                      <w:color w:val="000000"/>
                      <w:szCs w:val="21"/>
                      <w:highlight w:val="none"/>
                      <w:lang w:val="en-US" w:eastAsia="zh-CN"/>
                    </w:rPr>
                  </w:pPr>
                  <w:r>
                    <w:rPr>
                      <w:rFonts w:hint="eastAsia" w:ascii="Times New Roman" w:hAnsi="Times New Roman"/>
                      <w:bCs/>
                      <w:color w:val="000000"/>
                      <w:szCs w:val="21"/>
                      <w:highlight w:val="none"/>
                      <w:lang w:val="en-US" w:eastAsia="zh-CN"/>
                    </w:rPr>
                    <w:t>监测时段</w:t>
                  </w:r>
                </w:p>
                <w:p w14:paraId="4313951D">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生产负荷（%）</w:t>
                  </w:r>
                </w:p>
              </w:tc>
              <w:tc>
                <w:tcPr>
                  <w:tcW w:w="704" w:type="pct"/>
                  <w:shd w:val="clear" w:color="auto" w:fill="auto"/>
                  <w:noWrap w:val="0"/>
                  <w:vAlign w:val="center"/>
                </w:tcPr>
                <w:p w14:paraId="05A9EC87">
                  <w:pPr>
                    <w:jc w:val="center"/>
                    <w:rPr>
                      <w:rFonts w:hint="default" w:ascii="Times New Roman" w:hAnsi="Times New Roman"/>
                      <w:bCs/>
                      <w:color w:val="000000"/>
                      <w:szCs w:val="21"/>
                      <w:highlight w:val="none"/>
                      <w:lang w:val="en-US" w:eastAsia="zh-CN"/>
                    </w:rPr>
                  </w:pPr>
                  <w:r>
                    <w:rPr>
                      <w:rFonts w:hint="eastAsia" w:ascii="Times New Roman" w:hAnsi="Times New Roman"/>
                      <w:bCs/>
                      <w:color w:val="000000"/>
                      <w:szCs w:val="21"/>
                      <w:highlight w:val="none"/>
                      <w:lang w:val="en-US" w:eastAsia="zh-CN"/>
                    </w:rPr>
                    <w:t>折算至满负荷工况排放总量</w:t>
                  </w:r>
                  <w:r>
                    <w:rPr>
                      <w:rFonts w:ascii="Times New Roman" w:hAnsi="Times New Roman"/>
                      <w:bCs/>
                      <w:color w:val="000000"/>
                      <w:szCs w:val="21"/>
                      <w:highlight w:val="none"/>
                    </w:rPr>
                    <w:t>（</w:t>
                  </w:r>
                  <w:r>
                    <w:rPr>
                      <w:rFonts w:hint="eastAsia" w:ascii="Times New Roman" w:hAnsi="Times New Roman"/>
                      <w:bCs/>
                      <w:color w:val="000000"/>
                      <w:szCs w:val="21"/>
                      <w:highlight w:val="none"/>
                      <w:lang w:val="en-US" w:eastAsia="zh-CN"/>
                    </w:rPr>
                    <w:t>t</w:t>
                  </w:r>
                  <w:r>
                    <w:rPr>
                      <w:rFonts w:ascii="Times New Roman" w:hAnsi="Times New Roman"/>
                      <w:bCs/>
                      <w:color w:val="000000"/>
                      <w:szCs w:val="21"/>
                      <w:highlight w:val="none"/>
                    </w:rPr>
                    <w:t>/a）</w:t>
                  </w:r>
                </w:p>
              </w:tc>
            </w:tr>
            <w:tr w14:paraId="0ED7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3" w:type="pct"/>
                  <w:vMerge w:val="restart"/>
                  <w:shd w:val="clear" w:color="auto" w:fill="auto"/>
                  <w:noWrap w:val="0"/>
                  <w:vAlign w:val="center"/>
                </w:tcPr>
                <w:p w14:paraId="704C0DFC">
                  <w:pPr>
                    <w:jc w:val="center"/>
                    <w:rPr>
                      <w:rFonts w:ascii="Times New Roman" w:hAnsi="Times New Roman"/>
                      <w:color w:val="000000"/>
                      <w:szCs w:val="21"/>
                      <w:highlight w:val="none"/>
                    </w:rPr>
                  </w:pPr>
                  <w:r>
                    <w:rPr>
                      <w:rFonts w:ascii="Times New Roman" w:hAnsi="Times New Roman"/>
                      <w:color w:val="000000"/>
                      <w:szCs w:val="21"/>
                      <w:highlight w:val="none"/>
                    </w:rPr>
                    <w:t>废气</w:t>
                  </w:r>
                </w:p>
              </w:tc>
              <w:tc>
                <w:tcPr>
                  <w:tcW w:w="854" w:type="pct"/>
                  <w:vMerge w:val="restart"/>
                  <w:shd w:val="clear" w:color="auto" w:fill="auto"/>
                  <w:noWrap w:val="0"/>
                  <w:vAlign w:val="center"/>
                </w:tcPr>
                <w:p w14:paraId="4FD20F95">
                  <w:pPr>
                    <w:jc w:val="center"/>
                    <w:rPr>
                      <w:rFonts w:ascii="Times New Roman" w:hAnsi="Times New Roman"/>
                      <w:color w:val="000000"/>
                      <w:szCs w:val="21"/>
                      <w:highlight w:val="none"/>
                    </w:rPr>
                  </w:pPr>
                  <w:r>
                    <w:rPr>
                      <w:rFonts w:ascii="Times New Roman" w:hAnsi="Times New Roman"/>
                      <w:color w:val="000000"/>
                      <w:szCs w:val="21"/>
                      <w:highlight w:val="none"/>
                    </w:rPr>
                    <w:t>减水剂生产</w:t>
                  </w:r>
                </w:p>
              </w:tc>
              <w:tc>
                <w:tcPr>
                  <w:tcW w:w="959" w:type="pct"/>
                  <w:shd w:val="clear" w:color="auto" w:fill="auto"/>
                  <w:noWrap w:val="0"/>
                  <w:vAlign w:val="center"/>
                </w:tcPr>
                <w:p w14:paraId="7C20DF1B">
                  <w:pPr>
                    <w:jc w:val="center"/>
                    <w:rPr>
                      <w:rFonts w:ascii="Times New Roman" w:hAnsi="Times New Roman"/>
                      <w:color w:val="000000"/>
                      <w:szCs w:val="21"/>
                      <w:highlight w:val="none"/>
                    </w:rPr>
                  </w:pPr>
                  <w:r>
                    <w:rPr>
                      <w:rFonts w:ascii="Times New Roman" w:hAnsi="Times New Roman"/>
                      <w:color w:val="000000"/>
                      <w:szCs w:val="21"/>
                      <w:highlight w:val="none"/>
                    </w:rPr>
                    <w:t>甲醛</w:t>
                  </w:r>
                </w:p>
              </w:tc>
              <w:tc>
                <w:tcPr>
                  <w:tcW w:w="665" w:type="pct"/>
                  <w:shd w:val="clear" w:color="auto" w:fill="auto"/>
                  <w:noWrap w:val="0"/>
                  <w:vAlign w:val="center"/>
                </w:tcPr>
                <w:p w14:paraId="0F3A7023">
                  <w:pPr>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0.003</w:t>
                  </w:r>
                </w:p>
              </w:tc>
              <w:tc>
                <w:tcPr>
                  <w:tcW w:w="853" w:type="pct"/>
                  <w:shd w:val="clear" w:color="auto" w:fill="auto"/>
                  <w:noWrap w:val="0"/>
                  <w:vAlign w:val="center"/>
                </w:tcPr>
                <w:p w14:paraId="61B1FCE0">
                  <w:pPr>
                    <w:keepNext w:val="0"/>
                    <w:keepLines w:val="0"/>
                    <w:widowControl/>
                    <w:suppressLineNumbers w:val="0"/>
                    <w:jc w:val="center"/>
                    <w:textAlignment w:val="center"/>
                    <w:rPr>
                      <w:rFonts w:hint="default" w:ascii="Times New Roman" w:hAnsi="Times New Roman" w:cs="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0.0238 </w:t>
                  </w:r>
                </w:p>
              </w:tc>
              <w:tc>
                <w:tcPr>
                  <w:tcW w:w="700" w:type="pct"/>
                  <w:vMerge w:val="restart"/>
                  <w:shd w:val="clear" w:color="auto" w:fill="auto"/>
                  <w:noWrap w:val="0"/>
                  <w:vAlign w:val="center"/>
                </w:tcPr>
                <w:p w14:paraId="5E9FA8E5">
                  <w:pPr>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21</w:t>
                  </w:r>
                </w:p>
              </w:tc>
              <w:tc>
                <w:tcPr>
                  <w:tcW w:w="704" w:type="pct"/>
                  <w:shd w:val="clear" w:color="auto" w:fill="auto"/>
                  <w:noWrap w:val="0"/>
                  <w:vAlign w:val="center"/>
                </w:tcPr>
                <w:p w14:paraId="4567545C">
                  <w:pPr>
                    <w:keepNext w:val="0"/>
                    <w:keepLines w:val="0"/>
                    <w:widowControl/>
                    <w:suppressLineNumbers w:val="0"/>
                    <w:jc w:val="center"/>
                    <w:textAlignment w:val="center"/>
                    <w:rPr>
                      <w:rFonts w:ascii="Times New Roman" w:hAnsi="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0.1131 </w:t>
                  </w:r>
                </w:p>
              </w:tc>
            </w:tr>
            <w:tr w14:paraId="0EAA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3" w:type="pct"/>
                  <w:vMerge w:val="continue"/>
                  <w:shd w:val="clear" w:color="auto" w:fill="auto"/>
                  <w:noWrap w:val="0"/>
                  <w:vAlign w:val="center"/>
                </w:tcPr>
                <w:p w14:paraId="1FA3B8AE">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0E91EB41">
                  <w:pPr>
                    <w:jc w:val="center"/>
                    <w:rPr>
                      <w:rFonts w:ascii="Times New Roman" w:hAnsi="Times New Roman"/>
                      <w:color w:val="000000"/>
                      <w:szCs w:val="21"/>
                      <w:highlight w:val="none"/>
                    </w:rPr>
                  </w:pPr>
                </w:p>
              </w:tc>
              <w:tc>
                <w:tcPr>
                  <w:tcW w:w="959" w:type="pct"/>
                  <w:shd w:val="clear" w:color="auto" w:fill="auto"/>
                  <w:noWrap w:val="0"/>
                  <w:vAlign w:val="center"/>
                </w:tcPr>
                <w:p w14:paraId="65ACD022">
                  <w:pPr>
                    <w:jc w:val="center"/>
                    <w:rPr>
                      <w:rFonts w:ascii="Times New Roman" w:hAnsi="Times New Roman"/>
                      <w:color w:val="000000"/>
                      <w:szCs w:val="21"/>
                      <w:highlight w:val="none"/>
                    </w:rPr>
                  </w:pPr>
                  <w:r>
                    <w:rPr>
                      <w:rFonts w:ascii="Times New Roman" w:hAnsi="Times New Roman"/>
                      <w:color w:val="000000"/>
                      <w:szCs w:val="21"/>
                      <w:highlight w:val="none"/>
                    </w:rPr>
                    <w:t>颗粒物</w:t>
                  </w:r>
                </w:p>
              </w:tc>
              <w:tc>
                <w:tcPr>
                  <w:tcW w:w="665" w:type="pct"/>
                  <w:shd w:val="clear" w:color="auto" w:fill="auto"/>
                  <w:noWrap w:val="0"/>
                  <w:vAlign w:val="center"/>
                </w:tcPr>
                <w:p w14:paraId="3135082F">
                  <w:pPr>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0.001</w:t>
                  </w:r>
                </w:p>
              </w:tc>
              <w:tc>
                <w:tcPr>
                  <w:tcW w:w="853" w:type="pct"/>
                  <w:shd w:val="clear" w:color="auto" w:fill="auto"/>
                  <w:noWrap w:val="0"/>
                  <w:vAlign w:val="center"/>
                </w:tcPr>
                <w:p w14:paraId="780E7483">
                  <w:pPr>
                    <w:keepNext w:val="0"/>
                    <w:keepLines w:val="0"/>
                    <w:widowControl/>
                    <w:suppressLineNumbers w:val="0"/>
                    <w:jc w:val="center"/>
                    <w:textAlignment w:val="center"/>
                    <w:rPr>
                      <w:rFonts w:hint="default" w:ascii="Times New Roman" w:hAnsi="Times New Roman" w:cs="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0.0079 </w:t>
                  </w:r>
                </w:p>
              </w:tc>
              <w:tc>
                <w:tcPr>
                  <w:tcW w:w="700" w:type="pct"/>
                  <w:vMerge w:val="continue"/>
                  <w:shd w:val="clear" w:color="auto" w:fill="auto"/>
                  <w:noWrap w:val="0"/>
                  <w:vAlign w:val="center"/>
                </w:tcPr>
                <w:p w14:paraId="1CD62EA4">
                  <w:pPr>
                    <w:jc w:val="center"/>
                    <w:rPr>
                      <w:rFonts w:ascii="Times New Roman" w:hAnsi="Times New Roman"/>
                      <w:color w:val="000000"/>
                      <w:szCs w:val="21"/>
                      <w:highlight w:val="none"/>
                    </w:rPr>
                  </w:pPr>
                </w:p>
              </w:tc>
              <w:tc>
                <w:tcPr>
                  <w:tcW w:w="704" w:type="pct"/>
                  <w:shd w:val="clear" w:color="auto" w:fill="auto"/>
                  <w:noWrap w:val="0"/>
                  <w:vAlign w:val="center"/>
                </w:tcPr>
                <w:p w14:paraId="4EFEA85F">
                  <w:pPr>
                    <w:keepNext w:val="0"/>
                    <w:keepLines w:val="0"/>
                    <w:widowControl/>
                    <w:suppressLineNumbers w:val="0"/>
                    <w:jc w:val="center"/>
                    <w:textAlignment w:val="center"/>
                    <w:rPr>
                      <w:rFonts w:ascii="Times New Roman" w:hAnsi="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0.0377 </w:t>
                  </w:r>
                </w:p>
              </w:tc>
            </w:tr>
            <w:tr w14:paraId="7BF5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3" w:type="pct"/>
                  <w:vMerge w:val="continue"/>
                  <w:shd w:val="clear" w:color="auto" w:fill="auto"/>
                  <w:noWrap w:val="0"/>
                  <w:vAlign w:val="center"/>
                </w:tcPr>
                <w:p w14:paraId="6E3871CB">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427DCC1A">
                  <w:pPr>
                    <w:jc w:val="center"/>
                    <w:rPr>
                      <w:rFonts w:ascii="Times New Roman" w:hAnsi="Times New Roman"/>
                      <w:color w:val="000000"/>
                      <w:szCs w:val="21"/>
                      <w:highlight w:val="none"/>
                    </w:rPr>
                  </w:pPr>
                </w:p>
              </w:tc>
              <w:tc>
                <w:tcPr>
                  <w:tcW w:w="959" w:type="pct"/>
                  <w:shd w:val="clear" w:color="auto" w:fill="auto"/>
                  <w:noWrap w:val="0"/>
                  <w:vAlign w:val="center"/>
                </w:tcPr>
                <w:p w14:paraId="193A3127">
                  <w:pPr>
                    <w:jc w:val="center"/>
                    <w:rPr>
                      <w:rFonts w:ascii="Times New Roman" w:hAnsi="Times New Roman"/>
                      <w:color w:val="000000"/>
                      <w:szCs w:val="21"/>
                      <w:highlight w:val="none"/>
                    </w:rPr>
                  </w:pPr>
                  <w:r>
                    <w:rPr>
                      <w:rFonts w:ascii="Times New Roman" w:hAnsi="Times New Roman"/>
                      <w:color w:val="000000"/>
                      <w:szCs w:val="21"/>
                      <w:highlight w:val="none"/>
                    </w:rPr>
                    <w:t>非甲烷总烃</w:t>
                  </w:r>
                </w:p>
              </w:tc>
              <w:tc>
                <w:tcPr>
                  <w:tcW w:w="665" w:type="pct"/>
                  <w:shd w:val="clear" w:color="auto" w:fill="auto"/>
                  <w:noWrap w:val="0"/>
                  <w:vAlign w:val="center"/>
                </w:tcPr>
                <w:p w14:paraId="085965FA">
                  <w:pPr>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0.060</w:t>
                  </w:r>
                </w:p>
              </w:tc>
              <w:tc>
                <w:tcPr>
                  <w:tcW w:w="853" w:type="pct"/>
                  <w:shd w:val="clear" w:color="auto" w:fill="auto"/>
                  <w:noWrap w:val="0"/>
                  <w:vAlign w:val="center"/>
                </w:tcPr>
                <w:p w14:paraId="2BBE1B59">
                  <w:pPr>
                    <w:keepNext w:val="0"/>
                    <w:keepLines w:val="0"/>
                    <w:widowControl/>
                    <w:suppressLineNumbers w:val="0"/>
                    <w:jc w:val="center"/>
                    <w:textAlignment w:val="center"/>
                    <w:rPr>
                      <w:rFonts w:hint="default" w:ascii="Times New Roman" w:hAnsi="Times New Roman" w:cs="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0.4752 </w:t>
                  </w:r>
                </w:p>
              </w:tc>
              <w:tc>
                <w:tcPr>
                  <w:tcW w:w="700" w:type="pct"/>
                  <w:vMerge w:val="continue"/>
                  <w:shd w:val="clear" w:color="auto" w:fill="auto"/>
                  <w:noWrap w:val="0"/>
                  <w:vAlign w:val="center"/>
                </w:tcPr>
                <w:p w14:paraId="7C6A3C41">
                  <w:pPr>
                    <w:jc w:val="center"/>
                    <w:rPr>
                      <w:rFonts w:ascii="Times New Roman" w:hAnsi="Times New Roman"/>
                      <w:color w:val="000000"/>
                      <w:szCs w:val="21"/>
                      <w:highlight w:val="none"/>
                    </w:rPr>
                  </w:pPr>
                </w:p>
              </w:tc>
              <w:tc>
                <w:tcPr>
                  <w:tcW w:w="704" w:type="pct"/>
                  <w:shd w:val="clear" w:color="auto" w:fill="auto"/>
                  <w:noWrap w:val="0"/>
                  <w:vAlign w:val="center"/>
                </w:tcPr>
                <w:p w14:paraId="1B284622">
                  <w:pPr>
                    <w:keepNext w:val="0"/>
                    <w:keepLines w:val="0"/>
                    <w:widowControl/>
                    <w:suppressLineNumbers w:val="0"/>
                    <w:jc w:val="center"/>
                    <w:textAlignment w:val="center"/>
                    <w:rPr>
                      <w:rFonts w:ascii="Times New Roman" w:hAnsi="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2.2629 </w:t>
                  </w:r>
                </w:p>
              </w:tc>
            </w:tr>
            <w:tr w14:paraId="532A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3" w:type="pct"/>
                  <w:vMerge w:val="continue"/>
                  <w:shd w:val="clear" w:color="auto" w:fill="auto"/>
                  <w:noWrap w:val="0"/>
                  <w:vAlign w:val="center"/>
                </w:tcPr>
                <w:p w14:paraId="1FB4602C">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0CC41120">
                  <w:pPr>
                    <w:jc w:val="center"/>
                    <w:rPr>
                      <w:rFonts w:ascii="Times New Roman" w:hAnsi="Times New Roman"/>
                      <w:color w:val="000000"/>
                      <w:szCs w:val="21"/>
                      <w:highlight w:val="none"/>
                    </w:rPr>
                  </w:pPr>
                </w:p>
              </w:tc>
              <w:tc>
                <w:tcPr>
                  <w:tcW w:w="959" w:type="pct"/>
                  <w:shd w:val="clear" w:color="auto" w:fill="auto"/>
                  <w:noWrap w:val="0"/>
                  <w:vAlign w:val="center"/>
                </w:tcPr>
                <w:p w14:paraId="246CABF2">
                  <w:pPr>
                    <w:jc w:val="center"/>
                    <w:rPr>
                      <w:rFonts w:ascii="Times New Roman" w:hAnsi="Times New Roman"/>
                      <w:color w:val="000000"/>
                      <w:szCs w:val="21"/>
                      <w:highlight w:val="none"/>
                    </w:rPr>
                  </w:pPr>
                  <w:r>
                    <w:rPr>
                      <w:rFonts w:ascii="Times New Roman" w:hAnsi="Times New Roman"/>
                      <w:color w:val="000000"/>
                      <w:szCs w:val="21"/>
                      <w:highlight w:val="none"/>
                    </w:rPr>
                    <w:t>硫酸雾</w:t>
                  </w:r>
                </w:p>
              </w:tc>
              <w:tc>
                <w:tcPr>
                  <w:tcW w:w="665" w:type="pct"/>
                  <w:shd w:val="clear" w:color="auto" w:fill="auto"/>
                  <w:noWrap w:val="0"/>
                  <w:vAlign w:val="center"/>
                </w:tcPr>
                <w:p w14:paraId="095A02F4">
                  <w:pPr>
                    <w:jc w:val="center"/>
                    <w:rPr>
                      <w:rFonts w:hint="default" w:ascii="Times New Roman" w:hAnsi="Times New Roman" w:eastAsia="宋体"/>
                      <w:color w:val="000000"/>
                      <w:kern w:val="0"/>
                      <w:szCs w:val="21"/>
                      <w:highlight w:val="none"/>
                      <w:lang w:val="en-US" w:eastAsia="zh-CN" w:bidi="zh-HK"/>
                    </w:rPr>
                  </w:pPr>
                  <w:r>
                    <w:rPr>
                      <w:rFonts w:hint="eastAsia" w:ascii="Times New Roman" w:hAnsi="Times New Roman"/>
                      <w:color w:val="000000"/>
                      <w:kern w:val="0"/>
                      <w:szCs w:val="21"/>
                      <w:highlight w:val="none"/>
                      <w:lang w:val="en-US" w:eastAsia="zh-CN" w:bidi="zh-HK"/>
                    </w:rPr>
                    <w:t>0.003</w:t>
                  </w:r>
                </w:p>
              </w:tc>
              <w:tc>
                <w:tcPr>
                  <w:tcW w:w="853" w:type="pct"/>
                  <w:shd w:val="clear" w:color="auto" w:fill="auto"/>
                  <w:noWrap w:val="0"/>
                  <w:vAlign w:val="center"/>
                </w:tcPr>
                <w:p w14:paraId="52EAC65D">
                  <w:pPr>
                    <w:keepNext w:val="0"/>
                    <w:keepLines w:val="0"/>
                    <w:widowControl/>
                    <w:suppressLineNumbers w:val="0"/>
                    <w:jc w:val="center"/>
                    <w:textAlignment w:val="center"/>
                    <w:rPr>
                      <w:rFonts w:hint="default" w:ascii="Times New Roman" w:hAnsi="Times New Roman" w:cs="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0.0238 </w:t>
                  </w:r>
                </w:p>
              </w:tc>
              <w:tc>
                <w:tcPr>
                  <w:tcW w:w="700" w:type="pct"/>
                  <w:vMerge w:val="continue"/>
                  <w:shd w:val="clear" w:color="auto" w:fill="auto"/>
                  <w:noWrap w:val="0"/>
                  <w:vAlign w:val="center"/>
                </w:tcPr>
                <w:p w14:paraId="1C1F2979">
                  <w:pPr>
                    <w:jc w:val="center"/>
                    <w:rPr>
                      <w:rFonts w:ascii="Times New Roman" w:hAnsi="Times New Roman"/>
                      <w:color w:val="000000"/>
                      <w:szCs w:val="21"/>
                      <w:highlight w:val="none"/>
                    </w:rPr>
                  </w:pPr>
                </w:p>
              </w:tc>
              <w:tc>
                <w:tcPr>
                  <w:tcW w:w="704" w:type="pct"/>
                  <w:shd w:val="clear" w:color="auto" w:fill="auto"/>
                  <w:noWrap w:val="0"/>
                  <w:vAlign w:val="center"/>
                </w:tcPr>
                <w:p w14:paraId="1C23BEE7">
                  <w:pPr>
                    <w:keepNext w:val="0"/>
                    <w:keepLines w:val="0"/>
                    <w:widowControl/>
                    <w:suppressLineNumbers w:val="0"/>
                    <w:jc w:val="center"/>
                    <w:textAlignment w:val="center"/>
                    <w:rPr>
                      <w:rFonts w:ascii="Times New Roman" w:hAnsi="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0.1131 </w:t>
                  </w:r>
                </w:p>
              </w:tc>
            </w:tr>
            <w:tr w14:paraId="0405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3" w:type="pct"/>
                  <w:vMerge w:val="continue"/>
                  <w:shd w:val="clear" w:color="auto" w:fill="auto"/>
                  <w:noWrap w:val="0"/>
                  <w:vAlign w:val="center"/>
                </w:tcPr>
                <w:p w14:paraId="6C39FD44">
                  <w:pPr>
                    <w:jc w:val="center"/>
                    <w:rPr>
                      <w:rFonts w:ascii="Times New Roman" w:hAnsi="Times New Roman"/>
                      <w:color w:val="000000"/>
                      <w:szCs w:val="21"/>
                      <w:highlight w:val="none"/>
                    </w:rPr>
                  </w:pPr>
                </w:p>
              </w:tc>
              <w:tc>
                <w:tcPr>
                  <w:tcW w:w="854" w:type="pct"/>
                  <w:shd w:val="clear" w:color="auto" w:fill="auto"/>
                  <w:noWrap w:val="0"/>
                  <w:vAlign w:val="center"/>
                </w:tcPr>
                <w:p w14:paraId="65C340F5">
                  <w:pPr>
                    <w:jc w:val="center"/>
                    <w:rPr>
                      <w:rFonts w:ascii="Times New Roman" w:hAnsi="Times New Roman"/>
                      <w:color w:val="000000"/>
                      <w:szCs w:val="21"/>
                      <w:highlight w:val="none"/>
                    </w:rPr>
                  </w:pPr>
                  <w:r>
                    <w:rPr>
                      <w:rFonts w:ascii="Times New Roman" w:hAnsi="Times New Roman"/>
                      <w:color w:val="000000"/>
                      <w:szCs w:val="21"/>
                      <w:highlight w:val="none"/>
                    </w:rPr>
                    <w:t>工业萘人工投料、搅拌溶解废气</w:t>
                  </w:r>
                </w:p>
              </w:tc>
              <w:tc>
                <w:tcPr>
                  <w:tcW w:w="959" w:type="pct"/>
                  <w:shd w:val="clear" w:color="auto" w:fill="auto"/>
                  <w:noWrap w:val="0"/>
                  <w:vAlign w:val="center"/>
                </w:tcPr>
                <w:p w14:paraId="7D73EB16">
                  <w:pPr>
                    <w:jc w:val="center"/>
                    <w:rPr>
                      <w:rFonts w:ascii="Times New Roman" w:hAnsi="Times New Roman"/>
                      <w:color w:val="000000"/>
                      <w:szCs w:val="21"/>
                      <w:highlight w:val="none"/>
                    </w:rPr>
                  </w:pPr>
                  <w:r>
                    <w:rPr>
                      <w:rFonts w:ascii="Times New Roman" w:hAnsi="Times New Roman"/>
                      <w:color w:val="000000"/>
                      <w:szCs w:val="21"/>
                      <w:highlight w:val="none"/>
                    </w:rPr>
                    <w:t>非甲烷总烃</w:t>
                  </w:r>
                </w:p>
              </w:tc>
              <w:tc>
                <w:tcPr>
                  <w:tcW w:w="665" w:type="pct"/>
                  <w:shd w:val="clear" w:color="auto" w:fill="auto"/>
                  <w:noWrap w:val="0"/>
                  <w:vAlign w:val="center"/>
                </w:tcPr>
                <w:p w14:paraId="00523263">
                  <w:pPr>
                    <w:jc w:val="center"/>
                    <w:rPr>
                      <w:rFonts w:hint="default" w:ascii="Times New Roman" w:hAnsi="Times New Roman" w:eastAsia="宋体"/>
                      <w:color w:val="000000"/>
                      <w:kern w:val="0"/>
                      <w:szCs w:val="21"/>
                      <w:highlight w:val="none"/>
                      <w:lang w:val="en-US" w:eastAsia="zh-CN" w:bidi="zh-HK"/>
                    </w:rPr>
                  </w:pPr>
                  <w:r>
                    <w:rPr>
                      <w:rFonts w:hint="eastAsia" w:ascii="Times New Roman" w:hAnsi="Times New Roman"/>
                      <w:color w:val="000000"/>
                      <w:kern w:val="0"/>
                      <w:szCs w:val="21"/>
                      <w:highlight w:val="none"/>
                      <w:lang w:val="en-US" w:eastAsia="zh-CN" w:bidi="zh-HK"/>
                    </w:rPr>
                    <w:t xml:space="preserve"> 0.4315</w:t>
                  </w:r>
                </w:p>
              </w:tc>
              <w:tc>
                <w:tcPr>
                  <w:tcW w:w="853" w:type="pct"/>
                  <w:shd w:val="clear" w:color="auto" w:fill="auto"/>
                  <w:noWrap w:val="0"/>
                  <w:vAlign w:val="center"/>
                </w:tcPr>
                <w:p w14:paraId="520FE74D">
                  <w:pPr>
                    <w:keepNext w:val="0"/>
                    <w:keepLines w:val="0"/>
                    <w:widowControl/>
                    <w:suppressLineNumbers w:val="0"/>
                    <w:jc w:val="center"/>
                    <w:textAlignment w:val="center"/>
                    <w:rPr>
                      <w:rFonts w:hint="default" w:ascii="Times New Roman" w:hAnsi="Times New Roman" w:cs="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0.2848 </w:t>
                  </w:r>
                </w:p>
              </w:tc>
              <w:tc>
                <w:tcPr>
                  <w:tcW w:w="700" w:type="pct"/>
                  <w:shd w:val="clear" w:color="auto" w:fill="auto"/>
                  <w:noWrap w:val="0"/>
                  <w:vAlign w:val="center"/>
                </w:tcPr>
                <w:p w14:paraId="05DA99DE">
                  <w:pPr>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80</w:t>
                  </w:r>
                </w:p>
              </w:tc>
              <w:tc>
                <w:tcPr>
                  <w:tcW w:w="704" w:type="pct"/>
                  <w:shd w:val="clear" w:color="auto" w:fill="auto"/>
                  <w:noWrap w:val="0"/>
                  <w:vAlign w:val="center"/>
                </w:tcPr>
                <w:p w14:paraId="1891AC4B">
                  <w:pPr>
                    <w:keepNext w:val="0"/>
                    <w:keepLines w:val="0"/>
                    <w:widowControl/>
                    <w:suppressLineNumbers w:val="0"/>
                    <w:jc w:val="center"/>
                    <w:textAlignment w:val="center"/>
                    <w:rPr>
                      <w:rFonts w:ascii="Times New Roman" w:hAnsi="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0.3560 </w:t>
                  </w:r>
                </w:p>
              </w:tc>
            </w:tr>
            <w:tr w14:paraId="3911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63" w:type="pct"/>
                  <w:vMerge w:val="continue"/>
                  <w:shd w:val="clear" w:color="auto" w:fill="auto"/>
                  <w:noWrap w:val="0"/>
                  <w:vAlign w:val="center"/>
                </w:tcPr>
                <w:p w14:paraId="2E487E0E">
                  <w:pPr>
                    <w:jc w:val="center"/>
                    <w:rPr>
                      <w:rFonts w:ascii="Times New Roman" w:hAnsi="Times New Roman"/>
                      <w:color w:val="000000"/>
                      <w:szCs w:val="21"/>
                      <w:highlight w:val="none"/>
                    </w:rPr>
                  </w:pPr>
                </w:p>
              </w:tc>
              <w:tc>
                <w:tcPr>
                  <w:tcW w:w="854" w:type="pct"/>
                  <w:vMerge w:val="restart"/>
                  <w:shd w:val="clear" w:color="auto" w:fill="auto"/>
                  <w:noWrap w:val="0"/>
                  <w:vAlign w:val="center"/>
                </w:tcPr>
                <w:p w14:paraId="31539276">
                  <w:pPr>
                    <w:jc w:val="center"/>
                    <w:rPr>
                      <w:rFonts w:hint="eastAsia" w:ascii="Times New Roman" w:hAnsi="Times New Roman" w:eastAsia="宋体"/>
                      <w:color w:val="000000"/>
                      <w:szCs w:val="21"/>
                      <w:highlight w:val="none"/>
                      <w:lang w:eastAsia="zh-CN"/>
                    </w:rPr>
                  </w:pPr>
                  <w:r>
                    <w:rPr>
                      <w:rFonts w:hint="eastAsia" w:ascii="Times New Roman" w:hAnsi="Times New Roman" w:eastAsia="宋体" w:cs="Times New Roman"/>
                      <w:color w:val="000000"/>
                      <w:szCs w:val="21"/>
                      <w:highlight w:val="none"/>
                    </w:rPr>
                    <w:t>聚羧酸减水剂、脲醛胶生产反应釜工艺废气</w:t>
                  </w:r>
                  <w:r>
                    <w:rPr>
                      <w:rFonts w:hint="eastAsia" w:ascii="Times New Roman" w:hAnsi="Times New Roman" w:eastAsia="宋体" w:cs="Times New Roman"/>
                      <w:color w:val="000000"/>
                      <w:szCs w:val="21"/>
                      <w:highlight w:val="none"/>
                      <w:lang w:eastAsia="zh-CN"/>
                    </w:rPr>
                    <w:t>（</w:t>
                  </w:r>
                  <w:r>
                    <w:rPr>
                      <w:rFonts w:hint="eastAsia" w:ascii="Times New Roman" w:hAnsi="Times New Roman" w:eastAsia="宋体" w:cs="Times New Roman"/>
                      <w:color w:val="000000"/>
                      <w:szCs w:val="21"/>
                      <w:highlight w:val="none"/>
                      <w:lang w:val="en-US" w:eastAsia="zh-CN"/>
                    </w:rPr>
                    <w:t>DA007</w:t>
                  </w:r>
                  <w:r>
                    <w:rPr>
                      <w:rFonts w:hint="eastAsia" w:ascii="Times New Roman" w:hAnsi="Times New Roman" w:eastAsia="宋体" w:cs="Times New Roman"/>
                      <w:color w:val="000000"/>
                      <w:szCs w:val="21"/>
                      <w:highlight w:val="none"/>
                      <w:lang w:eastAsia="zh-CN"/>
                    </w:rPr>
                    <w:t>）</w:t>
                  </w:r>
                </w:p>
              </w:tc>
              <w:tc>
                <w:tcPr>
                  <w:tcW w:w="959" w:type="pct"/>
                  <w:shd w:val="clear" w:color="auto" w:fill="auto"/>
                  <w:noWrap w:val="0"/>
                  <w:vAlign w:val="center"/>
                </w:tcPr>
                <w:p w14:paraId="22F8A349">
                  <w:pPr>
                    <w:spacing w:line="0" w:lineRule="atLeast"/>
                    <w:jc w:val="center"/>
                    <w:rPr>
                      <w:rFonts w:hint="eastAsia"/>
                      <w:bCs/>
                      <w:kern w:val="2"/>
                      <w:sz w:val="21"/>
                      <w:szCs w:val="21"/>
                      <w:highlight w:val="none"/>
                      <w:lang w:val="en-US" w:eastAsia="zh-CN" w:bidi="ar-SA"/>
                    </w:rPr>
                  </w:pPr>
                  <w:r>
                    <w:rPr>
                      <w:rFonts w:hint="eastAsia"/>
                      <w:bCs/>
                      <w:szCs w:val="21"/>
                      <w:highlight w:val="none"/>
                    </w:rPr>
                    <w:t>非甲烷总烃</w:t>
                  </w:r>
                </w:p>
              </w:tc>
              <w:tc>
                <w:tcPr>
                  <w:tcW w:w="665" w:type="pct"/>
                  <w:shd w:val="clear" w:color="auto" w:fill="auto"/>
                  <w:noWrap w:val="0"/>
                  <w:vAlign w:val="center"/>
                </w:tcPr>
                <w:p w14:paraId="693F53FC">
                  <w:pPr>
                    <w:jc w:val="center"/>
                    <w:rPr>
                      <w:rFonts w:hint="eastAsia" w:ascii="Times New Roman" w:hAnsi="Times New Roman"/>
                      <w:color w:val="000000"/>
                      <w:kern w:val="0"/>
                      <w:szCs w:val="21"/>
                      <w:highlight w:val="none"/>
                      <w:lang w:val="en-US" w:eastAsia="zh-CN" w:bidi="zh-HK"/>
                    </w:rPr>
                  </w:pPr>
                  <w:r>
                    <w:rPr>
                      <w:rFonts w:hint="default" w:ascii="Times New Roman" w:hAnsi="Times New Roman" w:eastAsia="宋体" w:cs="Times New Roman"/>
                      <w:b w:val="0"/>
                      <w:bCs w:val="0"/>
                      <w:color w:val="auto"/>
                      <w:sz w:val="21"/>
                      <w:szCs w:val="21"/>
                      <w:highlight w:val="none"/>
                      <w:lang w:val="en-US" w:eastAsia="zh-CN"/>
                    </w:rPr>
                    <w:t>0.027</w:t>
                  </w:r>
                </w:p>
              </w:tc>
              <w:tc>
                <w:tcPr>
                  <w:tcW w:w="853" w:type="pct"/>
                  <w:shd w:val="clear" w:color="auto" w:fill="auto"/>
                  <w:noWrap w:val="0"/>
                  <w:vAlign w:val="center"/>
                </w:tcPr>
                <w:p w14:paraId="4A5326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0.214</w:t>
                  </w:r>
                </w:p>
              </w:tc>
              <w:tc>
                <w:tcPr>
                  <w:tcW w:w="700" w:type="pct"/>
                  <w:vMerge w:val="restart"/>
                  <w:shd w:val="clear" w:color="auto" w:fill="auto"/>
                  <w:noWrap w:val="0"/>
                  <w:vAlign w:val="center"/>
                </w:tcPr>
                <w:p w14:paraId="5D370DA4">
                  <w:pPr>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80</w:t>
                  </w:r>
                </w:p>
              </w:tc>
              <w:tc>
                <w:tcPr>
                  <w:tcW w:w="704" w:type="pct"/>
                  <w:shd w:val="clear" w:color="auto" w:fill="auto"/>
                  <w:noWrap w:val="0"/>
                  <w:vAlign w:val="center"/>
                </w:tcPr>
                <w:p w14:paraId="2DD634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0.268</w:t>
                  </w:r>
                </w:p>
              </w:tc>
            </w:tr>
            <w:tr w14:paraId="5F1B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3" w:type="pct"/>
                  <w:vMerge w:val="continue"/>
                  <w:shd w:val="clear" w:color="auto" w:fill="auto"/>
                  <w:noWrap w:val="0"/>
                  <w:vAlign w:val="center"/>
                </w:tcPr>
                <w:p w14:paraId="07BBFB88">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43581D70">
                  <w:pPr>
                    <w:jc w:val="center"/>
                    <w:rPr>
                      <w:rFonts w:hint="eastAsia" w:ascii="Times New Roman" w:hAnsi="Times New Roman" w:eastAsia="宋体" w:cs="Times New Roman"/>
                      <w:color w:val="000000"/>
                      <w:szCs w:val="21"/>
                      <w:highlight w:val="none"/>
                    </w:rPr>
                  </w:pPr>
                </w:p>
              </w:tc>
              <w:tc>
                <w:tcPr>
                  <w:tcW w:w="959" w:type="pct"/>
                  <w:shd w:val="clear" w:color="auto" w:fill="auto"/>
                  <w:noWrap w:val="0"/>
                  <w:vAlign w:val="center"/>
                </w:tcPr>
                <w:p w14:paraId="6231D092">
                  <w:pPr>
                    <w:spacing w:line="0" w:lineRule="atLeast"/>
                    <w:jc w:val="center"/>
                    <w:rPr>
                      <w:rFonts w:hint="eastAsia"/>
                      <w:bCs/>
                      <w:kern w:val="2"/>
                      <w:sz w:val="21"/>
                      <w:szCs w:val="21"/>
                      <w:highlight w:val="none"/>
                      <w:lang w:val="en-US" w:eastAsia="zh-CN" w:bidi="ar-SA"/>
                    </w:rPr>
                  </w:pPr>
                  <w:r>
                    <w:rPr>
                      <w:rFonts w:hint="eastAsia"/>
                      <w:bCs/>
                      <w:szCs w:val="21"/>
                      <w:highlight w:val="none"/>
                    </w:rPr>
                    <w:t>颗粒物</w:t>
                  </w:r>
                </w:p>
              </w:tc>
              <w:tc>
                <w:tcPr>
                  <w:tcW w:w="665" w:type="pct"/>
                  <w:shd w:val="clear" w:color="auto" w:fill="auto"/>
                  <w:noWrap w:val="0"/>
                  <w:vAlign w:val="center"/>
                </w:tcPr>
                <w:p w14:paraId="01E87A3B">
                  <w:pPr>
                    <w:jc w:val="center"/>
                    <w:rPr>
                      <w:rFonts w:hint="eastAsia" w:ascii="Times New Roman" w:hAnsi="Times New Roman"/>
                      <w:color w:val="000000"/>
                      <w:kern w:val="0"/>
                      <w:szCs w:val="21"/>
                      <w:highlight w:val="none"/>
                      <w:lang w:val="en-US" w:eastAsia="zh-CN" w:bidi="zh-HK"/>
                    </w:rPr>
                  </w:pPr>
                  <w:r>
                    <w:rPr>
                      <w:rFonts w:hint="default" w:ascii="Times New Roman" w:hAnsi="Times New Roman" w:eastAsia="宋体" w:cs="Times New Roman"/>
                      <w:b w:val="0"/>
                      <w:bCs w:val="0"/>
                      <w:color w:val="auto"/>
                      <w:sz w:val="21"/>
                      <w:szCs w:val="21"/>
                      <w:highlight w:val="none"/>
                      <w:lang w:val="en-US" w:eastAsia="zh-CN"/>
                    </w:rPr>
                    <w:t>0.002</w:t>
                  </w:r>
                </w:p>
              </w:tc>
              <w:tc>
                <w:tcPr>
                  <w:tcW w:w="853" w:type="pct"/>
                  <w:shd w:val="clear" w:color="auto" w:fill="auto"/>
                  <w:noWrap w:val="0"/>
                  <w:vAlign w:val="center"/>
                </w:tcPr>
                <w:p w14:paraId="794718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0.0158</w:t>
                  </w:r>
                </w:p>
              </w:tc>
              <w:tc>
                <w:tcPr>
                  <w:tcW w:w="700" w:type="pct"/>
                  <w:vMerge w:val="continue"/>
                  <w:shd w:val="clear" w:color="auto" w:fill="auto"/>
                  <w:noWrap w:val="0"/>
                  <w:vAlign w:val="center"/>
                </w:tcPr>
                <w:p w14:paraId="4FEA330A">
                  <w:pPr>
                    <w:jc w:val="center"/>
                    <w:rPr>
                      <w:rFonts w:hint="eastAsia" w:ascii="Times New Roman" w:hAnsi="Times New Roman"/>
                      <w:color w:val="000000"/>
                      <w:szCs w:val="21"/>
                      <w:highlight w:val="none"/>
                      <w:lang w:val="en-US" w:eastAsia="zh-CN"/>
                    </w:rPr>
                  </w:pPr>
                </w:p>
              </w:tc>
              <w:tc>
                <w:tcPr>
                  <w:tcW w:w="704" w:type="pct"/>
                  <w:shd w:val="clear" w:color="auto" w:fill="auto"/>
                  <w:noWrap w:val="0"/>
                  <w:vAlign w:val="center"/>
                </w:tcPr>
                <w:p w14:paraId="22AA29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0.0198</w:t>
                  </w:r>
                </w:p>
              </w:tc>
            </w:tr>
            <w:tr w14:paraId="3752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63" w:type="pct"/>
                  <w:vMerge w:val="continue"/>
                  <w:shd w:val="clear" w:color="auto" w:fill="auto"/>
                  <w:noWrap w:val="0"/>
                  <w:vAlign w:val="center"/>
                </w:tcPr>
                <w:p w14:paraId="7A5E72CF">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3591B96C">
                  <w:pPr>
                    <w:jc w:val="center"/>
                    <w:rPr>
                      <w:rFonts w:hint="eastAsia" w:ascii="Times New Roman" w:hAnsi="Times New Roman" w:eastAsia="宋体" w:cs="Times New Roman"/>
                      <w:color w:val="000000"/>
                      <w:szCs w:val="21"/>
                      <w:highlight w:val="none"/>
                    </w:rPr>
                  </w:pPr>
                </w:p>
              </w:tc>
              <w:tc>
                <w:tcPr>
                  <w:tcW w:w="959" w:type="pct"/>
                  <w:shd w:val="clear" w:color="auto" w:fill="auto"/>
                  <w:noWrap w:val="0"/>
                  <w:vAlign w:val="center"/>
                </w:tcPr>
                <w:p w14:paraId="14278979">
                  <w:pPr>
                    <w:spacing w:line="0" w:lineRule="atLeast"/>
                    <w:jc w:val="center"/>
                    <w:rPr>
                      <w:rFonts w:hint="eastAsia"/>
                      <w:bCs/>
                      <w:kern w:val="2"/>
                      <w:sz w:val="21"/>
                      <w:szCs w:val="21"/>
                      <w:highlight w:val="none"/>
                      <w:lang w:val="en-US" w:eastAsia="zh-CN" w:bidi="ar-SA"/>
                    </w:rPr>
                  </w:pPr>
                  <w:r>
                    <w:rPr>
                      <w:rFonts w:hint="eastAsia"/>
                      <w:bCs/>
                      <w:szCs w:val="21"/>
                      <w:highlight w:val="none"/>
                    </w:rPr>
                    <w:t>甲醛</w:t>
                  </w:r>
                </w:p>
              </w:tc>
              <w:tc>
                <w:tcPr>
                  <w:tcW w:w="665" w:type="pct"/>
                  <w:shd w:val="clear" w:color="auto" w:fill="auto"/>
                  <w:noWrap w:val="0"/>
                  <w:vAlign w:val="center"/>
                </w:tcPr>
                <w:p w14:paraId="6CDEE9D1">
                  <w:pPr>
                    <w:jc w:val="center"/>
                    <w:rPr>
                      <w:rFonts w:hint="eastAsia" w:ascii="Times New Roman" w:hAnsi="Times New Roman"/>
                      <w:color w:val="000000"/>
                      <w:kern w:val="0"/>
                      <w:szCs w:val="21"/>
                      <w:highlight w:val="none"/>
                      <w:lang w:val="en-US" w:eastAsia="zh-CN" w:bidi="zh-HK"/>
                    </w:rPr>
                  </w:pPr>
                  <w:r>
                    <w:rPr>
                      <w:rFonts w:hint="default" w:ascii="Times New Roman" w:hAnsi="Times New Roman" w:eastAsia="宋体" w:cs="Times New Roman"/>
                      <w:b w:val="0"/>
                      <w:bCs w:val="0"/>
                      <w:color w:val="auto"/>
                      <w:sz w:val="21"/>
                      <w:szCs w:val="21"/>
                      <w:highlight w:val="none"/>
                      <w:lang w:val="en-US" w:eastAsia="zh-CN"/>
                    </w:rPr>
                    <w:t>0.012</w:t>
                  </w:r>
                </w:p>
              </w:tc>
              <w:tc>
                <w:tcPr>
                  <w:tcW w:w="853" w:type="pct"/>
                  <w:shd w:val="clear" w:color="auto" w:fill="auto"/>
                  <w:noWrap w:val="0"/>
                  <w:vAlign w:val="center"/>
                </w:tcPr>
                <w:p w14:paraId="26B2C7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0.095</w:t>
                  </w:r>
                </w:p>
              </w:tc>
              <w:tc>
                <w:tcPr>
                  <w:tcW w:w="700" w:type="pct"/>
                  <w:vMerge w:val="continue"/>
                  <w:shd w:val="clear" w:color="auto" w:fill="auto"/>
                  <w:noWrap w:val="0"/>
                  <w:vAlign w:val="center"/>
                </w:tcPr>
                <w:p w14:paraId="5F2C5997">
                  <w:pPr>
                    <w:jc w:val="center"/>
                    <w:rPr>
                      <w:rFonts w:hint="eastAsia" w:ascii="Times New Roman" w:hAnsi="Times New Roman"/>
                      <w:color w:val="000000"/>
                      <w:szCs w:val="21"/>
                      <w:highlight w:val="none"/>
                      <w:lang w:val="en-US" w:eastAsia="zh-CN"/>
                    </w:rPr>
                  </w:pPr>
                </w:p>
              </w:tc>
              <w:tc>
                <w:tcPr>
                  <w:tcW w:w="704" w:type="pct"/>
                  <w:shd w:val="clear" w:color="auto" w:fill="auto"/>
                  <w:noWrap w:val="0"/>
                  <w:vAlign w:val="center"/>
                </w:tcPr>
                <w:p w14:paraId="211E1F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0.1188</w:t>
                  </w:r>
                </w:p>
              </w:tc>
            </w:tr>
            <w:tr w14:paraId="796E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vMerge w:val="continue"/>
                  <w:shd w:val="clear" w:color="auto" w:fill="auto"/>
                  <w:noWrap w:val="0"/>
                  <w:vAlign w:val="center"/>
                </w:tcPr>
                <w:p w14:paraId="587BA380">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1C226EC2">
                  <w:pPr>
                    <w:jc w:val="center"/>
                    <w:rPr>
                      <w:rFonts w:hint="eastAsia" w:ascii="Times New Roman" w:hAnsi="Times New Roman" w:eastAsia="宋体" w:cs="Times New Roman"/>
                      <w:color w:val="000000"/>
                      <w:szCs w:val="21"/>
                      <w:highlight w:val="none"/>
                    </w:rPr>
                  </w:pPr>
                </w:p>
              </w:tc>
              <w:tc>
                <w:tcPr>
                  <w:tcW w:w="959" w:type="pct"/>
                  <w:shd w:val="clear" w:color="auto" w:fill="auto"/>
                  <w:noWrap w:val="0"/>
                  <w:vAlign w:val="center"/>
                </w:tcPr>
                <w:p w14:paraId="77445936">
                  <w:pPr>
                    <w:spacing w:line="0" w:lineRule="atLeast"/>
                    <w:jc w:val="center"/>
                    <w:rPr>
                      <w:rFonts w:hint="eastAsia"/>
                      <w:bCs/>
                      <w:kern w:val="2"/>
                      <w:sz w:val="21"/>
                      <w:szCs w:val="21"/>
                      <w:highlight w:val="none"/>
                      <w:lang w:val="en-US" w:eastAsia="zh-CN" w:bidi="ar-SA"/>
                    </w:rPr>
                  </w:pPr>
                  <w:r>
                    <w:rPr>
                      <w:rFonts w:hint="eastAsia"/>
                      <w:bCs/>
                      <w:szCs w:val="21"/>
                      <w:highlight w:val="none"/>
                    </w:rPr>
                    <w:t>氨</w:t>
                  </w:r>
                </w:p>
              </w:tc>
              <w:tc>
                <w:tcPr>
                  <w:tcW w:w="665" w:type="pct"/>
                  <w:shd w:val="clear" w:color="auto" w:fill="auto"/>
                  <w:noWrap w:val="0"/>
                  <w:vAlign w:val="center"/>
                </w:tcPr>
                <w:p w14:paraId="76AB4C62">
                  <w:pPr>
                    <w:jc w:val="center"/>
                    <w:rPr>
                      <w:rFonts w:hint="eastAsia" w:ascii="Times New Roman" w:hAnsi="Times New Roman"/>
                      <w:color w:val="000000"/>
                      <w:kern w:val="0"/>
                      <w:szCs w:val="21"/>
                      <w:highlight w:val="none"/>
                      <w:lang w:val="en-US" w:eastAsia="zh-CN" w:bidi="zh-HK"/>
                    </w:rPr>
                  </w:pPr>
                  <w:r>
                    <w:rPr>
                      <w:rFonts w:hint="default" w:ascii="Times New Roman" w:hAnsi="Times New Roman" w:eastAsia="宋体" w:cs="Times New Roman"/>
                      <w:b w:val="0"/>
                      <w:bCs w:val="0"/>
                      <w:color w:val="auto"/>
                      <w:sz w:val="21"/>
                      <w:szCs w:val="21"/>
                      <w:highlight w:val="none"/>
                      <w:lang w:val="en-US" w:eastAsia="zh-CN"/>
                    </w:rPr>
                    <w:t>0.024</w:t>
                  </w:r>
                </w:p>
              </w:tc>
              <w:tc>
                <w:tcPr>
                  <w:tcW w:w="853" w:type="pct"/>
                  <w:shd w:val="clear" w:color="auto" w:fill="auto"/>
                  <w:noWrap w:val="0"/>
                  <w:vAlign w:val="center"/>
                </w:tcPr>
                <w:p w14:paraId="516D9C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0.19</w:t>
                  </w:r>
                </w:p>
              </w:tc>
              <w:tc>
                <w:tcPr>
                  <w:tcW w:w="700" w:type="pct"/>
                  <w:vMerge w:val="continue"/>
                  <w:shd w:val="clear" w:color="auto" w:fill="auto"/>
                  <w:noWrap w:val="0"/>
                  <w:vAlign w:val="center"/>
                </w:tcPr>
                <w:p w14:paraId="59BD7FE8">
                  <w:pPr>
                    <w:jc w:val="center"/>
                    <w:rPr>
                      <w:rFonts w:hint="eastAsia" w:ascii="Times New Roman" w:hAnsi="Times New Roman"/>
                      <w:color w:val="000000"/>
                      <w:szCs w:val="21"/>
                      <w:highlight w:val="none"/>
                      <w:lang w:val="en-US" w:eastAsia="zh-CN"/>
                    </w:rPr>
                  </w:pPr>
                </w:p>
              </w:tc>
              <w:tc>
                <w:tcPr>
                  <w:tcW w:w="704" w:type="pct"/>
                  <w:shd w:val="clear" w:color="auto" w:fill="auto"/>
                  <w:noWrap w:val="0"/>
                  <w:vAlign w:val="center"/>
                </w:tcPr>
                <w:p w14:paraId="484899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0.2375</w:t>
                  </w:r>
                </w:p>
              </w:tc>
            </w:tr>
            <w:tr w14:paraId="2B52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63" w:type="pct"/>
                  <w:vMerge w:val="continue"/>
                  <w:shd w:val="clear" w:color="auto" w:fill="auto"/>
                  <w:noWrap w:val="0"/>
                  <w:vAlign w:val="center"/>
                </w:tcPr>
                <w:p w14:paraId="05F8BB78">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31921F7A">
                  <w:pPr>
                    <w:jc w:val="center"/>
                    <w:rPr>
                      <w:rFonts w:hint="eastAsia" w:ascii="Times New Roman" w:hAnsi="Times New Roman" w:eastAsia="宋体" w:cs="Times New Roman"/>
                      <w:color w:val="000000"/>
                      <w:szCs w:val="21"/>
                      <w:highlight w:val="none"/>
                    </w:rPr>
                  </w:pPr>
                </w:p>
              </w:tc>
              <w:tc>
                <w:tcPr>
                  <w:tcW w:w="959" w:type="pct"/>
                  <w:shd w:val="clear" w:color="auto" w:fill="auto"/>
                  <w:noWrap w:val="0"/>
                  <w:vAlign w:val="center"/>
                </w:tcPr>
                <w:p w14:paraId="7325B4D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bCs/>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酚类化合物</w:t>
                  </w:r>
                </w:p>
              </w:tc>
              <w:tc>
                <w:tcPr>
                  <w:tcW w:w="665" w:type="pct"/>
                  <w:shd w:val="clear" w:color="auto" w:fill="auto"/>
                  <w:noWrap w:val="0"/>
                  <w:vAlign w:val="center"/>
                </w:tcPr>
                <w:p w14:paraId="36AF4868">
                  <w:pPr>
                    <w:jc w:val="center"/>
                    <w:rPr>
                      <w:rFonts w:hint="eastAsia" w:ascii="Times New Roman" w:hAnsi="Times New Roman"/>
                      <w:color w:val="000000"/>
                      <w:kern w:val="0"/>
                      <w:szCs w:val="21"/>
                      <w:highlight w:val="none"/>
                      <w:lang w:val="en-US" w:eastAsia="zh-CN" w:bidi="zh-HK"/>
                    </w:rPr>
                  </w:pPr>
                  <w:r>
                    <w:rPr>
                      <w:rFonts w:hint="default" w:ascii="Times New Roman" w:hAnsi="Times New Roman" w:eastAsia="宋体" w:cs="Times New Roman"/>
                      <w:b w:val="0"/>
                      <w:bCs w:val="0"/>
                      <w:color w:val="auto"/>
                      <w:spacing w:val="0"/>
                      <w:sz w:val="21"/>
                      <w:szCs w:val="21"/>
                      <w:highlight w:val="none"/>
                      <w:lang w:val="en-US" w:eastAsia="zh-CN"/>
                    </w:rPr>
                    <w:t>1.3</w:t>
                  </w:r>
                  <w:r>
                    <w:rPr>
                      <w:rFonts w:hint="default" w:ascii="Times New Roman" w:hAnsi="Times New Roman" w:eastAsia="宋体" w:cs="Times New Roman"/>
                      <w:color w:val="auto"/>
                      <w:spacing w:val="0"/>
                      <w:kern w:val="2"/>
                      <w:sz w:val="21"/>
                      <w:szCs w:val="21"/>
                      <w:highlight w:val="none"/>
                      <w:lang w:val="en-US" w:eastAsia="zh-CN" w:bidi="en-US"/>
                    </w:rPr>
                    <w:t>×10</w:t>
                  </w:r>
                  <w:r>
                    <w:rPr>
                      <w:rFonts w:hint="default" w:ascii="Times New Roman" w:hAnsi="Times New Roman" w:eastAsia="宋体" w:cs="Times New Roman"/>
                      <w:color w:val="auto"/>
                      <w:spacing w:val="0"/>
                      <w:kern w:val="2"/>
                      <w:sz w:val="21"/>
                      <w:szCs w:val="21"/>
                      <w:highlight w:val="none"/>
                      <w:vertAlign w:val="superscript"/>
                      <w:lang w:val="en-US" w:eastAsia="zh-CN" w:bidi="en-US"/>
                    </w:rPr>
                    <w:t>-3</w:t>
                  </w:r>
                </w:p>
              </w:tc>
              <w:tc>
                <w:tcPr>
                  <w:tcW w:w="853" w:type="pct"/>
                  <w:shd w:val="clear" w:color="auto" w:fill="auto"/>
                  <w:noWrap w:val="0"/>
                  <w:vAlign w:val="center"/>
                </w:tcPr>
                <w:p w14:paraId="7FE535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0.0103</w:t>
                  </w:r>
                </w:p>
              </w:tc>
              <w:tc>
                <w:tcPr>
                  <w:tcW w:w="700" w:type="pct"/>
                  <w:vMerge w:val="continue"/>
                  <w:shd w:val="clear" w:color="auto" w:fill="auto"/>
                  <w:noWrap w:val="0"/>
                  <w:vAlign w:val="center"/>
                </w:tcPr>
                <w:p w14:paraId="0D47CA0F">
                  <w:pPr>
                    <w:jc w:val="center"/>
                    <w:rPr>
                      <w:rFonts w:hint="eastAsia" w:ascii="Times New Roman" w:hAnsi="Times New Roman"/>
                      <w:color w:val="000000"/>
                      <w:szCs w:val="21"/>
                      <w:highlight w:val="none"/>
                      <w:lang w:val="en-US" w:eastAsia="zh-CN"/>
                    </w:rPr>
                  </w:pPr>
                </w:p>
              </w:tc>
              <w:tc>
                <w:tcPr>
                  <w:tcW w:w="704" w:type="pct"/>
                  <w:shd w:val="clear" w:color="auto" w:fill="auto"/>
                  <w:noWrap w:val="0"/>
                  <w:vAlign w:val="center"/>
                </w:tcPr>
                <w:p w14:paraId="0D9998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1.2875</w:t>
                  </w:r>
                </w:p>
              </w:tc>
            </w:tr>
            <w:tr w14:paraId="45DD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63" w:type="pct"/>
                  <w:vMerge w:val="continue"/>
                  <w:shd w:val="clear" w:color="auto" w:fill="auto"/>
                  <w:noWrap w:val="0"/>
                  <w:vAlign w:val="center"/>
                </w:tcPr>
                <w:p w14:paraId="5045B931">
                  <w:pPr>
                    <w:jc w:val="center"/>
                    <w:rPr>
                      <w:rFonts w:ascii="Times New Roman" w:hAnsi="Times New Roman"/>
                      <w:color w:val="000000"/>
                      <w:szCs w:val="21"/>
                      <w:highlight w:val="none"/>
                    </w:rPr>
                  </w:pPr>
                </w:p>
              </w:tc>
              <w:tc>
                <w:tcPr>
                  <w:tcW w:w="854" w:type="pct"/>
                  <w:vMerge w:val="restart"/>
                  <w:shd w:val="clear" w:color="auto" w:fill="auto"/>
                  <w:noWrap w:val="0"/>
                  <w:vAlign w:val="center"/>
                </w:tcPr>
                <w:p w14:paraId="0EC871B2">
                  <w:pPr>
                    <w:jc w:val="center"/>
                    <w:rPr>
                      <w:rFonts w:hint="eastAsia" w:ascii="Times New Roman" w:hAnsi="Times New Roman" w:eastAsia="宋体" w:cs="Times New Roman"/>
                      <w:color w:val="000000"/>
                      <w:szCs w:val="21"/>
                      <w:highlight w:val="none"/>
                      <w:lang w:eastAsia="zh-CN"/>
                    </w:rPr>
                  </w:pPr>
                  <w:r>
                    <w:rPr>
                      <w:rFonts w:hint="eastAsia" w:ascii="Times New Roman" w:hAnsi="Times New Roman" w:eastAsia="宋体" w:cs="Times New Roman"/>
                      <w:color w:val="000000"/>
                      <w:szCs w:val="21"/>
                      <w:highlight w:val="none"/>
                      <w:lang w:eastAsia="zh-CN"/>
                    </w:rPr>
                    <w:t>减水剂干燥废气排放口</w:t>
                  </w:r>
                </w:p>
              </w:tc>
              <w:tc>
                <w:tcPr>
                  <w:tcW w:w="959" w:type="pct"/>
                  <w:shd w:val="clear" w:color="auto" w:fill="auto"/>
                  <w:noWrap w:val="0"/>
                  <w:vAlign w:val="center"/>
                </w:tcPr>
                <w:p w14:paraId="18845C5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665" w:type="pct"/>
                  <w:shd w:val="clear" w:color="auto" w:fill="auto"/>
                  <w:noWrap w:val="0"/>
                  <w:vAlign w:val="center"/>
                </w:tcPr>
                <w:p w14:paraId="383B2310">
                  <w:pPr>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3.4</w:t>
                  </w:r>
                </w:p>
              </w:tc>
              <w:tc>
                <w:tcPr>
                  <w:tcW w:w="853" w:type="pct"/>
                  <w:shd w:val="clear" w:color="auto" w:fill="auto"/>
                  <w:noWrap w:val="0"/>
                  <w:vAlign w:val="center"/>
                </w:tcPr>
                <w:p w14:paraId="42EDA2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27.17</w:t>
                  </w:r>
                </w:p>
              </w:tc>
              <w:tc>
                <w:tcPr>
                  <w:tcW w:w="700" w:type="pct"/>
                  <w:vMerge w:val="restart"/>
                  <w:shd w:val="clear" w:color="auto" w:fill="auto"/>
                  <w:noWrap w:val="0"/>
                  <w:vAlign w:val="center"/>
                </w:tcPr>
                <w:p w14:paraId="4688C76A">
                  <w:pPr>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100</w:t>
                  </w:r>
                </w:p>
              </w:tc>
              <w:tc>
                <w:tcPr>
                  <w:tcW w:w="1152" w:type="dxa"/>
                  <w:shd w:val="clear" w:color="auto" w:fill="auto"/>
                  <w:noWrap w:val="0"/>
                  <w:vAlign w:val="center"/>
                </w:tcPr>
                <w:p w14:paraId="6A65BB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27.17</w:t>
                  </w:r>
                </w:p>
              </w:tc>
            </w:tr>
            <w:tr w14:paraId="3906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63" w:type="pct"/>
                  <w:vMerge w:val="continue"/>
                  <w:shd w:val="clear" w:color="auto" w:fill="auto"/>
                  <w:noWrap w:val="0"/>
                  <w:vAlign w:val="center"/>
                </w:tcPr>
                <w:p w14:paraId="7116AE77">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1C5483BA">
                  <w:pPr>
                    <w:jc w:val="center"/>
                    <w:rPr>
                      <w:rFonts w:hint="eastAsia" w:ascii="Times New Roman" w:hAnsi="Times New Roman" w:eastAsia="宋体" w:cs="Times New Roman"/>
                      <w:color w:val="000000"/>
                      <w:szCs w:val="21"/>
                      <w:highlight w:val="none"/>
                    </w:rPr>
                  </w:pPr>
                </w:p>
              </w:tc>
              <w:tc>
                <w:tcPr>
                  <w:tcW w:w="959" w:type="pct"/>
                  <w:shd w:val="clear" w:color="auto" w:fill="auto"/>
                  <w:noWrap w:val="0"/>
                  <w:vAlign w:val="center"/>
                </w:tcPr>
                <w:p w14:paraId="037266B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二氧化硫</w:t>
                  </w:r>
                </w:p>
              </w:tc>
              <w:tc>
                <w:tcPr>
                  <w:tcW w:w="665" w:type="pct"/>
                  <w:shd w:val="clear" w:color="auto" w:fill="auto"/>
                  <w:noWrap w:val="0"/>
                  <w:vAlign w:val="center"/>
                </w:tcPr>
                <w:p w14:paraId="6703DCA7">
                  <w:pPr>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en-US"/>
                    </w:rPr>
                    <w:t>3.31</w:t>
                  </w:r>
                </w:p>
              </w:tc>
              <w:tc>
                <w:tcPr>
                  <w:tcW w:w="853" w:type="pct"/>
                  <w:shd w:val="clear" w:color="auto" w:fill="auto"/>
                  <w:noWrap w:val="0"/>
                  <w:vAlign w:val="center"/>
                </w:tcPr>
                <w:p w14:paraId="4850E9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26.47</w:t>
                  </w:r>
                </w:p>
              </w:tc>
              <w:tc>
                <w:tcPr>
                  <w:tcW w:w="700" w:type="pct"/>
                  <w:vMerge w:val="continue"/>
                  <w:shd w:val="clear" w:color="auto" w:fill="auto"/>
                  <w:noWrap w:val="0"/>
                  <w:vAlign w:val="center"/>
                </w:tcPr>
                <w:p w14:paraId="28E7C6DE">
                  <w:pPr>
                    <w:jc w:val="center"/>
                    <w:rPr>
                      <w:rFonts w:hint="eastAsia" w:ascii="Times New Roman" w:hAnsi="Times New Roman"/>
                      <w:color w:val="000000"/>
                      <w:szCs w:val="21"/>
                      <w:highlight w:val="none"/>
                      <w:lang w:val="en-US" w:eastAsia="zh-CN"/>
                    </w:rPr>
                  </w:pPr>
                </w:p>
              </w:tc>
              <w:tc>
                <w:tcPr>
                  <w:tcW w:w="1152" w:type="dxa"/>
                  <w:shd w:val="clear" w:color="auto" w:fill="auto"/>
                  <w:noWrap w:val="0"/>
                  <w:vAlign w:val="center"/>
                </w:tcPr>
                <w:p w14:paraId="7BAA30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26.47</w:t>
                  </w:r>
                </w:p>
              </w:tc>
            </w:tr>
            <w:tr w14:paraId="69B9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63" w:type="pct"/>
                  <w:vMerge w:val="continue"/>
                  <w:shd w:val="clear" w:color="auto" w:fill="auto"/>
                  <w:noWrap w:val="0"/>
                  <w:vAlign w:val="center"/>
                </w:tcPr>
                <w:p w14:paraId="07532A4E">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55EB29FC">
                  <w:pPr>
                    <w:jc w:val="center"/>
                    <w:rPr>
                      <w:rFonts w:hint="eastAsia" w:ascii="Times New Roman" w:hAnsi="Times New Roman" w:eastAsia="宋体" w:cs="Times New Roman"/>
                      <w:color w:val="000000"/>
                      <w:szCs w:val="21"/>
                      <w:highlight w:val="none"/>
                    </w:rPr>
                  </w:pPr>
                </w:p>
              </w:tc>
              <w:tc>
                <w:tcPr>
                  <w:tcW w:w="959" w:type="pct"/>
                  <w:shd w:val="clear" w:color="auto" w:fill="auto"/>
                  <w:noWrap w:val="0"/>
                  <w:vAlign w:val="center"/>
                </w:tcPr>
                <w:p w14:paraId="6A21329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氮氧化物</w:t>
                  </w:r>
                </w:p>
              </w:tc>
              <w:tc>
                <w:tcPr>
                  <w:tcW w:w="665" w:type="pct"/>
                  <w:shd w:val="clear" w:color="auto" w:fill="auto"/>
                  <w:noWrap w:val="0"/>
                  <w:vAlign w:val="center"/>
                </w:tcPr>
                <w:p w14:paraId="6C83408C">
                  <w:pPr>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1.99</w:t>
                  </w:r>
                </w:p>
              </w:tc>
              <w:tc>
                <w:tcPr>
                  <w:tcW w:w="853" w:type="pct"/>
                  <w:shd w:val="clear" w:color="auto" w:fill="auto"/>
                  <w:noWrap w:val="0"/>
                  <w:vAlign w:val="center"/>
                </w:tcPr>
                <w:p w14:paraId="00B628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15.88</w:t>
                  </w:r>
                </w:p>
              </w:tc>
              <w:tc>
                <w:tcPr>
                  <w:tcW w:w="700" w:type="pct"/>
                  <w:vMerge w:val="continue"/>
                  <w:shd w:val="clear" w:color="auto" w:fill="auto"/>
                  <w:noWrap w:val="0"/>
                  <w:vAlign w:val="center"/>
                </w:tcPr>
                <w:p w14:paraId="43B49D95">
                  <w:pPr>
                    <w:jc w:val="center"/>
                    <w:rPr>
                      <w:rFonts w:hint="eastAsia" w:ascii="Times New Roman" w:hAnsi="Times New Roman"/>
                      <w:color w:val="000000"/>
                      <w:szCs w:val="21"/>
                      <w:highlight w:val="none"/>
                      <w:lang w:val="en-US" w:eastAsia="zh-CN"/>
                    </w:rPr>
                  </w:pPr>
                </w:p>
              </w:tc>
              <w:tc>
                <w:tcPr>
                  <w:tcW w:w="1152" w:type="dxa"/>
                  <w:shd w:val="clear" w:color="auto" w:fill="auto"/>
                  <w:noWrap w:val="0"/>
                  <w:vAlign w:val="center"/>
                </w:tcPr>
                <w:p w14:paraId="52DA91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15.88</w:t>
                  </w:r>
                </w:p>
              </w:tc>
            </w:tr>
            <w:tr w14:paraId="3EEC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63" w:type="pct"/>
                  <w:vMerge w:val="continue"/>
                  <w:shd w:val="clear" w:color="auto" w:fill="auto"/>
                  <w:noWrap w:val="0"/>
                  <w:vAlign w:val="center"/>
                </w:tcPr>
                <w:p w14:paraId="032E15CC">
                  <w:pPr>
                    <w:jc w:val="center"/>
                    <w:rPr>
                      <w:rFonts w:ascii="Times New Roman" w:hAnsi="Times New Roman"/>
                      <w:color w:val="000000"/>
                      <w:szCs w:val="21"/>
                      <w:highlight w:val="none"/>
                    </w:rPr>
                  </w:pPr>
                </w:p>
              </w:tc>
              <w:tc>
                <w:tcPr>
                  <w:tcW w:w="854" w:type="pct"/>
                  <w:vMerge w:val="continue"/>
                  <w:shd w:val="clear" w:color="auto" w:fill="auto"/>
                  <w:noWrap w:val="0"/>
                  <w:vAlign w:val="center"/>
                </w:tcPr>
                <w:p w14:paraId="76BC0991">
                  <w:pPr>
                    <w:jc w:val="center"/>
                    <w:rPr>
                      <w:rFonts w:hint="eastAsia" w:ascii="Times New Roman" w:hAnsi="Times New Roman" w:eastAsia="宋体" w:cs="Times New Roman"/>
                      <w:color w:val="000000"/>
                      <w:szCs w:val="21"/>
                      <w:highlight w:val="none"/>
                    </w:rPr>
                  </w:pPr>
                </w:p>
              </w:tc>
              <w:tc>
                <w:tcPr>
                  <w:tcW w:w="959" w:type="pct"/>
                  <w:shd w:val="clear" w:color="auto" w:fill="auto"/>
                  <w:noWrap w:val="0"/>
                  <w:vAlign w:val="center"/>
                </w:tcPr>
                <w:p w14:paraId="1EF9818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665" w:type="pct"/>
                  <w:shd w:val="clear" w:color="auto" w:fill="auto"/>
                  <w:noWrap w:val="0"/>
                  <w:vAlign w:val="center"/>
                </w:tcPr>
                <w:p w14:paraId="4D508B4F">
                  <w:pPr>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0.23</w:t>
                  </w:r>
                </w:p>
              </w:tc>
              <w:tc>
                <w:tcPr>
                  <w:tcW w:w="853" w:type="pct"/>
                  <w:shd w:val="clear" w:color="auto" w:fill="auto"/>
                  <w:noWrap w:val="0"/>
                  <w:vAlign w:val="center"/>
                </w:tcPr>
                <w:p w14:paraId="6F55FF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1.84</w:t>
                  </w:r>
                </w:p>
              </w:tc>
              <w:tc>
                <w:tcPr>
                  <w:tcW w:w="700" w:type="pct"/>
                  <w:vMerge w:val="continue"/>
                  <w:shd w:val="clear" w:color="auto" w:fill="auto"/>
                  <w:noWrap w:val="0"/>
                  <w:vAlign w:val="center"/>
                </w:tcPr>
                <w:p w14:paraId="6A53D5C3">
                  <w:pPr>
                    <w:jc w:val="center"/>
                    <w:rPr>
                      <w:rFonts w:hint="eastAsia" w:ascii="Times New Roman" w:hAnsi="Times New Roman"/>
                      <w:color w:val="000000"/>
                      <w:szCs w:val="21"/>
                      <w:highlight w:val="none"/>
                      <w:lang w:val="en-US" w:eastAsia="zh-CN"/>
                    </w:rPr>
                  </w:pPr>
                </w:p>
              </w:tc>
              <w:tc>
                <w:tcPr>
                  <w:tcW w:w="1152" w:type="dxa"/>
                  <w:shd w:val="clear" w:color="auto" w:fill="auto"/>
                  <w:noWrap w:val="0"/>
                  <w:vAlign w:val="center"/>
                </w:tcPr>
                <w:p w14:paraId="08F5C7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1.84</w:t>
                  </w:r>
                </w:p>
              </w:tc>
            </w:tr>
            <w:tr w14:paraId="217F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0" w:type="pct"/>
                  <w:gridSpan w:val="7"/>
                  <w:shd w:val="clear" w:color="auto" w:fill="auto"/>
                  <w:noWrap w:val="0"/>
                  <w:vAlign w:val="center"/>
                </w:tcPr>
                <w:p w14:paraId="01A05F6D">
                  <w:pPr>
                    <w:rPr>
                      <w:rFonts w:ascii="Times New Roman" w:hAnsi="Times New Roman"/>
                      <w:color w:val="000000"/>
                      <w:szCs w:val="21"/>
                      <w:highlight w:val="none"/>
                    </w:rPr>
                  </w:pPr>
                  <w:r>
                    <w:rPr>
                      <w:rFonts w:ascii="Times New Roman" w:hAnsi="Times New Roman"/>
                      <w:color w:val="000000"/>
                      <w:szCs w:val="21"/>
                      <w:highlight w:val="none"/>
                    </w:rPr>
                    <w:t>注：排放速率取均值</w:t>
                  </w:r>
                  <w:r>
                    <w:rPr>
                      <w:rFonts w:hint="eastAsia" w:ascii="Times New Roman" w:hAnsi="Times New Roman"/>
                      <w:color w:val="000000"/>
                      <w:szCs w:val="21"/>
                      <w:highlight w:val="none"/>
                      <w:lang w:eastAsia="zh-CN"/>
                    </w:rPr>
                    <w:t>。</w:t>
                  </w:r>
                </w:p>
              </w:tc>
            </w:tr>
          </w:tbl>
          <w:p w14:paraId="61041DEE">
            <w:pPr>
              <w:spacing w:line="360" w:lineRule="auto"/>
              <w:ind w:firstLine="480" w:firstLineChars="200"/>
              <w:rPr>
                <w:rFonts w:hint="default" w:ascii="Times New Roman" w:hAnsi="Times New Roman" w:eastAsia="宋体"/>
                <w:color w:val="000000"/>
                <w:sz w:val="24"/>
                <w:highlight w:val="none"/>
                <w:lang w:val="en-US" w:eastAsia="zh-CN" w:bidi="zh-HK"/>
              </w:rPr>
            </w:pPr>
            <w:r>
              <w:rPr>
                <w:rFonts w:hint="eastAsia" w:ascii="Times New Roman" w:hAnsi="Times New Roman"/>
                <w:color w:val="000000"/>
                <w:sz w:val="24"/>
                <w:highlight w:val="none"/>
                <w:lang w:val="en-US" w:eastAsia="zh-CN" w:bidi="zh-HK"/>
              </w:rPr>
              <w:t>③小结</w:t>
            </w:r>
          </w:p>
          <w:p w14:paraId="08AE4CC5">
            <w:pPr>
              <w:spacing w:line="360" w:lineRule="auto"/>
              <w:ind w:firstLine="480" w:firstLineChars="200"/>
              <w:rPr>
                <w:rFonts w:hint="eastAsia" w:ascii="Times New Roman" w:hAnsi="Times New Roman"/>
                <w:color w:val="000000"/>
                <w:sz w:val="24"/>
                <w:szCs w:val="21"/>
                <w:highlight w:val="none"/>
                <w:lang w:val="en-US" w:eastAsia="zh-CN" w:bidi="zh-HK"/>
              </w:rPr>
            </w:pPr>
            <w:r>
              <w:rPr>
                <w:rFonts w:hint="eastAsia" w:ascii="Times New Roman" w:hAnsi="Times New Roman"/>
                <w:color w:val="000000"/>
                <w:sz w:val="24"/>
                <w:szCs w:val="21"/>
                <w:highlight w:val="none"/>
                <w:lang w:val="en-US" w:eastAsia="zh-CN" w:bidi="zh-HK"/>
              </w:rPr>
              <w:t>折算至满负荷工况下，现有项目各排放口废气污染物排放量汇总如下：</w:t>
            </w:r>
          </w:p>
          <w:p w14:paraId="6F7ADEF4">
            <w:pPr>
              <w:jc w:val="center"/>
              <w:rPr>
                <w:rFonts w:ascii="Times New Roman" w:hAnsi="Times New Roman"/>
                <w:b w:val="0"/>
                <w:bCs w:val="0"/>
                <w:color w:val="000000"/>
                <w:sz w:val="24"/>
                <w:highlight w:val="none"/>
              </w:rPr>
            </w:pPr>
            <w:r>
              <w:rPr>
                <w:rFonts w:ascii="Times New Roman" w:hAnsi="Times New Roman"/>
                <w:b w:val="0"/>
                <w:bCs w:val="0"/>
                <w:color w:val="000000"/>
                <w:sz w:val="24"/>
                <w:highlight w:val="none"/>
              </w:rPr>
              <w:t>表2</w:t>
            </w:r>
            <w:r>
              <w:rPr>
                <w:rFonts w:hint="eastAsia" w:ascii="Times New Roman" w:hAnsi="Times New Roman"/>
                <w:b w:val="0"/>
                <w:bCs w:val="0"/>
                <w:color w:val="000000"/>
                <w:sz w:val="24"/>
                <w:highlight w:val="none"/>
              </w:rPr>
              <w:t>-1</w:t>
            </w:r>
            <w:r>
              <w:rPr>
                <w:rFonts w:hint="eastAsia" w:ascii="Times New Roman" w:hAnsi="Times New Roman"/>
                <w:b w:val="0"/>
                <w:bCs w:val="0"/>
                <w:color w:val="000000"/>
                <w:sz w:val="24"/>
                <w:highlight w:val="none"/>
                <w:lang w:val="en-US" w:eastAsia="zh-CN"/>
              </w:rPr>
              <w:t>8</w:t>
            </w:r>
            <w:r>
              <w:rPr>
                <w:rFonts w:ascii="Times New Roman" w:hAnsi="Times New Roman"/>
                <w:b w:val="0"/>
                <w:bCs w:val="0"/>
                <w:color w:val="000000"/>
                <w:sz w:val="24"/>
                <w:highlight w:val="none"/>
              </w:rPr>
              <w:t xml:space="preserve">  </w:t>
            </w:r>
            <w:r>
              <w:rPr>
                <w:rFonts w:hint="eastAsia" w:ascii="Times New Roman" w:hAnsi="Times New Roman"/>
                <w:b w:val="0"/>
                <w:bCs w:val="0"/>
                <w:color w:val="000000"/>
                <w:sz w:val="24"/>
                <w:highlight w:val="none"/>
                <w:lang w:val="en-US" w:eastAsia="zh-CN"/>
              </w:rPr>
              <w:t>现有项目各排放口废气污染物排放量</w:t>
            </w:r>
            <w:r>
              <w:rPr>
                <w:rFonts w:ascii="Times New Roman" w:hAnsi="Times New Roman"/>
                <w:b w:val="0"/>
                <w:bCs w:val="0"/>
                <w:color w:val="000000"/>
                <w:sz w:val="24"/>
                <w:highlight w:val="none"/>
              </w:rPr>
              <w:t>一览表</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3"/>
              <w:gridCol w:w="3322"/>
              <w:gridCol w:w="2072"/>
              <w:gridCol w:w="1970"/>
            </w:tblGrid>
            <w:tr w14:paraId="58F4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trPr>
              <w:tc>
                <w:tcPr>
                  <w:tcW w:w="486" w:type="pct"/>
                  <w:shd w:val="clear" w:color="auto" w:fill="auto"/>
                  <w:noWrap w:val="0"/>
                  <w:vAlign w:val="center"/>
                </w:tcPr>
                <w:p w14:paraId="316384CD">
                  <w:pPr>
                    <w:jc w:val="center"/>
                    <w:rPr>
                      <w:rFonts w:ascii="Times New Roman" w:hAnsi="Times New Roman"/>
                      <w:bCs/>
                      <w:color w:val="000000"/>
                      <w:szCs w:val="21"/>
                      <w:highlight w:val="none"/>
                    </w:rPr>
                  </w:pPr>
                  <w:r>
                    <w:rPr>
                      <w:rFonts w:ascii="Times New Roman" w:hAnsi="Times New Roman"/>
                      <w:bCs/>
                      <w:color w:val="000000"/>
                      <w:szCs w:val="21"/>
                      <w:highlight w:val="none"/>
                    </w:rPr>
                    <w:t>类别</w:t>
                  </w:r>
                </w:p>
              </w:tc>
              <w:tc>
                <w:tcPr>
                  <w:tcW w:w="2036" w:type="pct"/>
                  <w:shd w:val="clear" w:color="auto" w:fill="auto"/>
                  <w:noWrap w:val="0"/>
                  <w:vAlign w:val="center"/>
                </w:tcPr>
                <w:p w14:paraId="2A45CFB2">
                  <w:pPr>
                    <w:jc w:val="center"/>
                    <w:rPr>
                      <w:rFonts w:ascii="Times New Roman" w:hAnsi="Times New Roman"/>
                      <w:color w:val="000000"/>
                      <w:szCs w:val="21"/>
                      <w:highlight w:val="none"/>
                    </w:rPr>
                  </w:pPr>
                  <w:r>
                    <w:rPr>
                      <w:rFonts w:ascii="Times New Roman" w:hAnsi="Times New Roman"/>
                      <w:color w:val="000000"/>
                      <w:szCs w:val="21"/>
                      <w:highlight w:val="none"/>
                    </w:rPr>
                    <w:t>污染源</w:t>
                  </w:r>
                </w:p>
              </w:tc>
              <w:tc>
                <w:tcPr>
                  <w:tcW w:w="1270" w:type="pct"/>
                  <w:shd w:val="clear" w:color="auto" w:fill="auto"/>
                  <w:noWrap w:val="0"/>
                  <w:vAlign w:val="center"/>
                </w:tcPr>
                <w:p w14:paraId="406140D5">
                  <w:pPr>
                    <w:jc w:val="center"/>
                    <w:rPr>
                      <w:rFonts w:ascii="Times New Roman" w:hAnsi="Times New Roman"/>
                      <w:bCs/>
                      <w:color w:val="000000"/>
                      <w:szCs w:val="21"/>
                      <w:highlight w:val="none"/>
                    </w:rPr>
                  </w:pPr>
                  <w:r>
                    <w:rPr>
                      <w:rFonts w:ascii="Times New Roman" w:hAnsi="Times New Roman"/>
                      <w:bCs/>
                      <w:color w:val="000000"/>
                      <w:szCs w:val="21"/>
                      <w:highlight w:val="none"/>
                    </w:rPr>
                    <w:t>污染物</w:t>
                  </w:r>
                </w:p>
              </w:tc>
              <w:tc>
                <w:tcPr>
                  <w:tcW w:w="1207" w:type="pct"/>
                  <w:shd w:val="clear" w:color="auto" w:fill="auto"/>
                  <w:noWrap w:val="0"/>
                  <w:vAlign w:val="center"/>
                </w:tcPr>
                <w:p w14:paraId="0A99D34A">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污染物排放量（t/a）</w:t>
                  </w:r>
                </w:p>
              </w:tc>
            </w:tr>
            <w:tr w14:paraId="46FF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restart"/>
                  <w:shd w:val="clear" w:color="auto" w:fill="auto"/>
                  <w:noWrap w:val="0"/>
                  <w:vAlign w:val="center"/>
                </w:tcPr>
                <w:p w14:paraId="500FFDBA">
                  <w:pPr>
                    <w:jc w:val="center"/>
                    <w:rPr>
                      <w:rFonts w:ascii="Times New Roman" w:hAnsi="Times New Roman"/>
                      <w:bCs/>
                      <w:color w:val="000000"/>
                      <w:szCs w:val="21"/>
                      <w:highlight w:val="none"/>
                    </w:rPr>
                  </w:pPr>
                  <w:r>
                    <w:rPr>
                      <w:rFonts w:ascii="Times New Roman" w:hAnsi="Times New Roman"/>
                      <w:color w:val="000000"/>
                      <w:szCs w:val="21"/>
                      <w:highlight w:val="none"/>
                    </w:rPr>
                    <w:t>废气</w:t>
                  </w:r>
                </w:p>
              </w:tc>
              <w:tc>
                <w:tcPr>
                  <w:tcW w:w="2036" w:type="pct"/>
                  <w:vMerge w:val="restart"/>
                  <w:shd w:val="clear" w:color="auto" w:fill="auto"/>
                  <w:noWrap w:val="0"/>
                  <w:vAlign w:val="center"/>
                </w:tcPr>
                <w:p w14:paraId="521AEB1D">
                  <w:pPr>
                    <w:jc w:val="center"/>
                    <w:rPr>
                      <w:rFonts w:hint="eastAsia"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甲醛尾气锅炉</w:t>
                  </w:r>
                </w:p>
                <w:p w14:paraId="66EC9CC2">
                  <w:pPr>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（DA002）</w:t>
                  </w:r>
                </w:p>
              </w:tc>
              <w:tc>
                <w:tcPr>
                  <w:tcW w:w="1270" w:type="pct"/>
                  <w:shd w:val="clear" w:color="auto" w:fill="auto"/>
                  <w:noWrap w:val="0"/>
                  <w:vAlign w:val="center"/>
                </w:tcPr>
                <w:p w14:paraId="5375FFA1">
                  <w:pPr>
                    <w:jc w:val="center"/>
                    <w:rPr>
                      <w:rFonts w:hint="eastAsia" w:ascii="Times New Roman" w:hAnsi="Times New Roman"/>
                      <w:bCs/>
                      <w:color w:val="000000"/>
                      <w:szCs w:val="21"/>
                      <w:highlight w:val="none"/>
                      <w:lang w:val="en-US" w:eastAsia="zh-CN"/>
                    </w:rPr>
                  </w:pPr>
                  <w:r>
                    <w:rPr>
                      <w:rFonts w:hint="eastAsia" w:ascii="Times New Roman" w:hAnsi="Times New Roman"/>
                      <w:bCs/>
                      <w:color w:val="000000"/>
                      <w:szCs w:val="21"/>
                      <w:highlight w:val="none"/>
                      <w:lang w:val="en-US" w:eastAsia="zh-CN"/>
                    </w:rPr>
                    <w:t>氮氧化物</w:t>
                  </w:r>
                </w:p>
              </w:tc>
              <w:tc>
                <w:tcPr>
                  <w:tcW w:w="1207" w:type="pct"/>
                  <w:shd w:val="clear" w:color="auto" w:fill="auto"/>
                  <w:noWrap w:val="0"/>
                  <w:vAlign w:val="center"/>
                </w:tcPr>
                <w:p w14:paraId="7EAF0038">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0.2091</w:t>
                  </w:r>
                </w:p>
              </w:tc>
            </w:tr>
            <w:tr w14:paraId="4897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36E1942A">
                  <w:pPr>
                    <w:jc w:val="center"/>
                    <w:rPr>
                      <w:rFonts w:ascii="Times New Roman" w:hAnsi="Times New Roman"/>
                      <w:bCs/>
                      <w:color w:val="000000"/>
                      <w:szCs w:val="21"/>
                      <w:highlight w:val="none"/>
                    </w:rPr>
                  </w:pPr>
                </w:p>
              </w:tc>
              <w:tc>
                <w:tcPr>
                  <w:tcW w:w="2036" w:type="pct"/>
                  <w:vMerge w:val="continue"/>
                  <w:shd w:val="clear" w:color="auto" w:fill="auto"/>
                  <w:noWrap w:val="0"/>
                  <w:vAlign w:val="center"/>
                </w:tcPr>
                <w:p w14:paraId="22B09149">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261CBBC7">
                  <w:pPr>
                    <w:jc w:val="center"/>
                    <w:rPr>
                      <w:rFonts w:hint="eastAsia"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甲醛</w:t>
                  </w:r>
                </w:p>
              </w:tc>
              <w:tc>
                <w:tcPr>
                  <w:tcW w:w="1207" w:type="pct"/>
                  <w:shd w:val="clear" w:color="auto" w:fill="auto"/>
                  <w:noWrap w:val="0"/>
                  <w:vAlign w:val="center"/>
                </w:tcPr>
                <w:p w14:paraId="20823A6E">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0.6235</w:t>
                  </w:r>
                </w:p>
              </w:tc>
            </w:tr>
            <w:tr w14:paraId="322E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18A3C499">
                  <w:pPr>
                    <w:jc w:val="center"/>
                    <w:rPr>
                      <w:rFonts w:ascii="Times New Roman" w:hAnsi="Times New Roman"/>
                      <w:bCs/>
                      <w:color w:val="000000"/>
                      <w:szCs w:val="21"/>
                      <w:highlight w:val="none"/>
                    </w:rPr>
                  </w:pPr>
                </w:p>
              </w:tc>
              <w:tc>
                <w:tcPr>
                  <w:tcW w:w="2036" w:type="pct"/>
                  <w:vMerge w:val="continue"/>
                  <w:shd w:val="clear" w:color="auto" w:fill="auto"/>
                  <w:noWrap w:val="0"/>
                  <w:vAlign w:val="center"/>
                </w:tcPr>
                <w:p w14:paraId="2047FD2E">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1789480D">
                  <w:pPr>
                    <w:jc w:val="center"/>
                    <w:rPr>
                      <w:rFonts w:hint="eastAsia"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甲醇</w:t>
                  </w:r>
                </w:p>
              </w:tc>
              <w:tc>
                <w:tcPr>
                  <w:tcW w:w="1207" w:type="pct"/>
                  <w:shd w:val="clear" w:color="auto" w:fill="auto"/>
                  <w:noWrap w:val="0"/>
                  <w:vAlign w:val="center"/>
                </w:tcPr>
                <w:p w14:paraId="60D4D68E">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0.8234</w:t>
                  </w:r>
                </w:p>
              </w:tc>
            </w:tr>
            <w:tr w14:paraId="669B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07BDBC3B">
                  <w:pPr>
                    <w:jc w:val="center"/>
                    <w:rPr>
                      <w:rFonts w:ascii="Times New Roman" w:hAnsi="Times New Roman"/>
                      <w:bCs/>
                      <w:color w:val="000000"/>
                      <w:szCs w:val="21"/>
                      <w:highlight w:val="none"/>
                    </w:rPr>
                  </w:pPr>
                </w:p>
              </w:tc>
              <w:tc>
                <w:tcPr>
                  <w:tcW w:w="2036" w:type="pct"/>
                  <w:vMerge w:val="continue"/>
                  <w:shd w:val="clear" w:color="auto" w:fill="auto"/>
                  <w:noWrap w:val="0"/>
                  <w:vAlign w:val="center"/>
                </w:tcPr>
                <w:p w14:paraId="4366DB9D">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50B108C4">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非甲烷总烃</w:t>
                  </w:r>
                </w:p>
              </w:tc>
              <w:tc>
                <w:tcPr>
                  <w:tcW w:w="1207" w:type="pct"/>
                  <w:shd w:val="clear" w:color="auto" w:fill="auto"/>
                  <w:noWrap w:val="0"/>
                  <w:vAlign w:val="center"/>
                </w:tcPr>
                <w:p w14:paraId="1E46B581">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2.4543</w:t>
                  </w:r>
                </w:p>
              </w:tc>
            </w:tr>
            <w:tr w14:paraId="66B6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2A8D2EE3">
                  <w:pPr>
                    <w:jc w:val="center"/>
                    <w:rPr>
                      <w:rFonts w:ascii="Times New Roman" w:hAnsi="Times New Roman"/>
                      <w:bCs/>
                      <w:color w:val="000000"/>
                      <w:szCs w:val="21"/>
                      <w:highlight w:val="none"/>
                    </w:rPr>
                  </w:pPr>
                </w:p>
              </w:tc>
              <w:tc>
                <w:tcPr>
                  <w:tcW w:w="2036" w:type="pct"/>
                  <w:vMerge w:val="continue"/>
                  <w:shd w:val="clear" w:color="auto" w:fill="auto"/>
                  <w:noWrap w:val="0"/>
                  <w:vAlign w:val="center"/>
                </w:tcPr>
                <w:p w14:paraId="1E62D8BA">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7AE7D25C">
                  <w:pPr>
                    <w:jc w:val="center"/>
                    <w:rPr>
                      <w:rFonts w:hint="eastAsia"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颗粒物</w:t>
                  </w:r>
                </w:p>
              </w:tc>
              <w:tc>
                <w:tcPr>
                  <w:tcW w:w="1207" w:type="pct"/>
                  <w:shd w:val="clear" w:color="auto" w:fill="auto"/>
                  <w:noWrap w:val="0"/>
                  <w:vAlign w:val="center"/>
                </w:tcPr>
                <w:p w14:paraId="2570C91D">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0.0426</w:t>
                  </w:r>
                </w:p>
              </w:tc>
            </w:tr>
            <w:tr w14:paraId="40DB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23DF6259">
                  <w:pPr>
                    <w:jc w:val="center"/>
                    <w:rPr>
                      <w:rFonts w:ascii="Times New Roman" w:hAnsi="Times New Roman"/>
                      <w:color w:val="000000"/>
                      <w:szCs w:val="21"/>
                      <w:highlight w:val="none"/>
                    </w:rPr>
                  </w:pPr>
                </w:p>
              </w:tc>
              <w:tc>
                <w:tcPr>
                  <w:tcW w:w="2036" w:type="pct"/>
                  <w:vMerge w:val="restart"/>
                  <w:shd w:val="clear" w:color="auto" w:fill="auto"/>
                  <w:noWrap w:val="0"/>
                  <w:vAlign w:val="center"/>
                </w:tcPr>
                <w:p w14:paraId="0BE7E9B6">
                  <w:pPr>
                    <w:jc w:val="center"/>
                    <w:rPr>
                      <w:rFonts w:ascii="Times New Roman" w:hAnsi="Times New Roman"/>
                      <w:color w:val="000000"/>
                      <w:szCs w:val="21"/>
                      <w:highlight w:val="none"/>
                    </w:rPr>
                  </w:pPr>
                  <w:r>
                    <w:rPr>
                      <w:rFonts w:ascii="Times New Roman" w:hAnsi="Times New Roman"/>
                      <w:color w:val="000000"/>
                      <w:szCs w:val="21"/>
                      <w:highlight w:val="none"/>
                    </w:rPr>
                    <w:t>减水剂生产</w:t>
                  </w:r>
                </w:p>
                <w:p w14:paraId="15AA3186">
                  <w:pPr>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（DA004）</w:t>
                  </w:r>
                </w:p>
              </w:tc>
              <w:tc>
                <w:tcPr>
                  <w:tcW w:w="1270" w:type="pct"/>
                  <w:shd w:val="clear" w:color="auto" w:fill="auto"/>
                  <w:noWrap w:val="0"/>
                  <w:vAlign w:val="center"/>
                </w:tcPr>
                <w:p w14:paraId="55E0D9B4">
                  <w:pPr>
                    <w:jc w:val="center"/>
                    <w:rPr>
                      <w:rFonts w:ascii="Times New Roman" w:hAnsi="Times New Roman"/>
                      <w:color w:val="000000"/>
                      <w:szCs w:val="21"/>
                      <w:highlight w:val="none"/>
                    </w:rPr>
                  </w:pPr>
                  <w:r>
                    <w:rPr>
                      <w:rFonts w:ascii="Times New Roman" w:hAnsi="Times New Roman"/>
                      <w:color w:val="000000"/>
                      <w:szCs w:val="21"/>
                      <w:highlight w:val="none"/>
                    </w:rPr>
                    <w:t>甲醛</w:t>
                  </w:r>
                </w:p>
              </w:tc>
              <w:tc>
                <w:tcPr>
                  <w:tcW w:w="1207" w:type="pct"/>
                  <w:shd w:val="clear" w:color="auto" w:fill="auto"/>
                  <w:noWrap w:val="0"/>
                  <w:vAlign w:val="center"/>
                </w:tcPr>
                <w:p w14:paraId="72628ADC">
                  <w:pPr>
                    <w:keepNext w:val="0"/>
                    <w:keepLines w:val="0"/>
                    <w:widowControl/>
                    <w:suppressLineNumbers w:val="0"/>
                    <w:jc w:val="center"/>
                    <w:textAlignment w:val="center"/>
                    <w:rPr>
                      <w:rFonts w:hint="default" w:ascii="Times New Roman" w:hAnsi="Times New Roman" w:eastAsia="宋体"/>
                      <w:color w:val="000000"/>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0.1131 </w:t>
                  </w:r>
                </w:p>
              </w:tc>
            </w:tr>
            <w:tr w14:paraId="46F1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69989FFD">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2E10C460">
                  <w:pPr>
                    <w:jc w:val="center"/>
                    <w:rPr>
                      <w:rFonts w:ascii="Times New Roman" w:hAnsi="Times New Roman"/>
                      <w:color w:val="000000"/>
                      <w:szCs w:val="21"/>
                      <w:highlight w:val="none"/>
                    </w:rPr>
                  </w:pPr>
                </w:p>
              </w:tc>
              <w:tc>
                <w:tcPr>
                  <w:tcW w:w="1270" w:type="pct"/>
                  <w:shd w:val="clear" w:color="auto" w:fill="auto"/>
                  <w:noWrap w:val="0"/>
                  <w:vAlign w:val="center"/>
                </w:tcPr>
                <w:p w14:paraId="2AD5D2D5">
                  <w:pPr>
                    <w:jc w:val="center"/>
                    <w:rPr>
                      <w:rFonts w:ascii="Times New Roman" w:hAnsi="Times New Roman"/>
                      <w:color w:val="000000"/>
                      <w:szCs w:val="21"/>
                      <w:highlight w:val="none"/>
                    </w:rPr>
                  </w:pPr>
                  <w:r>
                    <w:rPr>
                      <w:rFonts w:ascii="Times New Roman" w:hAnsi="Times New Roman"/>
                      <w:color w:val="000000"/>
                      <w:szCs w:val="21"/>
                      <w:highlight w:val="none"/>
                    </w:rPr>
                    <w:t>颗粒物</w:t>
                  </w:r>
                </w:p>
              </w:tc>
              <w:tc>
                <w:tcPr>
                  <w:tcW w:w="1207" w:type="pct"/>
                  <w:shd w:val="clear" w:color="auto" w:fill="auto"/>
                  <w:noWrap w:val="0"/>
                  <w:vAlign w:val="center"/>
                </w:tcPr>
                <w:p w14:paraId="5E519BCD">
                  <w:pPr>
                    <w:keepNext w:val="0"/>
                    <w:keepLines w:val="0"/>
                    <w:widowControl/>
                    <w:suppressLineNumbers w:val="0"/>
                    <w:jc w:val="center"/>
                    <w:textAlignment w:val="center"/>
                    <w:rPr>
                      <w:rFonts w:hint="default" w:ascii="Times New Roman" w:hAnsi="Times New Roman" w:eastAsia="宋体"/>
                      <w:color w:val="000000"/>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0.0377 </w:t>
                  </w:r>
                </w:p>
              </w:tc>
            </w:tr>
            <w:tr w14:paraId="2E22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pct"/>
                  <w:vMerge w:val="continue"/>
                  <w:shd w:val="clear" w:color="auto" w:fill="auto"/>
                  <w:noWrap w:val="0"/>
                  <w:vAlign w:val="center"/>
                </w:tcPr>
                <w:p w14:paraId="08D319CE">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38675A1C">
                  <w:pPr>
                    <w:jc w:val="center"/>
                    <w:rPr>
                      <w:rFonts w:ascii="Times New Roman" w:hAnsi="Times New Roman"/>
                      <w:color w:val="000000"/>
                      <w:szCs w:val="21"/>
                      <w:highlight w:val="none"/>
                    </w:rPr>
                  </w:pPr>
                </w:p>
              </w:tc>
              <w:tc>
                <w:tcPr>
                  <w:tcW w:w="1270" w:type="pct"/>
                  <w:shd w:val="clear" w:color="auto" w:fill="auto"/>
                  <w:noWrap w:val="0"/>
                  <w:vAlign w:val="center"/>
                </w:tcPr>
                <w:p w14:paraId="4255A29B">
                  <w:pPr>
                    <w:jc w:val="center"/>
                    <w:rPr>
                      <w:rFonts w:ascii="Times New Roman" w:hAnsi="Times New Roman"/>
                      <w:color w:val="000000"/>
                      <w:szCs w:val="21"/>
                      <w:highlight w:val="none"/>
                    </w:rPr>
                  </w:pPr>
                  <w:r>
                    <w:rPr>
                      <w:rFonts w:ascii="Times New Roman" w:hAnsi="Times New Roman"/>
                      <w:color w:val="000000"/>
                      <w:szCs w:val="21"/>
                      <w:highlight w:val="none"/>
                    </w:rPr>
                    <w:t>非甲烷总烃</w:t>
                  </w:r>
                </w:p>
              </w:tc>
              <w:tc>
                <w:tcPr>
                  <w:tcW w:w="1207" w:type="pct"/>
                  <w:shd w:val="clear" w:color="auto" w:fill="auto"/>
                  <w:noWrap w:val="0"/>
                  <w:vAlign w:val="center"/>
                </w:tcPr>
                <w:p w14:paraId="580DB7EB">
                  <w:pPr>
                    <w:keepNext w:val="0"/>
                    <w:keepLines w:val="0"/>
                    <w:widowControl/>
                    <w:suppressLineNumbers w:val="0"/>
                    <w:jc w:val="center"/>
                    <w:textAlignment w:val="center"/>
                    <w:rPr>
                      <w:rFonts w:hint="default" w:ascii="Times New Roman" w:hAnsi="Times New Roman" w:eastAsia="宋体"/>
                      <w:color w:val="000000"/>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2.2629 </w:t>
                  </w:r>
                </w:p>
              </w:tc>
            </w:tr>
            <w:tr w14:paraId="245C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28E3D937">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1DE75EC0">
                  <w:pPr>
                    <w:jc w:val="center"/>
                    <w:rPr>
                      <w:rFonts w:ascii="Times New Roman" w:hAnsi="Times New Roman"/>
                      <w:color w:val="000000"/>
                      <w:szCs w:val="21"/>
                      <w:highlight w:val="none"/>
                    </w:rPr>
                  </w:pPr>
                </w:p>
              </w:tc>
              <w:tc>
                <w:tcPr>
                  <w:tcW w:w="1270" w:type="pct"/>
                  <w:shd w:val="clear" w:color="auto" w:fill="auto"/>
                  <w:noWrap w:val="0"/>
                  <w:vAlign w:val="center"/>
                </w:tcPr>
                <w:p w14:paraId="79B51857">
                  <w:pPr>
                    <w:jc w:val="center"/>
                    <w:rPr>
                      <w:rFonts w:ascii="Times New Roman" w:hAnsi="Times New Roman"/>
                      <w:color w:val="000000"/>
                      <w:szCs w:val="21"/>
                      <w:highlight w:val="none"/>
                    </w:rPr>
                  </w:pPr>
                  <w:r>
                    <w:rPr>
                      <w:rFonts w:ascii="Times New Roman" w:hAnsi="Times New Roman"/>
                      <w:color w:val="000000"/>
                      <w:szCs w:val="21"/>
                      <w:highlight w:val="none"/>
                    </w:rPr>
                    <w:t>硫酸雾</w:t>
                  </w:r>
                </w:p>
              </w:tc>
              <w:tc>
                <w:tcPr>
                  <w:tcW w:w="1207" w:type="pct"/>
                  <w:shd w:val="clear" w:color="auto" w:fill="auto"/>
                  <w:noWrap w:val="0"/>
                  <w:vAlign w:val="center"/>
                </w:tcPr>
                <w:p w14:paraId="51D8EC92">
                  <w:pPr>
                    <w:keepNext w:val="0"/>
                    <w:keepLines w:val="0"/>
                    <w:widowControl/>
                    <w:suppressLineNumbers w:val="0"/>
                    <w:jc w:val="center"/>
                    <w:textAlignment w:val="center"/>
                    <w:rPr>
                      <w:rFonts w:hint="default" w:ascii="Times New Roman" w:hAnsi="Times New Roman" w:eastAsia="宋体"/>
                      <w:color w:val="000000"/>
                      <w:kern w:val="0"/>
                      <w:szCs w:val="21"/>
                      <w:highlight w:val="none"/>
                      <w:lang w:val="en-US" w:eastAsia="zh-CN" w:bidi="zh-HK"/>
                    </w:rPr>
                  </w:pPr>
                  <w:r>
                    <w:rPr>
                      <w:rFonts w:hint="default" w:ascii="Times New Roman" w:hAnsi="Times New Roman" w:eastAsia="宋体" w:cs="Times New Roman"/>
                      <w:i w:val="0"/>
                      <w:iCs w:val="0"/>
                      <w:color w:val="000000"/>
                      <w:kern w:val="0"/>
                      <w:sz w:val="21"/>
                      <w:szCs w:val="21"/>
                      <w:highlight w:val="none"/>
                      <w:u w:val="none"/>
                      <w:lang w:val="en-US" w:eastAsia="zh-CN" w:bidi="zh-HK"/>
                    </w:rPr>
                    <w:t xml:space="preserve">0.1131 </w:t>
                  </w:r>
                </w:p>
              </w:tc>
            </w:tr>
            <w:tr w14:paraId="46E6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499F1785">
                  <w:pPr>
                    <w:jc w:val="center"/>
                    <w:rPr>
                      <w:rFonts w:ascii="Times New Roman" w:hAnsi="Times New Roman"/>
                      <w:color w:val="000000"/>
                      <w:szCs w:val="21"/>
                      <w:highlight w:val="none"/>
                    </w:rPr>
                  </w:pPr>
                </w:p>
              </w:tc>
              <w:tc>
                <w:tcPr>
                  <w:tcW w:w="2036" w:type="pct"/>
                  <w:shd w:val="clear" w:color="auto" w:fill="auto"/>
                  <w:noWrap w:val="0"/>
                  <w:vAlign w:val="center"/>
                </w:tcPr>
                <w:p w14:paraId="27D72625">
                  <w:pPr>
                    <w:jc w:val="center"/>
                    <w:rPr>
                      <w:rFonts w:ascii="Times New Roman" w:hAnsi="Times New Roman"/>
                      <w:color w:val="000000"/>
                      <w:szCs w:val="21"/>
                      <w:highlight w:val="none"/>
                    </w:rPr>
                  </w:pPr>
                  <w:r>
                    <w:rPr>
                      <w:rFonts w:ascii="Times New Roman" w:hAnsi="Times New Roman"/>
                      <w:color w:val="000000"/>
                      <w:szCs w:val="21"/>
                      <w:highlight w:val="none"/>
                    </w:rPr>
                    <w:t>工业萘人工投料、搅拌溶解废气</w:t>
                  </w:r>
                </w:p>
                <w:p w14:paraId="149AF965">
                  <w:pPr>
                    <w:jc w:val="center"/>
                    <w:rPr>
                      <w:rFonts w:hint="eastAsia" w:ascii="Times New Roman" w:hAnsi="Times New Roman" w:eastAsia="宋体"/>
                      <w:color w:val="000000"/>
                      <w:szCs w:val="21"/>
                      <w:highlight w:val="none"/>
                      <w:lang w:eastAsia="zh-CN"/>
                    </w:rPr>
                  </w:pPr>
                  <w:r>
                    <w:rPr>
                      <w:rFonts w:hint="eastAsia" w:ascii="Times New Roman" w:hAnsi="Times New Roman"/>
                      <w:color w:val="000000"/>
                      <w:szCs w:val="21"/>
                      <w:highlight w:val="none"/>
                      <w:lang w:val="en-US" w:eastAsia="zh-CN"/>
                    </w:rPr>
                    <w:t>（DA003）</w:t>
                  </w:r>
                </w:p>
              </w:tc>
              <w:tc>
                <w:tcPr>
                  <w:tcW w:w="1270" w:type="pct"/>
                  <w:shd w:val="clear" w:color="auto" w:fill="auto"/>
                  <w:noWrap w:val="0"/>
                  <w:vAlign w:val="center"/>
                </w:tcPr>
                <w:p w14:paraId="42400C98">
                  <w:pPr>
                    <w:jc w:val="center"/>
                    <w:rPr>
                      <w:rFonts w:ascii="Times New Roman" w:hAnsi="Times New Roman"/>
                      <w:color w:val="000000"/>
                      <w:szCs w:val="21"/>
                      <w:highlight w:val="none"/>
                    </w:rPr>
                  </w:pPr>
                  <w:r>
                    <w:rPr>
                      <w:rFonts w:ascii="Times New Roman" w:hAnsi="Times New Roman"/>
                      <w:color w:val="000000"/>
                      <w:szCs w:val="21"/>
                      <w:highlight w:val="none"/>
                    </w:rPr>
                    <w:t>非甲烷总烃</w:t>
                  </w:r>
                </w:p>
              </w:tc>
              <w:tc>
                <w:tcPr>
                  <w:tcW w:w="1207" w:type="pct"/>
                  <w:shd w:val="clear" w:color="auto" w:fill="auto"/>
                  <w:noWrap w:val="0"/>
                  <w:vAlign w:val="center"/>
                </w:tcPr>
                <w:p w14:paraId="2D1E363B">
                  <w:pPr>
                    <w:jc w:val="center"/>
                    <w:rPr>
                      <w:rFonts w:hint="default" w:ascii="Times New Roman" w:hAnsi="Times New Roman" w:eastAsia="宋体"/>
                      <w:color w:val="000000"/>
                      <w:kern w:val="0"/>
                      <w:szCs w:val="21"/>
                      <w:highlight w:val="none"/>
                      <w:lang w:val="en-US" w:eastAsia="zh-CN" w:bidi="zh-HK"/>
                    </w:rPr>
                  </w:pPr>
                  <w:r>
                    <w:rPr>
                      <w:rFonts w:hint="default" w:ascii="Times New Roman" w:hAnsi="Times New Roman" w:eastAsia="宋体" w:cs="Times New Roman"/>
                      <w:i w:val="0"/>
                      <w:iCs w:val="0"/>
                      <w:color w:val="000000"/>
                      <w:kern w:val="0"/>
                      <w:sz w:val="21"/>
                      <w:szCs w:val="21"/>
                      <w:highlight w:val="none"/>
                      <w:u w:val="none"/>
                      <w:lang w:val="en-US" w:eastAsia="zh-CN" w:bidi="zh-HK"/>
                    </w:rPr>
                    <w:t>0.3560</w:t>
                  </w:r>
                </w:p>
              </w:tc>
            </w:tr>
            <w:tr w14:paraId="5598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50229D8D">
                  <w:pPr>
                    <w:jc w:val="center"/>
                    <w:rPr>
                      <w:rFonts w:ascii="Times New Roman" w:hAnsi="Times New Roman"/>
                      <w:color w:val="000000"/>
                      <w:szCs w:val="21"/>
                      <w:highlight w:val="none"/>
                    </w:rPr>
                  </w:pPr>
                </w:p>
              </w:tc>
              <w:tc>
                <w:tcPr>
                  <w:tcW w:w="2036" w:type="pct"/>
                  <w:vMerge w:val="restart"/>
                  <w:shd w:val="clear" w:color="auto" w:fill="auto"/>
                  <w:noWrap w:val="0"/>
                  <w:vAlign w:val="center"/>
                </w:tcPr>
                <w:p w14:paraId="0E92340F">
                  <w:pPr>
                    <w:jc w:val="center"/>
                    <w:rPr>
                      <w:rFonts w:hint="eastAsia" w:ascii="Times New Roman" w:hAnsi="Times New Roman" w:eastAsia="宋体"/>
                      <w:color w:val="000000"/>
                      <w:szCs w:val="21"/>
                      <w:highlight w:val="none"/>
                      <w:lang w:val="en-US" w:eastAsia="zh-CN"/>
                    </w:rPr>
                  </w:pPr>
                  <w:r>
                    <w:rPr>
                      <w:rFonts w:hint="eastAsia" w:ascii="Times New Roman" w:hAnsi="Times New Roman" w:eastAsia="宋体" w:cs="Times New Roman"/>
                      <w:color w:val="000000"/>
                      <w:szCs w:val="21"/>
                      <w:highlight w:val="none"/>
                    </w:rPr>
                    <w:t>聚羧酸减水剂、脲醛胶生产反应釜工艺废气</w:t>
                  </w:r>
                  <w:r>
                    <w:rPr>
                      <w:rFonts w:hint="eastAsia" w:ascii="Times New Roman" w:hAnsi="Times New Roman" w:eastAsia="宋体" w:cs="Times New Roman"/>
                      <w:color w:val="000000"/>
                      <w:szCs w:val="21"/>
                      <w:highlight w:val="none"/>
                      <w:lang w:eastAsia="zh-CN"/>
                    </w:rPr>
                    <w:t>（</w:t>
                  </w:r>
                  <w:r>
                    <w:rPr>
                      <w:rFonts w:hint="eastAsia" w:ascii="Times New Roman" w:hAnsi="Times New Roman" w:eastAsia="宋体" w:cs="Times New Roman"/>
                      <w:color w:val="000000"/>
                      <w:szCs w:val="21"/>
                      <w:highlight w:val="none"/>
                      <w:lang w:val="en-US" w:eastAsia="zh-CN"/>
                    </w:rPr>
                    <w:t>DA007</w:t>
                  </w:r>
                  <w:r>
                    <w:rPr>
                      <w:rFonts w:hint="eastAsia" w:ascii="Times New Roman" w:hAnsi="Times New Roman" w:eastAsia="宋体" w:cs="Times New Roman"/>
                      <w:color w:val="000000"/>
                      <w:szCs w:val="21"/>
                      <w:highlight w:val="none"/>
                      <w:lang w:eastAsia="zh-CN"/>
                    </w:rPr>
                    <w:t>）</w:t>
                  </w:r>
                </w:p>
              </w:tc>
              <w:tc>
                <w:tcPr>
                  <w:tcW w:w="1270" w:type="pct"/>
                  <w:shd w:val="clear" w:color="auto" w:fill="auto"/>
                  <w:noWrap w:val="0"/>
                  <w:vAlign w:val="center"/>
                </w:tcPr>
                <w:p w14:paraId="2A99BD06">
                  <w:pPr>
                    <w:spacing w:line="0" w:lineRule="atLeast"/>
                    <w:jc w:val="center"/>
                    <w:rPr>
                      <w:rFonts w:hint="eastAsia"/>
                      <w:bCs/>
                      <w:kern w:val="2"/>
                      <w:sz w:val="21"/>
                      <w:szCs w:val="21"/>
                      <w:highlight w:val="none"/>
                      <w:lang w:val="en-US" w:eastAsia="zh-CN" w:bidi="ar-SA"/>
                    </w:rPr>
                  </w:pPr>
                  <w:r>
                    <w:rPr>
                      <w:rFonts w:hint="eastAsia"/>
                      <w:bCs/>
                      <w:szCs w:val="21"/>
                      <w:highlight w:val="none"/>
                    </w:rPr>
                    <w:t>非甲烷总烃</w:t>
                  </w:r>
                </w:p>
              </w:tc>
              <w:tc>
                <w:tcPr>
                  <w:tcW w:w="1207" w:type="pct"/>
                  <w:shd w:val="clear" w:color="auto" w:fill="auto"/>
                  <w:noWrap w:val="0"/>
                  <w:vAlign w:val="center"/>
                </w:tcPr>
                <w:p w14:paraId="7F4512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0.268</w:t>
                  </w:r>
                </w:p>
              </w:tc>
            </w:tr>
            <w:tr w14:paraId="5405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3757F62C">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7A2D3BB2">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2658DF02">
                  <w:pPr>
                    <w:spacing w:line="0" w:lineRule="atLeast"/>
                    <w:jc w:val="center"/>
                    <w:rPr>
                      <w:rFonts w:hint="eastAsia"/>
                      <w:bCs/>
                      <w:kern w:val="2"/>
                      <w:sz w:val="21"/>
                      <w:szCs w:val="21"/>
                      <w:highlight w:val="none"/>
                      <w:lang w:val="en-US" w:eastAsia="zh-CN" w:bidi="ar-SA"/>
                    </w:rPr>
                  </w:pPr>
                  <w:r>
                    <w:rPr>
                      <w:rFonts w:hint="eastAsia"/>
                      <w:bCs/>
                      <w:szCs w:val="21"/>
                      <w:highlight w:val="none"/>
                    </w:rPr>
                    <w:t>颗粒物</w:t>
                  </w:r>
                </w:p>
              </w:tc>
              <w:tc>
                <w:tcPr>
                  <w:tcW w:w="1207" w:type="pct"/>
                  <w:shd w:val="clear" w:color="auto" w:fill="auto"/>
                  <w:noWrap w:val="0"/>
                  <w:vAlign w:val="center"/>
                </w:tcPr>
                <w:p w14:paraId="21B9772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0.0198</w:t>
                  </w:r>
                </w:p>
              </w:tc>
            </w:tr>
            <w:tr w14:paraId="588A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55C5B4A2">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3BFD5965">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426C7F9E">
                  <w:pPr>
                    <w:spacing w:line="0" w:lineRule="atLeast"/>
                    <w:jc w:val="center"/>
                    <w:rPr>
                      <w:rFonts w:hint="eastAsia"/>
                      <w:bCs/>
                      <w:kern w:val="2"/>
                      <w:sz w:val="21"/>
                      <w:szCs w:val="21"/>
                      <w:highlight w:val="none"/>
                      <w:lang w:val="en-US" w:eastAsia="zh-CN" w:bidi="ar-SA"/>
                    </w:rPr>
                  </w:pPr>
                  <w:r>
                    <w:rPr>
                      <w:rFonts w:hint="eastAsia"/>
                      <w:bCs/>
                      <w:szCs w:val="21"/>
                      <w:highlight w:val="none"/>
                    </w:rPr>
                    <w:t>甲醛</w:t>
                  </w:r>
                </w:p>
              </w:tc>
              <w:tc>
                <w:tcPr>
                  <w:tcW w:w="1207" w:type="pct"/>
                  <w:shd w:val="clear" w:color="auto" w:fill="auto"/>
                  <w:noWrap w:val="0"/>
                  <w:vAlign w:val="center"/>
                </w:tcPr>
                <w:p w14:paraId="544389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0.1188</w:t>
                  </w:r>
                </w:p>
              </w:tc>
            </w:tr>
            <w:tr w14:paraId="18C5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0BFAED17">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636BC3B9">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0C4DC226">
                  <w:pPr>
                    <w:spacing w:line="0" w:lineRule="atLeast"/>
                    <w:jc w:val="center"/>
                    <w:rPr>
                      <w:rFonts w:hint="eastAsia"/>
                      <w:bCs/>
                      <w:kern w:val="2"/>
                      <w:sz w:val="21"/>
                      <w:szCs w:val="21"/>
                      <w:highlight w:val="none"/>
                      <w:lang w:val="en-US" w:eastAsia="zh-CN" w:bidi="ar-SA"/>
                    </w:rPr>
                  </w:pPr>
                  <w:r>
                    <w:rPr>
                      <w:rFonts w:hint="eastAsia"/>
                      <w:bCs/>
                      <w:szCs w:val="21"/>
                      <w:highlight w:val="none"/>
                    </w:rPr>
                    <w:t>氨</w:t>
                  </w:r>
                </w:p>
              </w:tc>
              <w:tc>
                <w:tcPr>
                  <w:tcW w:w="1207" w:type="pct"/>
                  <w:shd w:val="clear" w:color="auto" w:fill="auto"/>
                  <w:noWrap w:val="0"/>
                  <w:vAlign w:val="center"/>
                </w:tcPr>
                <w:p w14:paraId="250D6A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0.2375</w:t>
                  </w:r>
                </w:p>
              </w:tc>
            </w:tr>
            <w:tr w14:paraId="6C78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268B5CE6">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55C23A83">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286B369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bCs/>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酚类化合物</w:t>
                  </w:r>
                </w:p>
              </w:tc>
              <w:tc>
                <w:tcPr>
                  <w:tcW w:w="1207" w:type="pct"/>
                  <w:shd w:val="clear" w:color="auto" w:fill="auto"/>
                  <w:noWrap w:val="0"/>
                  <w:vAlign w:val="center"/>
                </w:tcPr>
                <w:p w14:paraId="52AF5AF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1.2875</w:t>
                  </w:r>
                </w:p>
              </w:tc>
            </w:tr>
            <w:tr w14:paraId="145C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541642AE">
                  <w:pPr>
                    <w:jc w:val="center"/>
                    <w:rPr>
                      <w:rFonts w:ascii="Times New Roman" w:hAnsi="Times New Roman"/>
                      <w:color w:val="000000"/>
                      <w:szCs w:val="21"/>
                      <w:highlight w:val="none"/>
                    </w:rPr>
                  </w:pPr>
                </w:p>
              </w:tc>
              <w:tc>
                <w:tcPr>
                  <w:tcW w:w="2036" w:type="pct"/>
                  <w:vMerge w:val="restart"/>
                  <w:shd w:val="clear" w:color="auto" w:fill="auto"/>
                  <w:noWrap w:val="0"/>
                  <w:vAlign w:val="center"/>
                </w:tcPr>
                <w:p w14:paraId="32E1A8DA">
                  <w:pPr>
                    <w:jc w:val="center"/>
                    <w:rPr>
                      <w:rFonts w:hint="eastAsia" w:ascii="Times New Roman" w:hAnsi="Times New Roman"/>
                      <w:color w:val="000000"/>
                      <w:szCs w:val="21"/>
                      <w:highlight w:val="none"/>
                      <w:lang w:val="en-US" w:eastAsia="zh-CN"/>
                    </w:rPr>
                  </w:pPr>
                  <w:r>
                    <w:rPr>
                      <w:rFonts w:hint="eastAsia" w:ascii="Times New Roman" w:hAnsi="Times New Roman" w:eastAsia="宋体" w:cs="Times New Roman"/>
                      <w:color w:val="000000"/>
                      <w:szCs w:val="21"/>
                      <w:highlight w:val="none"/>
                      <w:lang w:eastAsia="zh-CN"/>
                    </w:rPr>
                    <w:t>减水剂干燥废气排放口</w:t>
                  </w:r>
                </w:p>
              </w:tc>
              <w:tc>
                <w:tcPr>
                  <w:tcW w:w="1270" w:type="pct"/>
                  <w:shd w:val="clear" w:color="auto" w:fill="auto"/>
                  <w:noWrap w:val="0"/>
                  <w:vAlign w:val="center"/>
                </w:tcPr>
                <w:p w14:paraId="6919EE2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970" w:type="dxa"/>
                  <w:shd w:val="clear" w:color="auto" w:fill="auto"/>
                  <w:noWrap w:val="0"/>
                  <w:vAlign w:val="center"/>
                </w:tcPr>
                <w:p w14:paraId="77245B1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27.17</w:t>
                  </w:r>
                </w:p>
              </w:tc>
            </w:tr>
            <w:tr w14:paraId="0AE6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510B24F5">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20F4CB2F">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2554479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二氧化硫</w:t>
                  </w:r>
                </w:p>
              </w:tc>
              <w:tc>
                <w:tcPr>
                  <w:tcW w:w="1970" w:type="dxa"/>
                  <w:shd w:val="clear" w:color="auto" w:fill="auto"/>
                  <w:noWrap w:val="0"/>
                  <w:vAlign w:val="center"/>
                </w:tcPr>
                <w:p w14:paraId="67D857D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26.47</w:t>
                  </w:r>
                </w:p>
              </w:tc>
            </w:tr>
            <w:tr w14:paraId="3D15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7FED33B7">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775DD6D6">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1C7332B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氮氧化物</w:t>
                  </w:r>
                </w:p>
              </w:tc>
              <w:tc>
                <w:tcPr>
                  <w:tcW w:w="1970" w:type="dxa"/>
                  <w:shd w:val="clear" w:color="auto" w:fill="auto"/>
                  <w:noWrap w:val="0"/>
                  <w:vAlign w:val="center"/>
                </w:tcPr>
                <w:p w14:paraId="2DE58B5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15.88</w:t>
                  </w:r>
                </w:p>
              </w:tc>
            </w:tr>
            <w:tr w14:paraId="34A8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shd w:val="clear" w:color="auto" w:fill="auto"/>
                  <w:noWrap w:val="0"/>
                  <w:vAlign w:val="center"/>
                </w:tcPr>
                <w:p w14:paraId="091F2B62">
                  <w:pPr>
                    <w:jc w:val="center"/>
                    <w:rPr>
                      <w:rFonts w:ascii="Times New Roman" w:hAnsi="Times New Roman"/>
                      <w:color w:val="000000"/>
                      <w:szCs w:val="21"/>
                      <w:highlight w:val="none"/>
                    </w:rPr>
                  </w:pPr>
                </w:p>
              </w:tc>
              <w:tc>
                <w:tcPr>
                  <w:tcW w:w="2036" w:type="pct"/>
                  <w:vMerge w:val="continue"/>
                  <w:shd w:val="clear" w:color="auto" w:fill="auto"/>
                  <w:noWrap w:val="0"/>
                  <w:vAlign w:val="center"/>
                </w:tcPr>
                <w:p w14:paraId="5CAB53E1">
                  <w:pPr>
                    <w:jc w:val="center"/>
                    <w:rPr>
                      <w:rFonts w:hint="eastAsia" w:ascii="Times New Roman" w:hAnsi="Times New Roman"/>
                      <w:color w:val="000000"/>
                      <w:szCs w:val="21"/>
                      <w:highlight w:val="none"/>
                      <w:lang w:val="en-US" w:eastAsia="zh-CN"/>
                    </w:rPr>
                  </w:pPr>
                </w:p>
              </w:tc>
              <w:tc>
                <w:tcPr>
                  <w:tcW w:w="1270" w:type="pct"/>
                  <w:shd w:val="clear" w:color="auto" w:fill="auto"/>
                  <w:noWrap w:val="0"/>
                  <w:vAlign w:val="center"/>
                </w:tcPr>
                <w:p w14:paraId="26A9DD6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非甲烷总烃</w:t>
                  </w:r>
                </w:p>
              </w:tc>
              <w:tc>
                <w:tcPr>
                  <w:tcW w:w="1970" w:type="dxa"/>
                  <w:shd w:val="clear" w:color="auto" w:fill="auto"/>
                  <w:noWrap w:val="0"/>
                  <w:vAlign w:val="center"/>
                </w:tcPr>
                <w:p w14:paraId="0395C7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1.84</w:t>
                  </w:r>
                </w:p>
              </w:tc>
            </w:tr>
            <w:tr w14:paraId="2BDF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restart"/>
                  <w:shd w:val="clear" w:color="auto" w:fill="auto"/>
                  <w:noWrap w:val="0"/>
                  <w:vAlign w:val="center"/>
                </w:tcPr>
                <w:p w14:paraId="1E8F7964">
                  <w:pPr>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总计</w:t>
                  </w:r>
                </w:p>
              </w:tc>
              <w:tc>
                <w:tcPr>
                  <w:tcW w:w="1270" w:type="pct"/>
                  <w:shd w:val="clear" w:color="auto" w:fill="auto"/>
                  <w:noWrap w:val="0"/>
                  <w:vAlign w:val="center"/>
                </w:tcPr>
                <w:p w14:paraId="27F57A54">
                  <w:pPr>
                    <w:jc w:val="center"/>
                    <w:rPr>
                      <w:rFonts w:hint="eastAsia"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甲醇</w:t>
                  </w:r>
                </w:p>
              </w:tc>
              <w:tc>
                <w:tcPr>
                  <w:tcW w:w="1207" w:type="pct"/>
                  <w:shd w:val="clear" w:color="auto" w:fill="auto"/>
                  <w:noWrap w:val="0"/>
                  <w:vAlign w:val="center"/>
                </w:tcPr>
                <w:p w14:paraId="78E8ABA0">
                  <w:pPr>
                    <w:jc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default" w:ascii="Times New Roman" w:hAnsi="Times New Roman" w:eastAsia="宋体" w:cs="Times New Roman"/>
                      <w:i w:val="0"/>
                      <w:iCs w:val="0"/>
                      <w:color w:val="000000"/>
                      <w:kern w:val="0"/>
                      <w:sz w:val="21"/>
                      <w:szCs w:val="21"/>
                      <w:highlight w:val="none"/>
                      <w:u w:val="none"/>
                      <w:lang w:val="en-US" w:eastAsia="zh-CN" w:bidi="zh-HK"/>
                    </w:rPr>
                    <w:t>0.8234</w:t>
                  </w:r>
                </w:p>
              </w:tc>
            </w:tr>
            <w:tr w14:paraId="70ED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4A61544E">
                  <w:pPr>
                    <w:jc w:val="center"/>
                    <w:rPr>
                      <w:rFonts w:ascii="Times New Roman" w:hAnsi="Times New Roman"/>
                      <w:color w:val="000000"/>
                      <w:szCs w:val="21"/>
                      <w:highlight w:val="none"/>
                    </w:rPr>
                  </w:pPr>
                </w:p>
              </w:tc>
              <w:tc>
                <w:tcPr>
                  <w:tcW w:w="1270" w:type="pct"/>
                  <w:shd w:val="clear" w:color="auto" w:fill="auto"/>
                  <w:noWrap w:val="0"/>
                  <w:vAlign w:val="center"/>
                </w:tcPr>
                <w:p w14:paraId="2BCF6BCF">
                  <w:pPr>
                    <w:jc w:val="center"/>
                    <w:rPr>
                      <w:rFonts w:hint="eastAsia"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甲醛</w:t>
                  </w:r>
                </w:p>
              </w:tc>
              <w:tc>
                <w:tcPr>
                  <w:tcW w:w="1207" w:type="pct"/>
                  <w:shd w:val="clear" w:color="auto" w:fill="auto"/>
                  <w:noWrap w:val="0"/>
                  <w:vAlign w:val="center"/>
                </w:tcPr>
                <w:p w14:paraId="6D7D5FE1">
                  <w:pPr>
                    <w:jc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0.8554</w:t>
                  </w:r>
                </w:p>
              </w:tc>
            </w:tr>
            <w:tr w14:paraId="3F4C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3E4DDD34">
                  <w:pPr>
                    <w:jc w:val="center"/>
                    <w:rPr>
                      <w:rFonts w:ascii="Times New Roman" w:hAnsi="Times New Roman"/>
                      <w:color w:val="000000"/>
                      <w:szCs w:val="21"/>
                      <w:highlight w:val="none"/>
                    </w:rPr>
                  </w:pPr>
                </w:p>
              </w:tc>
              <w:tc>
                <w:tcPr>
                  <w:tcW w:w="1270" w:type="pct"/>
                  <w:shd w:val="clear" w:color="auto" w:fill="auto"/>
                  <w:noWrap w:val="0"/>
                  <w:vAlign w:val="center"/>
                </w:tcPr>
                <w:p w14:paraId="58390728">
                  <w:pPr>
                    <w:jc w:val="center"/>
                    <w:rPr>
                      <w:rFonts w:hint="eastAsia"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氮氧化物</w:t>
                  </w:r>
                </w:p>
              </w:tc>
              <w:tc>
                <w:tcPr>
                  <w:tcW w:w="1207" w:type="pct"/>
                  <w:shd w:val="clear" w:color="auto" w:fill="auto"/>
                  <w:noWrap w:val="0"/>
                  <w:vAlign w:val="center"/>
                </w:tcPr>
                <w:p w14:paraId="165CFA7D">
                  <w:pPr>
                    <w:jc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16.09</w:t>
                  </w:r>
                </w:p>
              </w:tc>
            </w:tr>
            <w:tr w14:paraId="67D4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7695F32E">
                  <w:pPr>
                    <w:jc w:val="center"/>
                    <w:rPr>
                      <w:rFonts w:ascii="Times New Roman" w:hAnsi="Times New Roman"/>
                      <w:color w:val="000000"/>
                      <w:szCs w:val="21"/>
                      <w:highlight w:val="none"/>
                    </w:rPr>
                  </w:pPr>
                </w:p>
              </w:tc>
              <w:tc>
                <w:tcPr>
                  <w:tcW w:w="1270" w:type="pct"/>
                  <w:shd w:val="clear" w:color="auto" w:fill="auto"/>
                  <w:noWrap w:val="0"/>
                  <w:vAlign w:val="center"/>
                </w:tcPr>
                <w:p w14:paraId="79744ECA">
                  <w:pPr>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非甲烷总烃</w:t>
                  </w:r>
                </w:p>
              </w:tc>
              <w:tc>
                <w:tcPr>
                  <w:tcW w:w="1207" w:type="pct"/>
                  <w:shd w:val="clear" w:color="auto" w:fill="auto"/>
                  <w:noWrap w:val="0"/>
                  <w:vAlign w:val="center"/>
                </w:tcPr>
                <w:p w14:paraId="0320D9B4">
                  <w:pPr>
                    <w:jc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7.18</w:t>
                  </w:r>
                </w:p>
              </w:tc>
            </w:tr>
            <w:tr w14:paraId="02C3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5A6A6922">
                  <w:pPr>
                    <w:jc w:val="center"/>
                    <w:rPr>
                      <w:rFonts w:ascii="Times New Roman" w:hAnsi="Times New Roman"/>
                      <w:color w:val="000000"/>
                      <w:szCs w:val="21"/>
                      <w:highlight w:val="none"/>
                    </w:rPr>
                  </w:pPr>
                </w:p>
              </w:tc>
              <w:tc>
                <w:tcPr>
                  <w:tcW w:w="1270" w:type="pct"/>
                  <w:shd w:val="clear" w:color="auto" w:fill="auto"/>
                  <w:noWrap w:val="0"/>
                  <w:vAlign w:val="center"/>
                </w:tcPr>
                <w:p w14:paraId="5913EBD7">
                  <w:pPr>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颗粒物</w:t>
                  </w:r>
                </w:p>
              </w:tc>
              <w:tc>
                <w:tcPr>
                  <w:tcW w:w="1207" w:type="pct"/>
                  <w:shd w:val="clear" w:color="auto" w:fill="auto"/>
                  <w:noWrap w:val="0"/>
                  <w:vAlign w:val="center"/>
                </w:tcPr>
                <w:p w14:paraId="07E92082">
                  <w:pPr>
                    <w:jc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27.27</w:t>
                  </w:r>
                </w:p>
              </w:tc>
            </w:tr>
            <w:tr w14:paraId="3F28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21800A2B">
                  <w:pPr>
                    <w:jc w:val="center"/>
                    <w:rPr>
                      <w:rFonts w:ascii="Times New Roman" w:hAnsi="Times New Roman"/>
                      <w:color w:val="000000"/>
                      <w:szCs w:val="21"/>
                      <w:highlight w:val="none"/>
                    </w:rPr>
                  </w:pPr>
                </w:p>
              </w:tc>
              <w:tc>
                <w:tcPr>
                  <w:tcW w:w="1270" w:type="pct"/>
                  <w:shd w:val="clear" w:color="auto" w:fill="auto"/>
                  <w:noWrap w:val="0"/>
                  <w:vAlign w:val="center"/>
                </w:tcPr>
                <w:p w14:paraId="636249FB">
                  <w:pPr>
                    <w:spacing w:line="0" w:lineRule="atLeast"/>
                    <w:jc w:val="center"/>
                    <w:rPr>
                      <w:rFonts w:hint="eastAsia" w:ascii="Times New Roman" w:hAnsi="Times New Roman"/>
                      <w:color w:val="000000"/>
                      <w:szCs w:val="21"/>
                      <w:highlight w:val="none"/>
                      <w:lang w:val="en-US" w:eastAsia="zh-CN"/>
                    </w:rPr>
                  </w:pPr>
                  <w:r>
                    <w:rPr>
                      <w:rFonts w:hint="eastAsia"/>
                      <w:bCs/>
                      <w:szCs w:val="21"/>
                      <w:highlight w:val="none"/>
                    </w:rPr>
                    <w:t>氨</w:t>
                  </w:r>
                </w:p>
              </w:tc>
              <w:tc>
                <w:tcPr>
                  <w:tcW w:w="1207" w:type="pct"/>
                  <w:shd w:val="clear" w:color="auto" w:fill="auto"/>
                  <w:noWrap w:val="0"/>
                  <w:vAlign w:val="center"/>
                </w:tcPr>
                <w:p w14:paraId="165F1D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0.2375</w:t>
                  </w:r>
                </w:p>
              </w:tc>
            </w:tr>
            <w:tr w14:paraId="4C98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2486FB56">
                  <w:pPr>
                    <w:jc w:val="center"/>
                    <w:rPr>
                      <w:rFonts w:ascii="Times New Roman" w:hAnsi="Times New Roman"/>
                      <w:color w:val="000000"/>
                      <w:szCs w:val="21"/>
                      <w:highlight w:val="none"/>
                    </w:rPr>
                  </w:pPr>
                </w:p>
              </w:tc>
              <w:tc>
                <w:tcPr>
                  <w:tcW w:w="1270" w:type="pct"/>
                  <w:shd w:val="clear" w:color="auto" w:fill="auto"/>
                  <w:noWrap w:val="0"/>
                  <w:vAlign w:val="center"/>
                </w:tcPr>
                <w:p w14:paraId="021BD57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color w:val="000000"/>
                      <w:szCs w:val="21"/>
                      <w:highlight w:val="none"/>
                      <w:lang w:val="en-US" w:eastAsia="zh-CN"/>
                    </w:rPr>
                  </w:pPr>
                  <w:r>
                    <w:rPr>
                      <w:rFonts w:hint="default" w:ascii="Times New Roman" w:hAnsi="Times New Roman" w:eastAsia="宋体" w:cs="Times New Roman"/>
                      <w:color w:val="auto"/>
                      <w:sz w:val="21"/>
                      <w:szCs w:val="21"/>
                      <w:highlight w:val="none"/>
                      <w:lang w:val="en-US" w:eastAsia="zh-CN"/>
                    </w:rPr>
                    <w:t>酚类化合物</w:t>
                  </w:r>
                </w:p>
              </w:tc>
              <w:tc>
                <w:tcPr>
                  <w:tcW w:w="1207" w:type="pct"/>
                  <w:shd w:val="clear" w:color="auto" w:fill="auto"/>
                  <w:noWrap w:val="0"/>
                  <w:vAlign w:val="center"/>
                </w:tcPr>
                <w:p w14:paraId="5996CD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1.2875</w:t>
                  </w:r>
                </w:p>
              </w:tc>
            </w:tr>
            <w:tr w14:paraId="1CE2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510BC5C2">
                  <w:pPr>
                    <w:jc w:val="center"/>
                    <w:rPr>
                      <w:rFonts w:ascii="Times New Roman" w:hAnsi="Times New Roman"/>
                      <w:color w:val="000000"/>
                      <w:szCs w:val="21"/>
                      <w:highlight w:val="none"/>
                    </w:rPr>
                  </w:pPr>
                </w:p>
              </w:tc>
              <w:tc>
                <w:tcPr>
                  <w:tcW w:w="1270" w:type="pct"/>
                  <w:shd w:val="clear" w:color="auto" w:fill="auto"/>
                  <w:noWrap w:val="0"/>
                  <w:vAlign w:val="center"/>
                </w:tcPr>
                <w:p w14:paraId="77C4BBA7">
                  <w:pPr>
                    <w:jc w:val="center"/>
                    <w:rPr>
                      <w:rFonts w:hint="eastAsia" w:ascii="Times New Roman" w:hAnsi="Times New Roman" w:eastAsia="宋体"/>
                      <w:color w:val="000000"/>
                      <w:kern w:val="2"/>
                      <w:sz w:val="21"/>
                      <w:szCs w:val="21"/>
                      <w:highlight w:val="none"/>
                      <w:lang w:val="en-US" w:eastAsia="zh-CN" w:bidi="ar-SA"/>
                    </w:rPr>
                  </w:pPr>
                  <w:r>
                    <w:rPr>
                      <w:rFonts w:hint="eastAsia" w:ascii="Times New Roman" w:hAnsi="Times New Roman"/>
                      <w:color w:val="000000"/>
                      <w:szCs w:val="21"/>
                      <w:highlight w:val="none"/>
                      <w:lang w:val="en-US" w:eastAsia="zh-CN"/>
                    </w:rPr>
                    <w:t>硫酸雾</w:t>
                  </w:r>
                </w:p>
              </w:tc>
              <w:tc>
                <w:tcPr>
                  <w:tcW w:w="1207" w:type="pct"/>
                  <w:shd w:val="clear" w:color="auto" w:fill="auto"/>
                  <w:noWrap w:val="0"/>
                  <w:vAlign w:val="center"/>
                </w:tcPr>
                <w:p w14:paraId="56FBF427">
                  <w:pPr>
                    <w:jc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0.1131</w:t>
                  </w:r>
                </w:p>
              </w:tc>
            </w:tr>
            <w:tr w14:paraId="3941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pct"/>
                  <w:gridSpan w:val="2"/>
                  <w:vMerge w:val="continue"/>
                  <w:shd w:val="clear" w:color="auto" w:fill="auto"/>
                  <w:noWrap w:val="0"/>
                  <w:vAlign w:val="center"/>
                </w:tcPr>
                <w:p w14:paraId="6240B7A5">
                  <w:pPr>
                    <w:jc w:val="center"/>
                    <w:rPr>
                      <w:rFonts w:ascii="Times New Roman" w:hAnsi="Times New Roman"/>
                      <w:color w:val="000000"/>
                      <w:szCs w:val="21"/>
                      <w:highlight w:val="none"/>
                    </w:rPr>
                  </w:pPr>
                </w:p>
              </w:tc>
              <w:tc>
                <w:tcPr>
                  <w:tcW w:w="1270" w:type="pct"/>
                  <w:shd w:val="clear" w:color="auto" w:fill="auto"/>
                  <w:noWrap w:val="0"/>
                  <w:vAlign w:val="center"/>
                </w:tcPr>
                <w:p w14:paraId="7EA18E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二氧化硫</w:t>
                  </w:r>
                </w:p>
              </w:tc>
              <w:tc>
                <w:tcPr>
                  <w:tcW w:w="1207" w:type="pct"/>
                  <w:shd w:val="clear" w:color="auto" w:fill="auto"/>
                  <w:noWrap w:val="0"/>
                  <w:vAlign w:val="center"/>
                </w:tcPr>
                <w:p w14:paraId="60E4504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26.47</w:t>
                  </w:r>
                </w:p>
              </w:tc>
            </w:tr>
          </w:tbl>
          <w:p w14:paraId="251BBFA2">
            <w:pPr>
              <w:spacing w:line="360" w:lineRule="auto"/>
              <w:ind w:left="0" w:leftChars="0" w:firstLine="0" w:firstLineChars="0"/>
              <w:rPr>
                <w:rFonts w:hint="default" w:ascii="Times New Roman" w:hAnsi="Times New Roman" w:eastAsia="宋体"/>
                <w:color w:val="000000"/>
                <w:sz w:val="21"/>
                <w:szCs w:val="21"/>
                <w:highlight w:val="none"/>
                <w:lang w:val="en-US" w:eastAsia="zh-CN" w:bidi="zh-HK"/>
              </w:rPr>
            </w:pPr>
            <w:r>
              <w:rPr>
                <w:rFonts w:hint="eastAsia" w:ascii="Times New Roman" w:hAnsi="Times New Roman"/>
                <w:color w:val="000000"/>
                <w:sz w:val="21"/>
                <w:szCs w:val="21"/>
                <w:highlight w:val="none"/>
                <w:lang w:val="en-US" w:eastAsia="zh-CN" w:bidi="zh-HK"/>
              </w:rPr>
              <w:t>备注：物料装卸（DA001）排放口污染物排放量计入甲醛尾气锅炉（DA002）排放口。</w:t>
            </w:r>
          </w:p>
          <w:p w14:paraId="7AB3B487">
            <w:pPr>
              <w:spacing w:line="360" w:lineRule="auto"/>
              <w:ind w:firstLine="480" w:firstLineChars="200"/>
              <w:rPr>
                <w:rFonts w:ascii="Times New Roman" w:hAnsi="Times New Roman"/>
                <w:color w:val="000000"/>
                <w:sz w:val="24"/>
                <w:szCs w:val="21"/>
                <w:highlight w:val="none"/>
              </w:rPr>
            </w:pPr>
            <w:r>
              <w:rPr>
                <w:rFonts w:ascii="Times New Roman" w:hAnsi="Times New Roman"/>
                <w:color w:val="000000"/>
                <w:sz w:val="24"/>
                <w:highlight w:val="none"/>
                <w:lang w:bidi="zh-HK"/>
              </w:rPr>
              <w:t>（2）</w:t>
            </w:r>
            <w:r>
              <w:rPr>
                <w:rFonts w:ascii="Times New Roman" w:hAnsi="Times New Roman"/>
                <w:color w:val="000000"/>
                <w:sz w:val="24"/>
                <w:szCs w:val="21"/>
                <w:highlight w:val="none"/>
                <w:lang w:bidi="zh-HK"/>
              </w:rPr>
              <w:t>废水</w:t>
            </w:r>
          </w:p>
          <w:p w14:paraId="50E3AEE0">
            <w:pPr>
              <w:spacing w:line="360" w:lineRule="auto"/>
              <w:ind w:firstLine="480" w:firstLineChars="200"/>
              <w:rPr>
                <w:rFonts w:ascii="Times New Roman" w:hAnsi="Times New Roman"/>
                <w:color w:val="000000"/>
                <w:sz w:val="24"/>
                <w:highlight w:val="none"/>
              </w:rPr>
            </w:pPr>
            <w:r>
              <w:rPr>
                <w:rFonts w:ascii="Times New Roman" w:hAnsi="Times New Roman"/>
                <w:color w:val="000000"/>
                <w:sz w:val="24"/>
                <w:highlight w:val="none"/>
              </w:rPr>
              <w:t>现有项目废水主要为生活污水、设备清洗废水、车间地面冲洗废水、水喷淋塔定期更换废水、检验废水。生活污水经化粪池处理达标后排入园区污水管网，经园区污水处理厂处理达标后排入千河。设备清洗水全部回用于各自产品生产工艺，不外排。水喷淋塔定期更换废水全部回用至脲醛胶反应釜作为生产工艺用水，不外排。车间地面冲洗废水经沉淀处理后回用至现有工程</w:t>
            </w:r>
            <w:r>
              <w:rPr>
                <w:rFonts w:hint="eastAsia" w:ascii="Times New Roman" w:hAnsi="Times New Roman"/>
                <w:color w:val="000000"/>
                <w:sz w:val="24"/>
                <w:highlight w:val="none"/>
              </w:rPr>
              <w:t>萘</w:t>
            </w:r>
            <w:r>
              <w:rPr>
                <w:rFonts w:ascii="Times New Roman" w:hAnsi="Times New Roman"/>
                <w:color w:val="000000"/>
                <w:sz w:val="24"/>
                <w:highlight w:val="none"/>
              </w:rPr>
              <w:t>系减水剂生产线利用，不外排。检验废水收集作为生产工艺调胶补充水。</w:t>
            </w:r>
          </w:p>
          <w:p w14:paraId="3AB2A896">
            <w:pPr>
              <w:pStyle w:val="24"/>
              <w:spacing w:after="0" w:line="360" w:lineRule="auto"/>
              <w:ind w:left="0" w:leftChars="0" w:firstLine="480" w:firstLineChars="200"/>
              <w:rPr>
                <w:rFonts w:ascii="Times New Roman" w:hAnsi="Times New Roman"/>
                <w:color w:val="000000"/>
                <w:sz w:val="24"/>
                <w:highlight w:val="none"/>
                <w:lang w:val="en-US" w:eastAsia="zh-CN" w:bidi="zh-HK"/>
              </w:rPr>
            </w:pPr>
            <w:r>
              <w:rPr>
                <w:rFonts w:hint="eastAsia" w:ascii="Times New Roman" w:hAnsi="Times New Roman"/>
                <w:color w:val="000000"/>
                <w:sz w:val="24"/>
                <w:highlight w:val="none"/>
                <w:lang w:val="en-US" w:eastAsia="zh-CN" w:bidi="zh-HK"/>
              </w:rPr>
              <w:t>根据现有项目水表统计，</w:t>
            </w:r>
            <w:r>
              <w:rPr>
                <w:rFonts w:ascii="Times New Roman" w:hAnsi="Times New Roman"/>
                <w:bCs/>
                <w:color w:val="000000"/>
                <w:sz w:val="24"/>
                <w:highlight w:val="none"/>
                <w:lang w:val="en-US" w:eastAsia="zh-CN" w:bidi="zh-HK"/>
              </w:rPr>
              <w:t>本项目生活用水量</w:t>
            </w:r>
            <w:r>
              <w:rPr>
                <w:rFonts w:hint="eastAsia" w:ascii="Times New Roman" w:hAnsi="Times New Roman"/>
                <w:bCs/>
                <w:color w:val="000000"/>
                <w:sz w:val="24"/>
                <w:highlight w:val="none"/>
                <w:lang w:val="en-US" w:eastAsia="zh-CN" w:bidi="zh-HK"/>
              </w:rPr>
              <w:t>约</w:t>
            </w:r>
            <w:r>
              <w:rPr>
                <w:rFonts w:ascii="Times New Roman" w:hAnsi="Times New Roman"/>
                <w:bCs/>
                <w:color w:val="000000"/>
                <w:sz w:val="24"/>
                <w:highlight w:val="none"/>
                <w:lang w:val="en-US" w:eastAsia="zh-CN" w:bidi="zh-HK"/>
              </w:rPr>
              <w:t>为</w:t>
            </w:r>
            <w:r>
              <w:rPr>
                <w:rFonts w:ascii="Times New Roman" w:hAnsi="Times New Roman"/>
                <w:color w:val="000000"/>
                <w:sz w:val="24"/>
                <w:highlight w:val="none"/>
                <w:lang w:val="en-US" w:eastAsia="zh-CN"/>
              </w:rPr>
              <w:t>15</w:t>
            </w:r>
            <w:r>
              <w:rPr>
                <w:rFonts w:ascii="Times New Roman" w:hAnsi="Times New Roman"/>
                <w:bCs/>
                <w:color w:val="000000"/>
                <w:sz w:val="24"/>
                <w:highlight w:val="none"/>
                <w:lang w:val="en-US" w:eastAsia="zh-CN"/>
              </w:rPr>
              <w:t>m</w:t>
            </w:r>
            <w:r>
              <w:rPr>
                <w:rFonts w:ascii="Times New Roman" w:hAnsi="Times New Roman"/>
                <w:bCs/>
                <w:color w:val="000000"/>
                <w:sz w:val="24"/>
                <w:highlight w:val="none"/>
                <w:vertAlign w:val="superscript"/>
                <w:lang w:val="en-US" w:eastAsia="zh-CN"/>
              </w:rPr>
              <w:t>3</w:t>
            </w:r>
            <w:r>
              <w:rPr>
                <w:rFonts w:ascii="Times New Roman" w:hAnsi="Times New Roman"/>
                <w:bCs/>
                <w:color w:val="000000"/>
                <w:sz w:val="24"/>
                <w:highlight w:val="none"/>
                <w:lang w:val="en-US" w:eastAsia="zh-CN"/>
              </w:rPr>
              <w:t>/d（495</w:t>
            </w:r>
            <w:r>
              <w:rPr>
                <w:rFonts w:ascii="Times New Roman" w:hAnsi="Times New Roman"/>
                <w:color w:val="000000"/>
                <w:sz w:val="24"/>
                <w:highlight w:val="none"/>
                <w:lang w:val="en-US" w:eastAsia="zh-CN"/>
              </w:rPr>
              <w:t>0</w:t>
            </w:r>
            <w:r>
              <w:rPr>
                <w:rFonts w:ascii="Times New Roman" w:hAnsi="Times New Roman"/>
                <w:bCs/>
                <w:color w:val="000000"/>
                <w:sz w:val="24"/>
                <w:highlight w:val="none"/>
                <w:lang w:val="en-US" w:eastAsia="zh-CN"/>
              </w:rPr>
              <w:t>m</w:t>
            </w:r>
            <w:r>
              <w:rPr>
                <w:rFonts w:ascii="Times New Roman" w:hAnsi="Times New Roman"/>
                <w:bCs/>
                <w:color w:val="000000"/>
                <w:sz w:val="24"/>
                <w:highlight w:val="none"/>
                <w:vertAlign w:val="superscript"/>
                <w:lang w:val="en-US" w:eastAsia="zh-CN"/>
              </w:rPr>
              <w:t>3</w:t>
            </w:r>
            <w:r>
              <w:rPr>
                <w:rFonts w:ascii="Times New Roman" w:hAnsi="Times New Roman"/>
                <w:bCs/>
                <w:color w:val="000000"/>
                <w:sz w:val="24"/>
                <w:highlight w:val="none"/>
                <w:lang w:val="en-US" w:eastAsia="zh-CN"/>
              </w:rPr>
              <w:t>/a）</w:t>
            </w:r>
            <w:r>
              <w:rPr>
                <w:rFonts w:ascii="Times New Roman" w:hAnsi="Times New Roman"/>
                <w:bCs/>
                <w:color w:val="000000"/>
                <w:sz w:val="24"/>
                <w:highlight w:val="none"/>
                <w:lang w:val="en-US" w:eastAsia="zh-CN" w:bidi="zh-HK"/>
              </w:rPr>
              <w:t>。</w:t>
            </w:r>
            <w:r>
              <w:rPr>
                <w:rFonts w:ascii="Times New Roman" w:hAnsi="Times New Roman"/>
                <w:color w:val="000000"/>
                <w:sz w:val="24"/>
                <w:highlight w:val="none"/>
                <w:lang w:val="en-US" w:eastAsia="zh-CN"/>
              </w:rPr>
              <w:t>现有项目产生的外排废水主要为员工生活污水，</w:t>
            </w:r>
            <w:r>
              <w:rPr>
                <w:rFonts w:ascii="Times New Roman" w:hAnsi="Times New Roman"/>
                <w:color w:val="000000"/>
                <w:sz w:val="24"/>
                <w:highlight w:val="none"/>
                <w:lang w:val="en-US" w:eastAsia="zh-CN" w:bidi="zh-HK"/>
              </w:rPr>
              <w:t>排污系数以0.8计，则生活污水排放量约为</w:t>
            </w:r>
            <w:r>
              <w:rPr>
                <w:rFonts w:ascii="Times New Roman" w:hAnsi="Times New Roman"/>
                <w:color w:val="000000"/>
                <w:sz w:val="24"/>
                <w:highlight w:val="none"/>
                <w:lang w:val="en-US" w:eastAsia="zh-CN"/>
              </w:rPr>
              <w:t>12</w:t>
            </w:r>
            <w:r>
              <w:rPr>
                <w:rFonts w:ascii="Times New Roman" w:hAnsi="Times New Roman"/>
                <w:bCs/>
                <w:color w:val="000000"/>
                <w:sz w:val="24"/>
                <w:highlight w:val="none"/>
                <w:lang w:val="en-US" w:eastAsia="zh-CN"/>
              </w:rPr>
              <w:t>m</w:t>
            </w:r>
            <w:r>
              <w:rPr>
                <w:rFonts w:ascii="Times New Roman" w:hAnsi="Times New Roman"/>
                <w:bCs/>
                <w:color w:val="000000"/>
                <w:sz w:val="24"/>
                <w:highlight w:val="none"/>
                <w:vertAlign w:val="superscript"/>
                <w:lang w:val="en-US" w:eastAsia="zh-CN"/>
              </w:rPr>
              <w:t>3</w:t>
            </w:r>
            <w:r>
              <w:rPr>
                <w:rFonts w:ascii="Times New Roman" w:hAnsi="Times New Roman"/>
                <w:bCs/>
                <w:color w:val="000000"/>
                <w:sz w:val="24"/>
                <w:highlight w:val="none"/>
                <w:lang w:val="en-US" w:eastAsia="zh-CN"/>
              </w:rPr>
              <w:t>/d（</w:t>
            </w:r>
            <w:r>
              <w:rPr>
                <w:rFonts w:ascii="Times New Roman" w:hAnsi="Times New Roman"/>
                <w:bCs/>
                <w:color w:val="000000"/>
                <w:sz w:val="24"/>
                <w:highlight w:val="none"/>
                <w:lang w:val="en-US" w:eastAsia="zh-CN" w:bidi="zh-HK"/>
              </w:rPr>
              <w:t>3860</w:t>
            </w:r>
            <w:r>
              <w:rPr>
                <w:rFonts w:ascii="Times New Roman" w:hAnsi="Times New Roman"/>
                <w:color w:val="000000"/>
                <w:sz w:val="24"/>
                <w:highlight w:val="none"/>
                <w:lang w:val="en-US" w:eastAsia="zh-CN" w:bidi="zh-HK"/>
              </w:rPr>
              <w:t>m</w:t>
            </w:r>
            <w:r>
              <w:rPr>
                <w:rFonts w:ascii="Times New Roman" w:hAnsi="Times New Roman"/>
                <w:color w:val="000000"/>
                <w:sz w:val="24"/>
                <w:highlight w:val="none"/>
                <w:vertAlign w:val="superscript"/>
                <w:lang w:val="en-US" w:eastAsia="zh-CN" w:bidi="zh-HK"/>
              </w:rPr>
              <w:t>3</w:t>
            </w:r>
            <w:r>
              <w:rPr>
                <w:rFonts w:ascii="Times New Roman" w:hAnsi="Times New Roman"/>
                <w:color w:val="000000"/>
                <w:sz w:val="24"/>
                <w:highlight w:val="none"/>
                <w:lang w:val="en-US" w:eastAsia="zh-CN" w:bidi="zh-HK"/>
              </w:rPr>
              <w:t>/a</w:t>
            </w:r>
            <w:r>
              <w:rPr>
                <w:rFonts w:ascii="Times New Roman" w:hAnsi="Times New Roman"/>
                <w:bCs/>
                <w:color w:val="000000"/>
                <w:sz w:val="24"/>
                <w:highlight w:val="none"/>
                <w:lang w:val="en-US" w:eastAsia="zh-CN"/>
              </w:rPr>
              <w:t>）</w:t>
            </w:r>
            <w:r>
              <w:rPr>
                <w:rFonts w:ascii="Times New Roman" w:hAnsi="Times New Roman"/>
                <w:color w:val="000000"/>
                <w:sz w:val="24"/>
                <w:highlight w:val="none"/>
                <w:lang w:val="en-US" w:eastAsia="zh-CN" w:bidi="zh-HK"/>
              </w:rPr>
              <w:t>。</w:t>
            </w:r>
          </w:p>
          <w:p w14:paraId="39D5595B">
            <w:pPr>
              <w:pStyle w:val="24"/>
              <w:spacing w:after="0" w:line="360" w:lineRule="auto"/>
              <w:ind w:left="0" w:leftChars="0" w:firstLine="480" w:firstLineChars="200"/>
              <w:rPr>
                <w:rFonts w:ascii="Times New Roman" w:hAnsi="Times New Roman"/>
                <w:color w:val="000000"/>
                <w:sz w:val="24"/>
                <w:highlight w:val="none"/>
                <w:lang w:val="en-US" w:eastAsia="zh-CN" w:bidi="zh-HK"/>
              </w:rPr>
            </w:pPr>
            <w:r>
              <w:rPr>
                <w:rFonts w:ascii="Times New Roman" w:hAnsi="Times New Roman"/>
                <w:color w:val="000000"/>
                <w:sz w:val="24"/>
                <w:szCs w:val="24"/>
                <w:highlight w:val="none"/>
                <w:lang w:val="en-US" w:eastAsia="zh-CN"/>
              </w:rPr>
              <w:t>生活污水经化粪池处理达标后排入园区污水管网，经园区污水处理厂处理达标后排入千河</w:t>
            </w:r>
            <w:r>
              <w:rPr>
                <w:rFonts w:ascii="Times New Roman" w:hAnsi="Times New Roman"/>
                <w:color w:val="000000"/>
                <w:sz w:val="24"/>
                <w:highlight w:val="none"/>
                <w:lang w:val="en-US" w:eastAsia="zh-CN"/>
              </w:rPr>
              <w:t>，主要污染物为COD、BOD</w:t>
            </w:r>
            <w:r>
              <w:rPr>
                <w:rFonts w:ascii="Times New Roman" w:hAnsi="Times New Roman"/>
                <w:color w:val="000000"/>
                <w:sz w:val="24"/>
                <w:highlight w:val="none"/>
                <w:vertAlign w:val="subscript"/>
                <w:lang w:val="en-US" w:eastAsia="zh-CN"/>
              </w:rPr>
              <w:t>5</w:t>
            </w:r>
            <w:r>
              <w:rPr>
                <w:rFonts w:ascii="Times New Roman" w:hAnsi="Times New Roman"/>
                <w:color w:val="000000"/>
                <w:sz w:val="24"/>
                <w:highlight w:val="none"/>
                <w:lang w:val="en-US" w:eastAsia="zh-CN"/>
              </w:rPr>
              <w:t>、NH</w:t>
            </w:r>
            <w:r>
              <w:rPr>
                <w:rFonts w:ascii="Times New Roman" w:hAnsi="Times New Roman"/>
                <w:color w:val="000000"/>
                <w:sz w:val="24"/>
                <w:highlight w:val="none"/>
                <w:vertAlign w:val="subscript"/>
                <w:lang w:val="en-US" w:eastAsia="zh-CN"/>
              </w:rPr>
              <w:t>3</w:t>
            </w:r>
            <w:r>
              <w:rPr>
                <w:rFonts w:ascii="Times New Roman" w:hAnsi="Times New Roman"/>
                <w:color w:val="000000"/>
                <w:sz w:val="24"/>
                <w:highlight w:val="none"/>
                <w:lang w:val="en-US" w:eastAsia="zh-CN"/>
              </w:rPr>
              <w:t>-N、SS</w:t>
            </w:r>
            <w:r>
              <w:rPr>
                <w:rFonts w:hint="eastAsia" w:ascii="Times New Roman" w:hAnsi="Times New Roman"/>
                <w:color w:val="000000"/>
                <w:sz w:val="24"/>
                <w:highlight w:val="none"/>
                <w:lang w:val="en-US" w:eastAsia="zh-CN"/>
              </w:rPr>
              <w:t>、TP、动植物油</w:t>
            </w:r>
            <w:r>
              <w:rPr>
                <w:rFonts w:ascii="Times New Roman" w:hAnsi="Times New Roman"/>
                <w:color w:val="000000"/>
                <w:sz w:val="24"/>
                <w:highlight w:val="none"/>
                <w:lang w:val="en-US" w:eastAsia="zh-CN"/>
              </w:rPr>
              <w:t>。</w:t>
            </w:r>
            <w:r>
              <w:rPr>
                <w:rFonts w:ascii="Times New Roman" w:hAnsi="Times New Roman"/>
                <w:color w:val="000000"/>
                <w:sz w:val="24"/>
                <w:highlight w:val="none"/>
                <w:lang w:val="en-US" w:eastAsia="zh-CN" w:bidi="zh-HK"/>
              </w:rPr>
              <w:t>根据《环保统计手册》（化学工业出版社）及对宝鸡市生活污水类比调查，本项目生活污水各污染物产排放情况见表2-1</w:t>
            </w:r>
            <w:r>
              <w:rPr>
                <w:rFonts w:hint="eastAsia" w:ascii="Times New Roman" w:hAnsi="Times New Roman"/>
                <w:color w:val="000000"/>
                <w:sz w:val="24"/>
                <w:highlight w:val="none"/>
                <w:lang w:val="en-US" w:eastAsia="zh-CN" w:bidi="zh-HK"/>
              </w:rPr>
              <w:t>9</w:t>
            </w:r>
            <w:r>
              <w:rPr>
                <w:rFonts w:ascii="Times New Roman" w:hAnsi="Times New Roman"/>
                <w:color w:val="000000"/>
                <w:sz w:val="24"/>
                <w:highlight w:val="none"/>
                <w:lang w:val="en-US" w:eastAsia="zh-CN" w:bidi="zh-HK"/>
              </w:rPr>
              <w:t>。</w:t>
            </w:r>
          </w:p>
          <w:p w14:paraId="5BBE3ECE">
            <w:pPr>
              <w:jc w:val="center"/>
              <w:rPr>
                <w:rFonts w:ascii="Times New Roman" w:hAnsi="Times New Roman"/>
                <w:b w:val="0"/>
                <w:bCs/>
                <w:color w:val="000000"/>
                <w:spacing w:val="-10"/>
                <w:sz w:val="24"/>
                <w:highlight w:val="none"/>
              </w:rPr>
            </w:pPr>
            <w:r>
              <w:rPr>
                <w:rFonts w:ascii="Times New Roman" w:hAnsi="Times New Roman"/>
                <w:b w:val="0"/>
                <w:bCs/>
                <w:color w:val="000000"/>
                <w:spacing w:val="-10"/>
                <w:sz w:val="24"/>
                <w:highlight w:val="none"/>
              </w:rPr>
              <w:t>表2-1</w:t>
            </w:r>
            <w:r>
              <w:rPr>
                <w:rFonts w:hint="eastAsia" w:ascii="Times New Roman" w:hAnsi="Times New Roman"/>
                <w:b w:val="0"/>
                <w:bCs/>
                <w:color w:val="000000"/>
                <w:spacing w:val="-10"/>
                <w:sz w:val="24"/>
                <w:highlight w:val="none"/>
                <w:lang w:val="en-US" w:eastAsia="zh-CN"/>
              </w:rPr>
              <w:t>9</w:t>
            </w:r>
            <w:r>
              <w:rPr>
                <w:rFonts w:hint="eastAsia" w:ascii="Times New Roman" w:hAnsi="Times New Roman"/>
                <w:b w:val="0"/>
                <w:bCs/>
                <w:color w:val="000000"/>
                <w:spacing w:val="-10"/>
                <w:sz w:val="24"/>
                <w:highlight w:val="none"/>
              </w:rPr>
              <w:t xml:space="preserve"> </w:t>
            </w:r>
            <w:r>
              <w:rPr>
                <w:rFonts w:ascii="Times New Roman" w:hAnsi="Times New Roman"/>
                <w:b w:val="0"/>
                <w:bCs/>
                <w:color w:val="000000"/>
                <w:spacing w:val="-10"/>
                <w:sz w:val="24"/>
                <w:highlight w:val="none"/>
              </w:rPr>
              <w:t xml:space="preserve"> 生活污水各污染物产排情况一览表</w:t>
            </w:r>
          </w:p>
          <w:tbl>
            <w:tblPr>
              <w:tblStyle w:val="11"/>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49"/>
              <w:gridCol w:w="1089"/>
              <w:gridCol w:w="963"/>
              <w:gridCol w:w="820"/>
              <w:gridCol w:w="885"/>
              <w:gridCol w:w="885"/>
              <w:gridCol w:w="885"/>
              <w:gridCol w:w="884"/>
            </w:tblGrid>
            <w:tr w14:paraId="0B5FC4F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1749" w:type="dxa"/>
                  <w:shd w:val="clear" w:color="auto" w:fill="auto"/>
                  <w:noWrap w:val="0"/>
                  <w:vAlign w:val="center"/>
                </w:tcPr>
                <w:p w14:paraId="322B5FA7">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项目</w:t>
                  </w:r>
                </w:p>
              </w:tc>
              <w:tc>
                <w:tcPr>
                  <w:tcW w:w="1089" w:type="dxa"/>
                  <w:shd w:val="clear" w:color="auto" w:fill="auto"/>
                  <w:noWrap w:val="0"/>
                  <w:vAlign w:val="center"/>
                </w:tcPr>
                <w:p w14:paraId="7D71A54E">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废水量</w:t>
                  </w:r>
                </w:p>
              </w:tc>
              <w:tc>
                <w:tcPr>
                  <w:tcW w:w="963" w:type="dxa"/>
                  <w:shd w:val="clear" w:color="auto" w:fill="auto"/>
                  <w:noWrap w:val="0"/>
                  <w:vAlign w:val="center"/>
                </w:tcPr>
                <w:p w14:paraId="276C2FB0">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COD</w:t>
                  </w:r>
                </w:p>
              </w:tc>
              <w:tc>
                <w:tcPr>
                  <w:tcW w:w="820" w:type="dxa"/>
                  <w:shd w:val="clear" w:color="auto" w:fill="auto"/>
                  <w:noWrap w:val="0"/>
                  <w:vAlign w:val="center"/>
                </w:tcPr>
                <w:p w14:paraId="391D1F5A">
                  <w:pPr>
                    <w:spacing w:line="360" w:lineRule="exact"/>
                    <w:jc w:val="center"/>
                    <w:rPr>
                      <w:rFonts w:ascii="Times New Roman" w:hAnsi="Times New Roman"/>
                      <w:color w:val="000000"/>
                      <w:sz w:val="21"/>
                      <w:szCs w:val="21"/>
                      <w:highlight w:val="none"/>
                    </w:rPr>
                  </w:pPr>
                  <w:r>
                    <w:rPr>
                      <w:rFonts w:ascii="Times New Roman" w:hAnsi="Times New Roman"/>
                      <w:color w:val="000000"/>
                      <w:sz w:val="21"/>
                      <w:szCs w:val="21"/>
                      <w:highlight w:val="none"/>
                    </w:rPr>
                    <w:t>BOD</w:t>
                  </w:r>
                  <w:r>
                    <w:rPr>
                      <w:rFonts w:ascii="Times New Roman" w:hAnsi="Times New Roman"/>
                      <w:color w:val="000000"/>
                      <w:sz w:val="21"/>
                      <w:szCs w:val="21"/>
                      <w:highlight w:val="none"/>
                      <w:vertAlign w:val="subscript"/>
                    </w:rPr>
                    <w:t>5</w:t>
                  </w:r>
                </w:p>
              </w:tc>
              <w:tc>
                <w:tcPr>
                  <w:tcW w:w="885" w:type="dxa"/>
                  <w:shd w:val="clear" w:color="auto" w:fill="auto"/>
                  <w:noWrap w:val="0"/>
                  <w:vAlign w:val="center"/>
                </w:tcPr>
                <w:p w14:paraId="3BD36CB4">
                  <w:pPr>
                    <w:spacing w:line="360" w:lineRule="exact"/>
                    <w:jc w:val="center"/>
                    <w:rPr>
                      <w:rFonts w:ascii="Times New Roman" w:hAnsi="Times New Roman"/>
                      <w:color w:val="000000"/>
                      <w:sz w:val="21"/>
                      <w:szCs w:val="21"/>
                      <w:highlight w:val="none"/>
                    </w:rPr>
                  </w:pPr>
                  <w:r>
                    <w:rPr>
                      <w:rFonts w:ascii="Times New Roman" w:hAnsi="Times New Roman"/>
                      <w:color w:val="000000"/>
                      <w:sz w:val="21"/>
                      <w:szCs w:val="21"/>
                      <w:highlight w:val="none"/>
                    </w:rPr>
                    <w:t>NH</w:t>
                  </w:r>
                  <w:r>
                    <w:rPr>
                      <w:rFonts w:ascii="Times New Roman" w:hAnsi="Times New Roman"/>
                      <w:color w:val="000000"/>
                      <w:sz w:val="21"/>
                      <w:szCs w:val="21"/>
                      <w:highlight w:val="none"/>
                      <w:vertAlign w:val="subscript"/>
                    </w:rPr>
                    <w:t>3</w:t>
                  </w:r>
                  <w:r>
                    <w:rPr>
                      <w:rFonts w:ascii="Times New Roman" w:hAnsi="Times New Roman"/>
                      <w:color w:val="000000"/>
                      <w:sz w:val="21"/>
                      <w:szCs w:val="21"/>
                      <w:highlight w:val="none"/>
                    </w:rPr>
                    <w:t>-N</w:t>
                  </w:r>
                </w:p>
              </w:tc>
              <w:tc>
                <w:tcPr>
                  <w:tcW w:w="885" w:type="dxa"/>
                  <w:shd w:val="clear" w:color="auto" w:fill="auto"/>
                  <w:noWrap w:val="0"/>
                  <w:vAlign w:val="center"/>
                </w:tcPr>
                <w:p w14:paraId="5A5E6393">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SS</w:t>
                  </w:r>
                </w:p>
              </w:tc>
              <w:tc>
                <w:tcPr>
                  <w:tcW w:w="885" w:type="dxa"/>
                  <w:shd w:val="clear" w:color="auto" w:fill="auto"/>
                  <w:noWrap w:val="0"/>
                  <w:vAlign w:val="center"/>
                </w:tcPr>
                <w:p w14:paraId="4F3DDEB2">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TP</w:t>
                  </w:r>
                </w:p>
              </w:tc>
              <w:tc>
                <w:tcPr>
                  <w:tcW w:w="884" w:type="dxa"/>
                  <w:shd w:val="clear" w:color="auto" w:fill="auto"/>
                  <w:noWrap w:val="0"/>
                  <w:vAlign w:val="center"/>
                </w:tcPr>
                <w:p w14:paraId="52F5EBE7">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动植物油</w:t>
                  </w:r>
                </w:p>
              </w:tc>
            </w:tr>
            <w:tr w14:paraId="19F17EA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9" w:type="dxa"/>
                  <w:shd w:val="clear" w:color="auto" w:fill="auto"/>
                  <w:noWrap w:val="0"/>
                  <w:vAlign w:val="center"/>
                </w:tcPr>
                <w:p w14:paraId="6F4A16DB">
                  <w:pPr>
                    <w:spacing w:line="360" w:lineRule="exact"/>
                    <w:jc w:val="center"/>
                    <w:rPr>
                      <w:rFonts w:ascii="Times New Roman" w:hAnsi="Times New Roman"/>
                      <w:color w:val="000000"/>
                      <w:sz w:val="21"/>
                      <w:szCs w:val="21"/>
                      <w:highlight w:val="none"/>
                    </w:rPr>
                  </w:pPr>
                  <w:r>
                    <w:rPr>
                      <w:rFonts w:ascii="Times New Roman" w:hAnsi="Times New Roman"/>
                      <w:color w:val="000000"/>
                      <w:sz w:val="21"/>
                      <w:szCs w:val="21"/>
                      <w:highlight w:val="none"/>
                    </w:rPr>
                    <w:t>各污染物产生浓度</w:t>
                  </w:r>
                </w:p>
              </w:tc>
              <w:tc>
                <w:tcPr>
                  <w:tcW w:w="1089" w:type="dxa"/>
                  <w:shd w:val="clear" w:color="auto" w:fill="auto"/>
                  <w:noWrap w:val="0"/>
                  <w:vAlign w:val="center"/>
                </w:tcPr>
                <w:p w14:paraId="21C9E08A">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3860m</w:t>
                  </w:r>
                  <w:r>
                    <w:rPr>
                      <w:rFonts w:ascii="Times New Roman" w:hAnsi="Times New Roman"/>
                      <w:color w:val="000000"/>
                      <w:sz w:val="21"/>
                      <w:szCs w:val="21"/>
                      <w:highlight w:val="none"/>
                      <w:vertAlign w:val="superscript"/>
                    </w:rPr>
                    <w:t>3</w:t>
                  </w:r>
                  <w:r>
                    <w:rPr>
                      <w:rFonts w:ascii="Times New Roman" w:hAnsi="Times New Roman"/>
                      <w:bCs/>
                      <w:color w:val="000000"/>
                      <w:sz w:val="21"/>
                      <w:szCs w:val="21"/>
                      <w:highlight w:val="none"/>
                    </w:rPr>
                    <w:t>/a</w:t>
                  </w:r>
                </w:p>
              </w:tc>
              <w:tc>
                <w:tcPr>
                  <w:tcW w:w="963" w:type="dxa"/>
                  <w:shd w:val="clear" w:color="auto" w:fill="auto"/>
                  <w:noWrap w:val="0"/>
                  <w:vAlign w:val="center"/>
                </w:tcPr>
                <w:p w14:paraId="42FEA158">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350mg/L</w:t>
                  </w:r>
                </w:p>
              </w:tc>
              <w:tc>
                <w:tcPr>
                  <w:tcW w:w="820" w:type="dxa"/>
                  <w:shd w:val="clear" w:color="auto" w:fill="auto"/>
                  <w:noWrap w:val="0"/>
                  <w:vAlign w:val="center"/>
                </w:tcPr>
                <w:p w14:paraId="1CA13442">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95mg/L</w:t>
                  </w:r>
                </w:p>
              </w:tc>
              <w:tc>
                <w:tcPr>
                  <w:tcW w:w="885" w:type="dxa"/>
                  <w:shd w:val="clear" w:color="auto" w:fill="auto"/>
                  <w:noWrap w:val="0"/>
                  <w:vAlign w:val="center"/>
                </w:tcPr>
                <w:p w14:paraId="769020A3">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20mg/L</w:t>
                  </w:r>
                </w:p>
              </w:tc>
              <w:tc>
                <w:tcPr>
                  <w:tcW w:w="885" w:type="dxa"/>
                  <w:shd w:val="clear" w:color="auto" w:fill="auto"/>
                  <w:noWrap w:val="0"/>
                  <w:vAlign w:val="center"/>
                </w:tcPr>
                <w:p w14:paraId="48ECA6E4">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207mg/L</w:t>
                  </w:r>
                </w:p>
              </w:tc>
              <w:tc>
                <w:tcPr>
                  <w:tcW w:w="885" w:type="dxa"/>
                  <w:shd w:val="clear" w:color="auto" w:fill="auto"/>
                  <w:noWrap w:val="0"/>
                  <w:vAlign w:val="center"/>
                </w:tcPr>
                <w:p w14:paraId="34D25410">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4mg/L</w:t>
                  </w:r>
                </w:p>
              </w:tc>
              <w:tc>
                <w:tcPr>
                  <w:tcW w:w="884" w:type="dxa"/>
                  <w:shd w:val="clear" w:color="auto" w:fill="auto"/>
                  <w:noWrap w:val="0"/>
                  <w:vAlign w:val="center"/>
                </w:tcPr>
                <w:p w14:paraId="7112493E">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50mg/L</w:t>
                  </w:r>
                </w:p>
              </w:tc>
            </w:tr>
            <w:tr w14:paraId="2795FB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9" w:type="dxa"/>
                  <w:shd w:val="clear" w:color="auto" w:fill="auto"/>
                  <w:noWrap w:val="0"/>
                  <w:vAlign w:val="center"/>
                </w:tcPr>
                <w:p w14:paraId="5C2D2002">
                  <w:pPr>
                    <w:spacing w:line="360" w:lineRule="exact"/>
                    <w:jc w:val="center"/>
                    <w:rPr>
                      <w:rFonts w:ascii="Times New Roman" w:hAnsi="Times New Roman"/>
                      <w:color w:val="000000"/>
                      <w:sz w:val="21"/>
                      <w:szCs w:val="21"/>
                      <w:highlight w:val="none"/>
                    </w:rPr>
                  </w:pPr>
                  <w:r>
                    <w:rPr>
                      <w:rFonts w:ascii="Times New Roman" w:hAnsi="Times New Roman"/>
                      <w:color w:val="000000"/>
                      <w:sz w:val="21"/>
                      <w:szCs w:val="21"/>
                      <w:highlight w:val="none"/>
                    </w:rPr>
                    <w:t>各污染物产生量</w:t>
                  </w:r>
                </w:p>
              </w:tc>
              <w:tc>
                <w:tcPr>
                  <w:tcW w:w="1089" w:type="dxa"/>
                  <w:shd w:val="clear" w:color="auto" w:fill="auto"/>
                  <w:noWrap w:val="0"/>
                  <w:vAlign w:val="center"/>
                </w:tcPr>
                <w:p w14:paraId="2ACAE311">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3860m</w:t>
                  </w:r>
                  <w:r>
                    <w:rPr>
                      <w:rFonts w:ascii="Times New Roman" w:hAnsi="Times New Roman"/>
                      <w:color w:val="000000"/>
                      <w:sz w:val="21"/>
                      <w:szCs w:val="21"/>
                      <w:highlight w:val="none"/>
                      <w:vertAlign w:val="superscript"/>
                    </w:rPr>
                    <w:t>3</w:t>
                  </w:r>
                  <w:r>
                    <w:rPr>
                      <w:rFonts w:ascii="Times New Roman" w:hAnsi="Times New Roman"/>
                      <w:bCs/>
                      <w:color w:val="000000"/>
                      <w:sz w:val="21"/>
                      <w:szCs w:val="21"/>
                      <w:highlight w:val="none"/>
                    </w:rPr>
                    <w:t>/a</w:t>
                  </w:r>
                </w:p>
              </w:tc>
              <w:tc>
                <w:tcPr>
                  <w:tcW w:w="963" w:type="dxa"/>
                  <w:shd w:val="clear" w:color="auto" w:fill="auto"/>
                  <w:noWrap w:val="0"/>
                  <w:vAlign w:val="center"/>
                </w:tcPr>
                <w:p w14:paraId="17822B7E">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1.35t/a</w:t>
                  </w:r>
                </w:p>
              </w:tc>
              <w:tc>
                <w:tcPr>
                  <w:tcW w:w="820" w:type="dxa"/>
                  <w:shd w:val="clear" w:color="auto" w:fill="auto"/>
                  <w:noWrap w:val="0"/>
                  <w:vAlign w:val="center"/>
                </w:tcPr>
                <w:p w14:paraId="255E2B37">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0.37t/a</w:t>
                  </w:r>
                </w:p>
              </w:tc>
              <w:tc>
                <w:tcPr>
                  <w:tcW w:w="885" w:type="dxa"/>
                  <w:shd w:val="clear" w:color="auto" w:fill="auto"/>
                  <w:noWrap w:val="0"/>
                  <w:vAlign w:val="center"/>
                </w:tcPr>
                <w:p w14:paraId="6D84391A">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0.08t/a</w:t>
                  </w:r>
                </w:p>
              </w:tc>
              <w:tc>
                <w:tcPr>
                  <w:tcW w:w="885" w:type="dxa"/>
                  <w:shd w:val="clear" w:color="auto" w:fill="auto"/>
                  <w:noWrap w:val="0"/>
                  <w:vAlign w:val="center"/>
                </w:tcPr>
                <w:p w14:paraId="36F8B748">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0.8t/a</w:t>
                  </w:r>
                </w:p>
              </w:tc>
              <w:tc>
                <w:tcPr>
                  <w:tcW w:w="885" w:type="dxa"/>
                  <w:shd w:val="clear" w:color="auto" w:fill="auto"/>
                  <w:noWrap w:val="0"/>
                  <w:vAlign w:val="center"/>
                </w:tcPr>
                <w:p w14:paraId="05FB698E">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0.02t/a</w:t>
                  </w:r>
                </w:p>
              </w:tc>
              <w:tc>
                <w:tcPr>
                  <w:tcW w:w="884" w:type="dxa"/>
                  <w:shd w:val="clear" w:color="auto" w:fill="auto"/>
                  <w:noWrap w:val="0"/>
                  <w:vAlign w:val="center"/>
                </w:tcPr>
                <w:p w14:paraId="321C46DC">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0.19t/a</w:t>
                  </w:r>
                </w:p>
              </w:tc>
            </w:tr>
            <w:tr w14:paraId="3F2A26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9" w:type="dxa"/>
                  <w:shd w:val="clear" w:color="auto" w:fill="auto"/>
                  <w:noWrap w:val="0"/>
                  <w:vAlign w:val="center"/>
                </w:tcPr>
                <w:p w14:paraId="3B94887D">
                  <w:pPr>
                    <w:spacing w:line="360" w:lineRule="exact"/>
                    <w:jc w:val="center"/>
                    <w:rPr>
                      <w:rFonts w:ascii="Times New Roman" w:hAnsi="Times New Roman"/>
                      <w:color w:val="000000"/>
                      <w:sz w:val="21"/>
                      <w:szCs w:val="21"/>
                      <w:highlight w:val="none"/>
                    </w:rPr>
                  </w:pPr>
                  <w:r>
                    <w:rPr>
                      <w:rFonts w:ascii="Times New Roman" w:hAnsi="Times New Roman"/>
                      <w:color w:val="000000"/>
                      <w:sz w:val="21"/>
                      <w:szCs w:val="21"/>
                      <w:highlight w:val="none"/>
                    </w:rPr>
                    <w:t>治理效率</w:t>
                  </w:r>
                </w:p>
              </w:tc>
              <w:tc>
                <w:tcPr>
                  <w:tcW w:w="1089" w:type="dxa"/>
                  <w:shd w:val="clear" w:color="auto" w:fill="auto"/>
                  <w:noWrap w:val="0"/>
                  <w:vAlign w:val="center"/>
                </w:tcPr>
                <w:p w14:paraId="49E6529D">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w:t>
                  </w:r>
                </w:p>
              </w:tc>
              <w:tc>
                <w:tcPr>
                  <w:tcW w:w="963" w:type="dxa"/>
                  <w:shd w:val="clear" w:color="auto" w:fill="auto"/>
                  <w:noWrap w:val="0"/>
                  <w:vAlign w:val="center"/>
                </w:tcPr>
                <w:p w14:paraId="223164A7">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15%</w:t>
                  </w:r>
                </w:p>
              </w:tc>
              <w:tc>
                <w:tcPr>
                  <w:tcW w:w="820" w:type="dxa"/>
                  <w:shd w:val="clear" w:color="auto" w:fill="auto"/>
                  <w:noWrap w:val="0"/>
                  <w:vAlign w:val="center"/>
                </w:tcPr>
                <w:p w14:paraId="519A897D">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9%</w:t>
                  </w:r>
                </w:p>
              </w:tc>
              <w:tc>
                <w:tcPr>
                  <w:tcW w:w="885" w:type="dxa"/>
                  <w:shd w:val="clear" w:color="auto" w:fill="auto"/>
                  <w:noWrap w:val="0"/>
                  <w:vAlign w:val="center"/>
                </w:tcPr>
                <w:p w14:paraId="6C5BAFD6">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w:t>
                  </w:r>
                </w:p>
              </w:tc>
              <w:tc>
                <w:tcPr>
                  <w:tcW w:w="885" w:type="dxa"/>
                  <w:shd w:val="clear" w:color="auto" w:fill="auto"/>
                  <w:noWrap w:val="0"/>
                  <w:vAlign w:val="center"/>
                </w:tcPr>
                <w:p w14:paraId="4B4D4BDF">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30%</w:t>
                  </w:r>
                </w:p>
              </w:tc>
              <w:tc>
                <w:tcPr>
                  <w:tcW w:w="885" w:type="dxa"/>
                  <w:shd w:val="clear" w:color="auto" w:fill="auto"/>
                  <w:noWrap w:val="0"/>
                  <w:vAlign w:val="center"/>
                </w:tcPr>
                <w:p w14:paraId="6E7A9181">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w:t>
                  </w:r>
                </w:p>
              </w:tc>
              <w:tc>
                <w:tcPr>
                  <w:tcW w:w="884" w:type="dxa"/>
                  <w:shd w:val="clear" w:color="auto" w:fill="auto"/>
                  <w:noWrap w:val="0"/>
                  <w:vAlign w:val="center"/>
                </w:tcPr>
                <w:p w14:paraId="4217F240">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80%</w:t>
                  </w:r>
                </w:p>
              </w:tc>
            </w:tr>
            <w:tr w14:paraId="0CD27B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9" w:type="dxa"/>
                  <w:shd w:val="clear" w:color="auto" w:fill="auto"/>
                  <w:noWrap w:val="0"/>
                  <w:vAlign w:val="center"/>
                </w:tcPr>
                <w:p w14:paraId="6DD6DBF9">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各污染物排放浓度</w:t>
                  </w:r>
                </w:p>
              </w:tc>
              <w:tc>
                <w:tcPr>
                  <w:tcW w:w="1089" w:type="dxa"/>
                  <w:shd w:val="clear" w:color="auto" w:fill="auto"/>
                  <w:noWrap w:val="0"/>
                  <w:vAlign w:val="center"/>
                </w:tcPr>
                <w:p w14:paraId="30943E1C">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3860m</w:t>
                  </w:r>
                  <w:r>
                    <w:rPr>
                      <w:rFonts w:ascii="Times New Roman" w:hAnsi="Times New Roman"/>
                      <w:color w:val="000000"/>
                      <w:sz w:val="21"/>
                      <w:szCs w:val="21"/>
                      <w:highlight w:val="none"/>
                      <w:vertAlign w:val="superscript"/>
                    </w:rPr>
                    <w:t>3</w:t>
                  </w:r>
                  <w:r>
                    <w:rPr>
                      <w:rFonts w:ascii="Times New Roman" w:hAnsi="Times New Roman"/>
                      <w:bCs/>
                      <w:color w:val="000000"/>
                      <w:sz w:val="21"/>
                      <w:szCs w:val="21"/>
                      <w:highlight w:val="none"/>
                    </w:rPr>
                    <w:t>/a</w:t>
                  </w:r>
                </w:p>
              </w:tc>
              <w:tc>
                <w:tcPr>
                  <w:tcW w:w="963" w:type="dxa"/>
                  <w:shd w:val="clear" w:color="auto" w:fill="auto"/>
                  <w:noWrap w:val="0"/>
                  <w:vAlign w:val="center"/>
                </w:tcPr>
                <w:p w14:paraId="4DE55ACC">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297.5</w:t>
                  </w:r>
                  <w:r>
                    <w:rPr>
                      <w:rFonts w:ascii="Times New Roman" w:hAnsi="Times New Roman"/>
                      <w:bCs/>
                      <w:color w:val="000000"/>
                      <w:sz w:val="21"/>
                      <w:szCs w:val="21"/>
                      <w:highlight w:val="none"/>
                    </w:rPr>
                    <w:t>mg/L</w:t>
                  </w:r>
                </w:p>
              </w:tc>
              <w:tc>
                <w:tcPr>
                  <w:tcW w:w="820" w:type="dxa"/>
                  <w:shd w:val="clear" w:color="auto" w:fill="auto"/>
                  <w:noWrap w:val="0"/>
                  <w:vAlign w:val="center"/>
                </w:tcPr>
                <w:p w14:paraId="12E97DB6">
                  <w:pPr>
                    <w:spacing w:line="360" w:lineRule="exact"/>
                    <w:jc w:val="center"/>
                    <w:rPr>
                      <w:rFonts w:ascii="Times New Roman" w:hAnsi="Times New Roman"/>
                      <w:color w:val="000000"/>
                      <w:sz w:val="21"/>
                      <w:szCs w:val="21"/>
                      <w:highlight w:val="none"/>
                    </w:rPr>
                  </w:pPr>
                  <w:r>
                    <w:rPr>
                      <w:rFonts w:ascii="Times New Roman" w:hAnsi="Times New Roman"/>
                      <w:color w:val="000000"/>
                      <w:sz w:val="21"/>
                      <w:szCs w:val="21"/>
                      <w:highlight w:val="none"/>
                    </w:rPr>
                    <w:t>77</w:t>
                  </w:r>
                  <w:r>
                    <w:rPr>
                      <w:rFonts w:ascii="Times New Roman" w:hAnsi="Times New Roman"/>
                      <w:bCs/>
                      <w:color w:val="000000"/>
                      <w:sz w:val="21"/>
                      <w:szCs w:val="21"/>
                      <w:highlight w:val="none"/>
                    </w:rPr>
                    <w:t>mg/L</w:t>
                  </w:r>
                </w:p>
              </w:tc>
              <w:tc>
                <w:tcPr>
                  <w:tcW w:w="885" w:type="dxa"/>
                  <w:shd w:val="clear" w:color="auto" w:fill="auto"/>
                  <w:noWrap w:val="0"/>
                  <w:vAlign w:val="center"/>
                </w:tcPr>
                <w:p w14:paraId="71F2582A">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20mg/L</w:t>
                  </w:r>
                </w:p>
              </w:tc>
              <w:tc>
                <w:tcPr>
                  <w:tcW w:w="885" w:type="dxa"/>
                  <w:shd w:val="clear" w:color="auto" w:fill="auto"/>
                  <w:noWrap w:val="0"/>
                  <w:vAlign w:val="center"/>
                </w:tcPr>
                <w:p w14:paraId="646128C4">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145</w:t>
                  </w:r>
                  <w:r>
                    <w:rPr>
                      <w:rFonts w:ascii="Times New Roman" w:hAnsi="Times New Roman"/>
                      <w:bCs/>
                      <w:color w:val="000000"/>
                      <w:sz w:val="21"/>
                      <w:szCs w:val="21"/>
                      <w:highlight w:val="none"/>
                    </w:rPr>
                    <w:t>mg/L</w:t>
                  </w:r>
                </w:p>
              </w:tc>
              <w:tc>
                <w:tcPr>
                  <w:tcW w:w="885" w:type="dxa"/>
                  <w:shd w:val="clear" w:color="auto" w:fill="auto"/>
                  <w:noWrap w:val="0"/>
                  <w:vAlign w:val="center"/>
                </w:tcPr>
                <w:p w14:paraId="657FFA44">
                  <w:pPr>
                    <w:spacing w:line="360" w:lineRule="exact"/>
                    <w:jc w:val="center"/>
                    <w:rPr>
                      <w:rFonts w:ascii="Times New Roman" w:hAnsi="Times New Roman"/>
                      <w:color w:val="000000"/>
                      <w:sz w:val="21"/>
                      <w:szCs w:val="21"/>
                      <w:highlight w:val="none"/>
                    </w:rPr>
                  </w:pPr>
                  <w:r>
                    <w:rPr>
                      <w:rFonts w:ascii="Times New Roman" w:hAnsi="Times New Roman"/>
                      <w:bCs/>
                      <w:color w:val="000000"/>
                      <w:sz w:val="21"/>
                      <w:szCs w:val="21"/>
                      <w:highlight w:val="none"/>
                    </w:rPr>
                    <w:t>4mg/L</w:t>
                  </w:r>
                </w:p>
              </w:tc>
              <w:tc>
                <w:tcPr>
                  <w:tcW w:w="884" w:type="dxa"/>
                  <w:shd w:val="clear" w:color="auto" w:fill="auto"/>
                  <w:noWrap w:val="0"/>
                  <w:vAlign w:val="center"/>
                </w:tcPr>
                <w:p w14:paraId="2D0BDCD2">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10</w:t>
                  </w:r>
                  <w:r>
                    <w:rPr>
                      <w:rFonts w:ascii="Times New Roman" w:hAnsi="Times New Roman"/>
                      <w:bCs/>
                      <w:color w:val="000000"/>
                      <w:sz w:val="21"/>
                      <w:szCs w:val="21"/>
                      <w:highlight w:val="none"/>
                    </w:rPr>
                    <w:t>mg/L</w:t>
                  </w:r>
                </w:p>
              </w:tc>
            </w:tr>
            <w:tr w14:paraId="7A97CD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9" w:type="dxa"/>
                  <w:shd w:val="clear" w:color="auto" w:fill="auto"/>
                  <w:noWrap w:val="0"/>
                  <w:vAlign w:val="center"/>
                </w:tcPr>
                <w:p w14:paraId="6E23E091">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各污染物排放量</w:t>
                  </w:r>
                </w:p>
              </w:tc>
              <w:tc>
                <w:tcPr>
                  <w:tcW w:w="1089" w:type="dxa"/>
                  <w:shd w:val="clear" w:color="auto" w:fill="auto"/>
                  <w:noWrap w:val="0"/>
                  <w:vAlign w:val="center"/>
                </w:tcPr>
                <w:p w14:paraId="43FEE0C7">
                  <w:pPr>
                    <w:spacing w:line="360" w:lineRule="exact"/>
                    <w:jc w:val="center"/>
                    <w:rPr>
                      <w:rFonts w:ascii="Times New Roman" w:hAnsi="Times New Roman"/>
                      <w:bCs/>
                      <w:color w:val="000000"/>
                      <w:sz w:val="21"/>
                      <w:szCs w:val="21"/>
                      <w:highlight w:val="none"/>
                    </w:rPr>
                  </w:pPr>
                  <w:r>
                    <w:rPr>
                      <w:rFonts w:ascii="Times New Roman" w:hAnsi="Times New Roman"/>
                      <w:color w:val="000000"/>
                      <w:sz w:val="21"/>
                      <w:szCs w:val="21"/>
                      <w:highlight w:val="none"/>
                    </w:rPr>
                    <w:t>3860m</w:t>
                  </w:r>
                  <w:r>
                    <w:rPr>
                      <w:rFonts w:ascii="Times New Roman" w:hAnsi="Times New Roman"/>
                      <w:color w:val="000000"/>
                      <w:sz w:val="21"/>
                      <w:szCs w:val="21"/>
                      <w:highlight w:val="none"/>
                      <w:vertAlign w:val="superscript"/>
                    </w:rPr>
                    <w:t>3</w:t>
                  </w:r>
                  <w:r>
                    <w:rPr>
                      <w:rFonts w:ascii="Times New Roman" w:hAnsi="Times New Roman"/>
                      <w:bCs/>
                      <w:color w:val="000000"/>
                      <w:sz w:val="21"/>
                      <w:szCs w:val="21"/>
                      <w:highlight w:val="none"/>
                    </w:rPr>
                    <w:t>/a</w:t>
                  </w:r>
                </w:p>
              </w:tc>
              <w:tc>
                <w:tcPr>
                  <w:tcW w:w="963" w:type="dxa"/>
                  <w:shd w:val="clear" w:color="auto" w:fill="auto"/>
                  <w:noWrap w:val="0"/>
                  <w:vAlign w:val="center"/>
                </w:tcPr>
                <w:p w14:paraId="0D3A4B52">
                  <w:pPr>
                    <w:spacing w:line="360" w:lineRule="exact"/>
                    <w:jc w:val="center"/>
                    <w:rPr>
                      <w:rFonts w:ascii="Times New Roman" w:hAnsi="Times New Roman"/>
                      <w:color w:val="000000"/>
                      <w:sz w:val="21"/>
                      <w:szCs w:val="21"/>
                      <w:highlight w:val="none"/>
                    </w:rPr>
                  </w:pPr>
                  <w:r>
                    <w:rPr>
                      <w:rFonts w:ascii="Times New Roman" w:hAnsi="Times New Roman"/>
                      <w:bCs/>
                      <w:color w:val="000000"/>
                      <w:sz w:val="21"/>
                      <w:szCs w:val="21"/>
                      <w:highlight w:val="none"/>
                    </w:rPr>
                    <w:t>1.15t/a</w:t>
                  </w:r>
                </w:p>
              </w:tc>
              <w:tc>
                <w:tcPr>
                  <w:tcW w:w="820" w:type="dxa"/>
                  <w:shd w:val="clear" w:color="auto" w:fill="auto"/>
                  <w:noWrap w:val="0"/>
                  <w:vAlign w:val="center"/>
                </w:tcPr>
                <w:p w14:paraId="7FB9B57E">
                  <w:pPr>
                    <w:spacing w:line="360" w:lineRule="exact"/>
                    <w:jc w:val="center"/>
                    <w:rPr>
                      <w:rFonts w:ascii="Times New Roman" w:hAnsi="Times New Roman"/>
                      <w:color w:val="000000"/>
                      <w:sz w:val="21"/>
                      <w:szCs w:val="21"/>
                      <w:highlight w:val="none"/>
                    </w:rPr>
                  </w:pPr>
                  <w:r>
                    <w:rPr>
                      <w:rFonts w:ascii="Times New Roman" w:hAnsi="Times New Roman"/>
                      <w:bCs/>
                      <w:color w:val="000000"/>
                      <w:sz w:val="21"/>
                      <w:szCs w:val="21"/>
                      <w:highlight w:val="none"/>
                    </w:rPr>
                    <w:t>0.3t/a</w:t>
                  </w:r>
                </w:p>
              </w:tc>
              <w:tc>
                <w:tcPr>
                  <w:tcW w:w="885" w:type="dxa"/>
                  <w:shd w:val="clear" w:color="auto" w:fill="auto"/>
                  <w:noWrap w:val="0"/>
                  <w:vAlign w:val="center"/>
                </w:tcPr>
                <w:p w14:paraId="73BD7FBA">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0.08t/a</w:t>
                  </w:r>
                </w:p>
              </w:tc>
              <w:tc>
                <w:tcPr>
                  <w:tcW w:w="885" w:type="dxa"/>
                  <w:shd w:val="clear" w:color="auto" w:fill="auto"/>
                  <w:noWrap w:val="0"/>
                  <w:vAlign w:val="center"/>
                </w:tcPr>
                <w:p w14:paraId="32530DE4">
                  <w:pPr>
                    <w:spacing w:line="360" w:lineRule="exact"/>
                    <w:jc w:val="center"/>
                    <w:rPr>
                      <w:rFonts w:ascii="Times New Roman" w:hAnsi="Times New Roman"/>
                      <w:color w:val="000000"/>
                      <w:sz w:val="21"/>
                      <w:szCs w:val="21"/>
                      <w:highlight w:val="none"/>
                    </w:rPr>
                  </w:pPr>
                  <w:r>
                    <w:rPr>
                      <w:rFonts w:ascii="Times New Roman" w:hAnsi="Times New Roman"/>
                      <w:bCs/>
                      <w:color w:val="000000"/>
                      <w:sz w:val="21"/>
                      <w:szCs w:val="21"/>
                      <w:highlight w:val="none"/>
                    </w:rPr>
                    <w:t>0.56t/a</w:t>
                  </w:r>
                </w:p>
              </w:tc>
              <w:tc>
                <w:tcPr>
                  <w:tcW w:w="885" w:type="dxa"/>
                  <w:shd w:val="clear" w:color="auto" w:fill="auto"/>
                  <w:noWrap w:val="0"/>
                  <w:vAlign w:val="center"/>
                </w:tcPr>
                <w:p w14:paraId="4CED3D7B">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0.02t/a</w:t>
                  </w:r>
                </w:p>
              </w:tc>
              <w:tc>
                <w:tcPr>
                  <w:tcW w:w="884" w:type="dxa"/>
                  <w:shd w:val="clear" w:color="auto" w:fill="auto"/>
                  <w:noWrap w:val="0"/>
                  <w:vAlign w:val="center"/>
                </w:tcPr>
                <w:p w14:paraId="67E74557">
                  <w:pPr>
                    <w:spacing w:line="3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0.04t/a</w:t>
                  </w:r>
                </w:p>
              </w:tc>
            </w:tr>
          </w:tbl>
          <w:p w14:paraId="1AB99A85">
            <w:pPr>
              <w:widowControl/>
              <w:tabs>
                <w:tab w:val="left" w:pos="4423"/>
              </w:tabs>
              <w:spacing w:line="360" w:lineRule="auto"/>
              <w:ind w:firstLine="480" w:firstLineChars="200"/>
              <w:rPr>
                <w:rFonts w:ascii="Times New Roman" w:hAnsi="Times New Roman"/>
                <w:color w:val="000000"/>
                <w:sz w:val="24"/>
                <w:szCs w:val="22"/>
                <w:highlight w:val="none"/>
              </w:rPr>
            </w:pPr>
            <w:r>
              <w:rPr>
                <w:rFonts w:ascii="Times New Roman" w:hAnsi="Times New Roman"/>
                <w:color w:val="000000"/>
                <w:sz w:val="24"/>
                <w:szCs w:val="22"/>
                <w:highlight w:val="none"/>
              </w:rPr>
              <w:t>（3）噪声</w:t>
            </w:r>
          </w:p>
          <w:p w14:paraId="1D690E71">
            <w:pPr>
              <w:spacing w:line="360" w:lineRule="auto"/>
              <w:ind w:firstLine="480" w:firstLineChars="200"/>
              <w:rPr>
                <w:rFonts w:ascii="Times New Roman" w:hAnsi="Times New Roman"/>
                <w:color w:val="000000"/>
                <w:sz w:val="24"/>
                <w:szCs w:val="24"/>
                <w:highlight w:val="none"/>
              </w:rPr>
            </w:pPr>
            <w:r>
              <w:rPr>
                <w:rFonts w:hint="eastAsia" w:ascii="Times New Roman" w:hAnsi="Times New Roman" w:eastAsia="宋体" w:cs="Times New Roman"/>
                <w:color w:val="auto"/>
                <w:sz w:val="24"/>
                <w:szCs w:val="24"/>
                <w:highlight w:val="none"/>
                <w:lang w:eastAsia="zh-CN"/>
              </w:rPr>
              <w:t>本次现状</w:t>
            </w:r>
            <w:r>
              <w:rPr>
                <w:rFonts w:hint="eastAsia"/>
                <w:sz w:val="24"/>
                <w:szCs w:val="24"/>
                <w:lang w:eastAsia="zh-CN"/>
              </w:rPr>
              <w:t>噪声</w:t>
            </w:r>
            <w:r>
              <w:rPr>
                <w:rFonts w:hint="eastAsia" w:ascii="Times New Roman" w:hAnsi="Times New Roman" w:eastAsia="宋体" w:cs="Times New Roman"/>
                <w:color w:val="auto"/>
                <w:sz w:val="24"/>
                <w:szCs w:val="24"/>
                <w:highlight w:val="none"/>
                <w:lang w:eastAsia="zh-CN"/>
              </w:rPr>
              <w:t>采用</w:t>
            </w:r>
            <w:r>
              <w:rPr>
                <w:rFonts w:hint="eastAsia" w:ascii="Times New Roman" w:hAnsi="Times New Roman" w:eastAsia="宋体" w:cs="Times New Roman"/>
                <w:color w:val="auto"/>
                <w:sz w:val="24"/>
                <w:szCs w:val="24"/>
                <w:highlight w:val="none"/>
                <w:lang w:val="en-US" w:eastAsia="zh-CN"/>
              </w:rPr>
              <w:t>2024年第二季度的例行监测数据，采样日期为2024年7月1日，采样时企业正常生产，检测报告编号为森美佳境监（综）字〔2024〕第07060号</w:t>
            </w:r>
            <w:r>
              <w:rPr>
                <w:rFonts w:ascii="Times New Roman" w:hAnsi="Times New Roman"/>
                <w:color w:val="000000"/>
                <w:sz w:val="24"/>
                <w:szCs w:val="24"/>
                <w:highlight w:val="none"/>
              </w:rPr>
              <w:t>，</w:t>
            </w:r>
            <w:r>
              <w:rPr>
                <w:rFonts w:ascii="Times New Roman" w:hAnsi="Times New Roman"/>
                <w:color w:val="000000"/>
                <w:sz w:val="24"/>
                <w:szCs w:val="24"/>
                <w:highlight w:val="none"/>
                <w:lang w:bidi="zh-HK"/>
              </w:rPr>
              <w:t>现有项目噪声监测结果见表2-</w:t>
            </w:r>
            <w:r>
              <w:rPr>
                <w:rFonts w:hint="eastAsia" w:ascii="Times New Roman" w:hAnsi="Times New Roman"/>
                <w:color w:val="000000"/>
                <w:sz w:val="24"/>
                <w:szCs w:val="24"/>
                <w:highlight w:val="none"/>
                <w:lang w:val="en-US" w:eastAsia="zh-CN" w:bidi="zh-HK"/>
              </w:rPr>
              <w:t>20</w:t>
            </w:r>
            <w:r>
              <w:rPr>
                <w:rFonts w:ascii="Times New Roman" w:hAnsi="Times New Roman"/>
                <w:color w:val="000000"/>
                <w:sz w:val="24"/>
                <w:szCs w:val="24"/>
                <w:highlight w:val="none"/>
                <w:lang w:bidi="zh-HK"/>
              </w:rPr>
              <w:t>。</w:t>
            </w:r>
          </w:p>
          <w:p w14:paraId="3A33A59B">
            <w:pPr>
              <w:jc w:val="center"/>
              <w:rPr>
                <w:rFonts w:ascii="Times New Roman" w:hAnsi="Times New Roman"/>
                <w:b w:val="0"/>
                <w:bCs w:val="0"/>
                <w:color w:val="000000"/>
                <w:sz w:val="24"/>
                <w:highlight w:val="none"/>
              </w:rPr>
            </w:pPr>
            <w:r>
              <w:rPr>
                <w:rFonts w:ascii="Times New Roman" w:hAnsi="Times New Roman"/>
                <w:b w:val="0"/>
                <w:bCs w:val="0"/>
                <w:color w:val="000000"/>
                <w:sz w:val="24"/>
                <w:highlight w:val="none"/>
              </w:rPr>
              <w:t>表2-</w:t>
            </w:r>
            <w:r>
              <w:rPr>
                <w:rFonts w:hint="eastAsia" w:ascii="Times New Roman" w:hAnsi="Times New Roman"/>
                <w:b w:val="0"/>
                <w:bCs w:val="0"/>
                <w:color w:val="000000"/>
                <w:sz w:val="24"/>
                <w:highlight w:val="none"/>
                <w:lang w:val="en-US" w:eastAsia="zh-CN"/>
              </w:rPr>
              <w:t>20</w:t>
            </w:r>
            <w:r>
              <w:rPr>
                <w:rFonts w:ascii="Times New Roman" w:hAnsi="Times New Roman"/>
                <w:b w:val="0"/>
                <w:bCs w:val="0"/>
                <w:color w:val="000000"/>
                <w:sz w:val="24"/>
                <w:highlight w:val="none"/>
              </w:rPr>
              <w:t xml:space="preserve">  现有项目噪声监测结果  LAeq：dB</w:t>
            </w:r>
          </w:p>
          <w:tbl>
            <w:tblPr>
              <w:tblStyle w:val="11"/>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74"/>
              <w:gridCol w:w="1496"/>
              <w:gridCol w:w="1161"/>
              <w:gridCol w:w="1175"/>
              <w:gridCol w:w="1169"/>
              <w:gridCol w:w="1170"/>
            </w:tblGrid>
            <w:tr w14:paraId="3955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11" w:type="pct"/>
                  <w:vMerge w:val="restart"/>
                  <w:shd w:val="clear" w:color="auto" w:fill="auto"/>
                  <w:noWrap w:val="0"/>
                  <w:vAlign w:val="center"/>
                </w:tcPr>
                <w:p w14:paraId="6C2448B4">
                  <w:pPr>
                    <w:jc w:val="center"/>
                    <w:rPr>
                      <w:rFonts w:hint="eastAsia"/>
                      <w:b w:val="0"/>
                      <w:bCs w:val="0"/>
                      <w:color w:val="auto"/>
                      <w:sz w:val="21"/>
                      <w:szCs w:val="21"/>
                      <w:highlight w:val="none"/>
                      <w:lang w:eastAsia="zh-CN"/>
                    </w:rPr>
                  </w:pPr>
                  <w:r>
                    <w:rPr>
                      <w:rFonts w:ascii="Times New Roman" w:hAnsi="Times New Roman"/>
                      <w:color w:val="auto"/>
                      <w:szCs w:val="21"/>
                      <w:highlight w:val="none"/>
                    </w:rPr>
                    <w:t>监测时间</w:t>
                  </w:r>
                </w:p>
              </w:tc>
              <w:tc>
                <w:tcPr>
                  <w:tcW w:w="918" w:type="pct"/>
                  <w:vMerge w:val="restart"/>
                  <w:shd w:val="clear" w:color="auto" w:fill="auto"/>
                  <w:noWrap w:val="0"/>
                  <w:vAlign w:val="center"/>
                </w:tcPr>
                <w:p w14:paraId="07CBA22E">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lang w:eastAsia="zh-CN"/>
                    </w:rPr>
                    <w:t>监</w:t>
                  </w:r>
                  <w:r>
                    <w:rPr>
                      <w:b w:val="0"/>
                      <w:bCs w:val="0"/>
                      <w:color w:val="auto"/>
                      <w:sz w:val="21"/>
                      <w:szCs w:val="21"/>
                      <w:highlight w:val="none"/>
                    </w:rPr>
                    <w:t>测点</w:t>
                  </w:r>
                </w:p>
              </w:tc>
              <w:tc>
                <w:tcPr>
                  <w:tcW w:w="1433" w:type="pct"/>
                  <w:gridSpan w:val="2"/>
                  <w:shd w:val="clear" w:color="auto" w:fill="auto"/>
                  <w:noWrap w:val="0"/>
                  <w:vAlign w:val="center"/>
                </w:tcPr>
                <w:p w14:paraId="54F6E31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lang w:eastAsia="zh-CN"/>
                    </w:rPr>
                    <w:t>监测结果</w:t>
                  </w:r>
                </w:p>
              </w:tc>
              <w:tc>
                <w:tcPr>
                  <w:tcW w:w="717" w:type="pct"/>
                  <w:vMerge w:val="restart"/>
                  <w:tcBorders>
                    <w:right w:val="single" w:color="auto" w:sz="2" w:space="0"/>
                  </w:tcBorders>
                  <w:shd w:val="clear" w:color="auto" w:fill="auto"/>
                  <w:noWrap w:val="0"/>
                  <w:vAlign w:val="center"/>
                </w:tcPr>
                <w:p w14:paraId="7ABA3F81">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标准值</w:t>
                  </w:r>
                </w:p>
              </w:tc>
              <w:tc>
                <w:tcPr>
                  <w:tcW w:w="718" w:type="pct"/>
                  <w:vMerge w:val="restart"/>
                  <w:tcBorders>
                    <w:right w:val="single" w:color="auto" w:sz="2" w:space="0"/>
                  </w:tcBorders>
                  <w:shd w:val="clear" w:color="auto" w:fill="auto"/>
                  <w:noWrap w:val="0"/>
                  <w:vAlign w:val="center"/>
                </w:tcPr>
                <w:p w14:paraId="3F653601">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是否</w:t>
                  </w:r>
                </w:p>
                <w:p w14:paraId="16DAA71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超标</w:t>
                  </w:r>
                </w:p>
              </w:tc>
            </w:tr>
            <w:tr w14:paraId="7F25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pct"/>
                  <w:vMerge w:val="continue"/>
                  <w:shd w:val="clear" w:color="auto" w:fill="auto"/>
                  <w:noWrap w:val="0"/>
                  <w:vAlign w:val="center"/>
                </w:tcPr>
                <w:p w14:paraId="4C1A43C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918" w:type="pct"/>
                  <w:vMerge w:val="continue"/>
                  <w:shd w:val="clear" w:color="auto" w:fill="auto"/>
                  <w:noWrap w:val="0"/>
                  <w:vAlign w:val="center"/>
                </w:tcPr>
                <w:p w14:paraId="1D4477C9">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712" w:type="pct"/>
                  <w:shd w:val="clear" w:color="auto" w:fill="auto"/>
                  <w:noWrap w:val="0"/>
                  <w:vAlign w:val="center"/>
                </w:tcPr>
                <w:p w14:paraId="098D7494">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昼间</w:t>
                  </w:r>
                </w:p>
              </w:tc>
              <w:tc>
                <w:tcPr>
                  <w:tcW w:w="721" w:type="pct"/>
                  <w:shd w:val="clear" w:color="auto" w:fill="auto"/>
                  <w:noWrap w:val="0"/>
                  <w:vAlign w:val="center"/>
                </w:tcPr>
                <w:p w14:paraId="6A1664F8">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夜间</w:t>
                  </w:r>
                </w:p>
              </w:tc>
              <w:tc>
                <w:tcPr>
                  <w:tcW w:w="717" w:type="pct"/>
                  <w:vMerge w:val="continue"/>
                  <w:tcBorders>
                    <w:right w:val="single" w:color="auto" w:sz="2" w:space="0"/>
                  </w:tcBorders>
                  <w:shd w:val="clear" w:color="auto" w:fill="auto"/>
                  <w:noWrap w:val="0"/>
                  <w:vAlign w:val="center"/>
                </w:tcPr>
                <w:p w14:paraId="73833897">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718" w:type="pct"/>
                  <w:vMerge w:val="continue"/>
                  <w:tcBorders>
                    <w:right w:val="single" w:color="auto" w:sz="2" w:space="0"/>
                  </w:tcBorders>
                  <w:shd w:val="clear" w:color="auto" w:fill="auto"/>
                  <w:noWrap w:val="0"/>
                  <w:vAlign w:val="center"/>
                </w:tcPr>
                <w:p w14:paraId="5A2D0A85">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r>
            <w:tr w14:paraId="6C4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pct"/>
                  <w:vMerge w:val="restart"/>
                  <w:shd w:val="clear" w:color="auto" w:fill="auto"/>
                  <w:noWrap w:val="0"/>
                  <w:vAlign w:val="center"/>
                </w:tcPr>
                <w:p w14:paraId="1696FF7F">
                  <w:pPr>
                    <w:jc w:val="center"/>
                    <w:rPr>
                      <w:rFonts w:ascii="Times New Roman" w:hAnsi="Times New Roman"/>
                      <w:color w:val="auto"/>
                      <w:kern w:val="2"/>
                      <w:sz w:val="21"/>
                      <w:szCs w:val="21"/>
                      <w:highlight w:val="none"/>
                      <w:lang w:val="en-US" w:eastAsia="zh-CN" w:bidi="ar-SA"/>
                    </w:rPr>
                  </w:pPr>
                  <w:r>
                    <w:rPr>
                      <w:rFonts w:ascii="Times New Roman" w:hAnsi="Times New Roman"/>
                      <w:color w:val="auto"/>
                      <w:szCs w:val="21"/>
                      <w:highlight w:val="none"/>
                    </w:rPr>
                    <w:t>202</w:t>
                  </w:r>
                  <w:r>
                    <w:rPr>
                      <w:rFonts w:hint="eastAsia" w:ascii="Times New Roman" w:hAnsi="Times New Roman"/>
                      <w:color w:val="auto"/>
                      <w:szCs w:val="21"/>
                      <w:highlight w:val="none"/>
                      <w:lang w:val="en-US" w:eastAsia="zh-CN"/>
                    </w:rPr>
                    <w:t>4</w:t>
                  </w:r>
                  <w:r>
                    <w:rPr>
                      <w:rFonts w:ascii="Times New Roman" w:hAnsi="Times New Roman"/>
                      <w:color w:val="auto"/>
                      <w:szCs w:val="21"/>
                      <w:highlight w:val="none"/>
                    </w:rPr>
                    <w:t>年</w:t>
                  </w:r>
                  <w:r>
                    <w:rPr>
                      <w:rFonts w:hint="eastAsia" w:ascii="Times New Roman" w:hAnsi="Times New Roman"/>
                      <w:color w:val="auto"/>
                      <w:szCs w:val="21"/>
                      <w:highlight w:val="none"/>
                    </w:rPr>
                    <w:t>7</w:t>
                  </w:r>
                  <w:r>
                    <w:rPr>
                      <w:rFonts w:ascii="Times New Roman" w:hAnsi="Times New Roman"/>
                      <w:color w:val="auto"/>
                      <w:szCs w:val="21"/>
                      <w:highlight w:val="none"/>
                    </w:rPr>
                    <w:t>月1</w:t>
                  </w:r>
                  <w:r>
                    <w:rPr>
                      <w:rFonts w:hint="eastAsia" w:ascii="Times New Roman" w:hAnsi="Times New Roman"/>
                      <w:color w:val="auto"/>
                      <w:szCs w:val="21"/>
                      <w:highlight w:val="none"/>
                    </w:rPr>
                    <w:t>2</w:t>
                  </w:r>
                  <w:r>
                    <w:rPr>
                      <w:rFonts w:ascii="Times New Roman" w:hAnsi="Times New Roman"/>
                      <w:color w:val="auto"/>
                      <w:szCs w:val="21"/>
                      <w:highlight w:val="none"/>
                    </w:rPr>
                    <w:t>日</w:t>
                  </w:r>
                </w:p>
              </w:tc>
              <w:tc>
                <w:tcPr>
                  <w:tcW w:w="918" w:type="pct"/>
                  <w:shd w:val="clear" w:color="auto" w:fill="auto"/>
                  <w:noWrap w:val="0"/>
                  <w:vAlign w:val="center"/>
                </w:tcPr>
                <w:p w14:paraId="1D7DE5F9">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val="0"/>
                      <w:bCs w:val="0"/>
                      <w:color w:val="auto"/>
                      <w:kern w:val="2"/>
                      <w:sz w:val="21"/>
                      <w:szCs w:val="21"/>
                      <w:highlight w:val="none"/>
                      <w:lang w:val="en-US" w:eastAsia="zh-CN"/>
                    </w:rPr>
                  </w:pPr>
                  <w:r>
                    <w:rPr>
                      <w:rFonts w:ascii="Times New Roman" w:hAnsi="Times New Roman"/>
                      <w:b w:val="0"/>
                      <w:bCs w:val="0"/>
                      <w:color w:val="auto"/>
                      <w:kern w:val="2"/>
                      <w:sz w:val="21"/>
                      <w:szCs w:val="21"/>
                      <w:highlight w:val="none"/>
                      <w:lang w:val="en-US" w:eastAsia="zh-CN"/>
                    </w:rPr>
                    <w:t>东厂界</w:t>
                  </w:r>
                </w:p>
              </w:tc>
              <w:tc>
                <w:tcPr>
                  <w:tcW w:w="712" w:type="pct"/>
                  <w:shd w:val="clear" w:color="auto" w:fill="auto"/>
                  <w:noWrap w:val="0"/>
                  <w:vAlign w:val="center"/>
                </w:tcPr>
                <w:p w14:paraId="1CCC69A5">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58</w:t>
                  </w:r>
                </w:p>
              </w:tc>
              <w:tc>
                <w:tcPr>
                  <w:tcW w:w="721" w:type="pct"/>
                  <w:shd w:val="clear" w:color="auto" w:fill="auto"/>
                  <w:noWrap w:val="0"/>
                  <w:vAlign w:val="center"/>
                </w:tcPr>
                <w:p w14:paraId="5369CC9B">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717" w:type="pct"/>
                  <w:vMerge w:val="restart"/>
                  <w:tcBorders>
                    <w:right w:val="single" w:color="auto" w:sz="2" w:space="0"/>
                  </w:tcBorders>
                  <w:shd w:val="clear" w:color="auto" w:fill="auto"/>
                  <w:noWrap w:val="0"/>
                  <w:vAlign w:val="center"/>
                </w:tcPr>
                <w:p w14:paraId="5D1BCB65">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b w:val="0"/>
                      <w:bCs w:val="0"/>
                      <w:color w:val="auto"/>
                      <w:sz w:val="21"/>
                      <w:szCs w:val="21"/>
                      <w:highlight w:val="none"/>
                    </w:rPr>
                    <w:t>昼间</w:t>
                  </w:r>
                  <w:r>
                    <w:rPr>
                      <w:rFonts w:hint="eastAsia"/>
                      <w:b w:val="0"/>
                      <w:bCs w:val="0"/>
                      <w:color w:val="auto"/>
                      <w:sz w:val="21"/>
                      <w:szCs w:val="21"/>
                      <w:highlight w:val="none"/>
                      <w:lang w:val="en-US" w:eastAsia="zh-CN"/>
                    </w:rPr>
                    <w:t>65</w:t>
                  </w:r>
                </w:p>
                <w:p w14:paraId="42815FF3">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b w:val="0"/>
                      <w:bCs w:val="0"/>
                      <w:color w:val="auto"/>
                      <w:sz w:val="21"/>
                      <w:szCs w:val="21"/>
                      <w:highlight w:val="none"/>
                    </w:rPr>
                    <w:t>夜间</w:t>
                  </w:r>
                  <w:r>
                    <w:rPr>
                      <w:rFonts w:hint="eastAsia"/>
                      <w:b w:val="0"/>
                      <w:bCs w:val="0"/>
                      <w:color w:val="auto"/>
                      <w:sz w:val="21"/>
                      <w:szCs w:val="21"/>
                      <w:highlight w:val="none"/>
                      <w:lang w:val="en-US" w:eastAsia="zh-CN"/>
                    </w:rPr>
                    <w:t>55</w:t>
                  </w:r>
                </w:p>
              </w:tc>
              <w:tc>
                <w:tcPr>
                  <w:tcW w:w="718" w:type="pct"/>
                  <w:tcBorders>
                    <w:right w:val="single" w:color="auto" w:sz="2" w:space="0"/>
                  </w:tcBorders>
                  <w:shd w:val="clear" w:color="auto" w:fill="auto"/>
                  <w:noWrap w:val="0"/>
                  <w:vAlign w:val="center"/>
                </w:tcPr>
                <w:p w14:paraId="3D6BABCF">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达标</w:t>
                  </w:r>
                </w:p>
              </w:tc>
            </w:tr>
            <w:tr w14:paraId="38C2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pct"/>
                  <w:vMerge w:val="continue"/>
                  <w:shd w:val="clear" w:color="auto" w:fill="auto"/>
                  <w:noWrap w:val="0"/>
                  <w:vAlign w:val="center"/>
                </w:tcPr>
                <w:p w14:paraId="0893F08E">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918" w:type="pct"/>
                  <w:shd w:val="clear" w:color="auto" w:fill="auto"/>
                  <w:noWrap w:val="0"/>
                  <w:vAlign w:val="center"/>
                </w:tcPr>
                <w:p w14:paraId="6F19D1A2">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南厂界</w:t>
                  </w:r>
                </w:p>
              </w:tc>
              <w:tc>
                <w:tcPr>
                  <w:tcW w:w="712" w:type="pct"/>
                  <w:shd w:val="clear" w:color="auto" w:fill="auto"/>
                  <w:noWrap w:val="0"/>
                  <w:vAlign w:val="center"/>
                </w:tcPr>
                <w:p w14:paraId="24C2DE43">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58</w:t>
                  </w:r>
                </w:p>
              </w:tc>
              <w:tc>
                <w:tcPr>
                  <w:tcW w:w="721" w:type="pct"/>
                  <w:shd w:val="clear" w:color="auto" w:fill="auto"/>
                  <w:noWrap w:val="0"/>
                  <w:vAlign w:val="center"/>
                </w:tcPr>
                <w:p w14:paraId="7A4A1A40">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49</w:t>
                  </w:r>
                </w:p>
              </w:tc>
              <w:tc>
                <w:tcPr>
                  <w:tcW w:w="717" w:type="pct"/>
                  <w:vMerge w:val="continue"/>
                  <w:tcBorders>
                    <w:right w:val="single" w:color="auto" w:sz="2" w:space="0"/>
                  </w:tcBorders>
                  <w:shd w:val="clear" w:color="auto" w:fill="auto"/>
                  <w:noWrap w:val="0"/>
                  <w:vAlign w:val="center"/>
                </w:tcPr>
                <w:p w14:paraId="5548C75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718" w:type="pct"/>
                  <w:tcBorders>
                    <w:right w:val="single" w:color="auto" w:sz="2" w:space="0"/>
                  </w:tcBorders>
                  <w:shd w:val="clear" w:color="auto" w:fill="auto"/>
                  <w:noWrap w:val="0"/>
                  <w:vAlign w:val="center"/>
                </w:tcPr>
                <w:p w14:paraId="5CE1EDA7">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lang w:eastAsia="zh-CN"/>
                    </w:rPr>
                    <w:t>达标</w:t>
                  </w:r>
                </w:p>
              </w:tc>
            </w:tr>
            <w:tr w14:paraId="6A51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pct"/>
                  <w:vMerge w:val="continue"/>
                  <w:shd w:val="clear" w:color="auto" w:fill="auto"/>
                  <w:noWrap w:val="0"/>
                  <w:vAlign w:val="center"/>
                </w:tcPr>
                <w:p w14:paraId="3371B4D3">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b w:val="0"/>
                      <w:bCs w:val="0"/>
                      <w:color w:val="auto"/>
                      <w:kern w:val="2"/>
                      <w:sz w:val="21"/>
                      <w:szCs w:val="21"/>
                      <w:highlight w:val="none"/>
                      <w:lang w:val="en-US" w:eastAsia="zh-CN"/>
                    </w:rPr>
                  </w:pPr>
                </w:p>
              </w:tc>
              <w:tc>
                <w:tcPr>
                  <w:tcW w:w="918" w:type="pct"/>
                  <w:shd w:val="clear" w:color="auto" w:fill="auto"/>
                  <w:noWrap w:val="0"/>
                  <w:vAlign w:val="center"/>
                </w:tcPr>
                <w:p w14:paraId="3CD45A5A">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val="0"/>
                      <w:bCs w:val="0"/>
                      <w:color w:val="auto"/>
                      <w:kern w:val="2"/>
                      <w:sz w:val="21"/>
                      <w:szCs w:val="21"/>
                      <w:highlight w:val="none"/>
                      <w:lang w:val="en-US" w:eastAsia="zh-CN"/>
                    </w:rPr>
                  </w:pPr>
                  <w:r>
                    <w:rPr>
                      <w:rFonts w:hint="eastAsia" w:ascii="Times New Roman" w:hAnsi="Times New Roman"/>
                      <w:b w:val="0"/>
                      <w:bCs w:val="0"/>
                      <w:color w:val="auto"/>
                      <w:kern w:val="2"/>
                      <w:sz w:val="21"/>
                      <w:szCs w:val="21"/>
                      <w:highlight w:val="none"/>
                      <w:lang w:val="en-US" w:eastAsia="zh-CN"/>
                    </w:rPr>
                    <w:t>西</w:t>
                  </w:r>
                  <w:r>
                    <w:rPr>
                      <w:rFonts w:ascii="Times New Roman" w:hAnsi="Times New Roman"/>
                      <w:b w:val="0"/>
                      <w:bCs w:val="0"/>
                      <w:color w:val="auto"/>
                      <w:kern w:val="2"/>
                      <w:sz w:val="21"/>
                      <w:szCs w:val="21"/>
                      <w:highlight w:val="none"/>
                      <w:lang w:val="en-US" w:eastAsia="zh-CN"/>
                    </w:rPr>
                    <w:t>厂界</w:t>
                  </w:r>
                </w:p>
              </w:tc>
              <w:tc>
                <w:tcPr>
                  <w:tcW w:w="712" w:type="pct"/>
                  <w:shd w:val="clear" w:color="auto" w:fill="auto"/>
                  <w:noWrap w:val="0"/>
                  <w:vAlign w:val="center"/>
                </w:tcPr>
                <w:p w14:paraId="47FC73DD">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56</w:t>
                  </w:r>
                </w:p>
              </w:tc>
              <w:tc>
                <w:tcPr>
                  <w:tcW w:w="721" w:type="pct"/>
                  <w:shd w:val="clear" w:color="auto" w:fill="auto"/>
                  <w:noWrap w:val="0"/>
                  <w:vAlign w:val="center"/>
                </w:tcPr>
                <w:p w14:paraId="00AC3D0F">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52</w:t>
                  </w:r>
                </w:p>
              </w:tc>
              <w:tc>
                <w:tcPr>
                  <w:tcW w:w="717" w:type="pct"/>
                  <w:vMerge w:val="continue"/>
                  <w:tcBorders>
                    <w:right w:val="single" w:color="auto" w:sz="2" w:space="0"/>
                  </w:tcBorders>
                  <w:shd w:val="clear" w:color="auto" w:fill="auto"/>
                  <w:noWrap w:val="0"/>
                  <w:vAlign w:val="center"/>
                </w:tcPr>
                <w:p w14:paraId="216F62C4">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718" w:type="pct"/>
                  <w:tcBorders>
                    <w:right w:val="single" w:color="auto" w:sz="2" w:space="0"/>
                  </w:tcBorders>
                  <w:shd w:val="clear" w:color="auto" w:fill="auto"/>
                  <w:noWrap w:val="0"/>
                  <w:vAlign w:val="center"/>
                </w:tcPr>
                <w:p w14:paraId="7E1C246A">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lang w:eastAsia="zh-CN"/>
                    </w:rPr>
                    <w:t>达标</w:t>
                  </w:r>
                </w:p>
              </w:tc>
            </w:tr>
            <w:tr w14:paraId="376E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pct"/>
                  <w:vMerge w:val="continue"/>
                  <w:shd w:val="clear" w:color="auto" w:fill="auto"/>
                  <w:noWrap w:val="0"/>
                  <w:vAlign w:val="center"/>
                </w:tcPr>
                <w:p w14:paraId="5C205B16">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b w:val="0"/>
                      <w:bCs w:val="0"/>
                      <w:color w:val="auto"/>
                      <w:kern w:val="2"/>
                      <w:sz w:val="21"/>
                      <w:szCs w:val="21"/>
                      <w:highlight w:val="none"/>
                      <w:lang w:val="en-US" w:eastAsia="zh-CN"/>
                    </w:rPr>
                  </w:pPr>
                </w:p>
              </w:tc>
              <w:tc>
                <w:tcPr>
                  <w:tcW w:w="918" w:type="pct"/>
                  <w:shd w:val="clear" w:color="auto" w:fill="auto"/>
                  <w:noWrap w:val="0"/>
                  <w:vAlign w:val="center"/>
                </w:tcPr>
                <w:p w14:paraId="009A279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b w:val="0"/>
                      <w:bCs w:val="0"/>
                      <w:color w:val="auto"/>
                      <w:kern w:val="2"/>
                      <w:sz w:val="21"/>
                      <w:szCs w:val="21"/>
                      <w:highlight w:val="none"/>
                      <w:lang w:val="en-US" w:eastAsia="zh-CN" w:bidi="ar-SA"/>
                    </w:rPr>
                  </w:pPr>
                  <w:r>
                    <w:rPr>
                      <w:rFonts w:hint="eastAsia" w:ascii="Times New Roman" w:hAnsi="Times New Roman"/>
                      <w:b w:val="0"/>
                      <w:bCs w:val="0"/>
                      <w:color w:val="auto"/>
                      <w:kern w:val="2"/>
                      <w:sz w:val="21"/>
                      <w:szCs w:val="21"/>
                      <w:highlight w:val="none"/>
                      <w:lang w:val="en-US" w:eastAsia="zh-CN"/>
                    </w:rPr>
                    <w:t>北</w:t>
                  </w:r>
                  <w:r>
                    <w:rPr>
                      <w:rFonts w:ascii="Times New Roman" w:hAnsi="Times New Roman"/>
                      <w:b w:val="0"/>
                      <w:bCs w:val="0"/>
                      <w:color w:val="auto"/>
                      <w:kern w:val="2"/>
                      <w:sz w:val="21"/>
                      <w:szCs w:val="21"/>
                      <w:highlight w:val="none"/>
                      <w:lang w:val="en-US" w:eastAsia="zh-CN"/>
                    </w:rPr>
                    <w:t>厂界</w:t>
                  </w:r>
                </w:p>
              </w:tc>
              <w:tc>
                <w:tcPr>
                  <w:tcW w:w="712" w:type="pct"/>
                  <w:shd w:val="clear" w:color="auto" w:fill="auto"/>
                  <w:noWrap w:val="0"/>
                  <w:vAlign w:val="center"/>
                </w:tcPr>
                <w:p w14:paraId="2FC5506F">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57</w:t>
                  </w:r>
                </w:p>
              </w:tc>
              <w:tc>
                <w:tcPr>
                  <w:tcW w:w="721" w:type="pct"/>
                  <w:shd w:val="clear" w:color="auto" w:fill="auto"/>
                  <w:noWrap w:val="0"/>
                  <w:vAlign w:val="center"/>
                </w:tcPr>
                <w:p w14:paraId="45042BE6">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51</w:t>
                  </w:r>
                </w:p>
              </w:tc>
              <w:tc>
                <w:tcPr>
                  <w:tcW w:w="717" w:type="pct"/>
                  <w:vMerge w:val="continue"/>
                  <w:tcBorders>
                    <w:right w:val="single" w:color="auto" w:sz="2" w:space="0"/>
                  </w:tcBorders>
                  <w:shd w:val="clear" w:color="auto" w:fill="auto"/>
                  <w:noWrap w:val="0"/>
                  <w:vAlign w:val="center"/>
                </w:tcPr>
                <w:p w14:paraId="1267FE8F">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718" w:type="pct"/>
                  <w:tcBorders>
                    <w:right w:val="single" w:color="auto" w:sz="2" w:space="0"/>
                  </w:tcBorders>
                  <w:shd w:val="clear" w:color="auto" w:fill="auto"/>
                  <w:noWrap w:val="0"/>
                  <w:vAlign w:val="center"/>
                </w:tcPr>
                <w:p w14:paraId="51B2EC1F">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kern w:val="2"/>
                      <w:sz w:val="21"/>
                      <w:szCs w:val="21"/>
                      <w:highlight w:val="none"/>
                      <w:lang w:val="en-US" w:eastAsia="zh-CN" w:bidi="ar-SA"/>
                    </w:rPr>
                  </w:pPr>
                  <w:r>
                    <w:rPr>
                      <w:rFonts w:hint="eastAsia"/>
                      <w:b w:val="0"/>
                      <w:bCs w:val="0"/>
                      <w:color w:val="auto"/>
                      <w:sz w:val="21"/>
                      <w:szCs w:val="21"/>
                      <w:highlight w:val="none"/>
                      <w:lang w:eastAsia="zh-CN"/>
                    </w:rPr>
                    <w:t>达标</w:t>
                  </w:r>
                </w:p>
              </w:tc>
            </w:tr>
          </w:tbl>
          <w:p w14:paraId="049B3F62">
            <w:pPr>
              <w:spacing w:line="360" w:lineRule="auto"/>
              <w:ind w:firstLine="480" w:firstLineChars="200"/>
              <w:rPr>
                <w:rFonts w:ascii="Times New Roman" w:hAnsi="Times New Roman"/>
                <w:color w:val="000000"/>
                <w:sz w:val="24"/>
                <w:szCs w:val="21"/>
                <w:highlight w:val="none"/>
                <w:lang w:bidi="zh-HK"/>
              </w:rPr>
            </w:pPr>
            <w:r>
              <w:rPr>
                <w:rFonts w:hint="eastAsia" w:ascii="Times New Roman" w:hAnsi="Times New Roman"/>
                <w:color w:val="000000"/>
                <w:sz w:val="24"/>
                <w:szCs w:val="21"/>
                <w:highlight w:val="none"/>
                <w:lang w:bidi="zh-HK"/>
              </w:rPr>
              <w:t>由表2-12可知，</w:t>
            </w:r>
            <w:r>
              <w:rPr>
                <w:rFonts w:ascii="Times New Roman" w:hAnsi="Times New Roman"/>
                <w:color w:val="000000"/>
                <w:sz w:val="24"/>
                <w:szCs w:val="21"/>
                <w:highlight w:val="none"/>
                <w:lang w:bidi="zh-HK"/>
              </w:rPr>
              <w:t>现有项目各侧厂界昼间噪声符合《工业企业厂界环境噪声排放标准》（GB 12348-2008）3类标准限值要求。</w:t>
            </w:r>
          </w:p>
          <w:p w14:paraId="0117118E">
            <w:pPr>
              <w:widowControl/>
              <w:tabs>
                <w:tab w:val="left" w:pos="4423"/>
              </w:tabs>
              <w:spacing w:line="360" w:lineRule="auto"/>
              <w:ind w:firstLine="480" w:firstLineChars="200"/>
              <w:rPr>
                <w:rFonts w:ascii="Times New Roman" w:hAnsi="Times New Roman"/>
                <w:color w:val="000000"/>
                <w:sz w:val="24"/>
                <w:szCs w:val="22"/>
                <w:highlight w:val="none"/>
              </w:rPr>
            </w:pPr>
            <w:r>
              <w:rPr>
                <w:rFonts w:ascii="Times New Roman" w:hAnsi="Times New Roman"/>
                <w:color w:val="000000"/>
                <w:sz w:val="24"/>
                <w:szCs w:val="22"/>
                <w:highlight w:val="none"/>
              </w:rPr>
              <w:t>（4）固废</w:t>
            </w:r>
          </w:p>
          <w:p w14:paraId="7D5FFF21">
            <w:pPr>
              <w:widowControl/>
              <w:tabs>
                <w:tab w:val="left" w:pos="4423"/>
              </w:tabs>
              <w:spacing w:line="360" w:lineRule="auto"/>
              <w:ind w:firstLine="480" w:firstLineChars="200"/>
              <w:rPr>
                <w:rFonts w:ascii="Times New Roman" w:hAnsi="Times New Roman"/>
                <w:color w:val="000000"/>
                <w:sz w:val="24"/>
                <w:szCs w:val="21"/>
                <w:highlight w:val="none"/>
                <w:lang w:bidi="zh-HK"/>
              </w:rPr>
            </w:pPr>
            <w:r>
              <w:rPr>
                <w:rFonts w:ascii="Times New Roman" w:hAnsi="Times New Roman"/>
                <w:color w:val="000000"/>
                <w:sz w:val="24"/>
                <w:szCs w:val="21"/>
                <w:highlight w:val="none"/>
                <w:lang w:bidi="zh-HK"/>
              </w:rPr>
              <w:t>现有项目固废主要为危险废物</w:t>
            </w:r>
            <w:r>
              <w:rPr>
                <w:rFonts w:hint="eastAsia" w:ascii="Times New Roman" w:hAnsi="Times New Roman"/>
                <w:color w:val="000000"/>
                <w:sz w:val="24"/>
                <w:szCs w:val="21"/>
                <w:highlight w:val="none"/>
                <w:lang w:bidi="zh-HK"/>
              </w:rPr>
              <w:t>、一般固废</w:t>
            </w:r>
            <w:r>
              <w:rPr>
                <w:rFonts w:ascii="Times New Roman" w:hAnsi="Times New Roman"/>
                <w:color w:val="000000"/>
                <w:sz w:val="24"/>
                <w:szCs w:val="21"/>
                <w:highlight w:val="none"/>
                <w:lang w:bidi="zh-HK"/>
              </w:rPr>
              <w:t>及生活垃圾。</w:t>
            </w:r>
          </w:p>
          <w:p w14:paraId="29432A35">
            <w:pPr>
              <w:widowControl/>
              <w:tabs>
                <w:tab w:val="left" w:pos="4423"/>
              </w:tabs>
              <w:spacing w:line="360" w:lineRule="auto"/>
              <w:ind w:firstLine="480" w:firstLineChars="200"/>
              <w:rPr>
                <w:rFonts w:hint="eastAsia" w:ascii="Times New Roman" w:hAnsi="Times New Roman"/>
                <w:color w:val="000000"/>
                <w:sz w:val="24"/>
                <w:szCs w:val="21"/>
                <w:highlight w:val="none"/>
                <w:lang w:bidi="zh-HK"/>
              </w:rPr>
            </w:pPr>
            <w:r>
              <w:rPr>
                <w:rFonts w:ascii="Times New Roman" w:hAnsi="Times New Roman"/>
                <w:color w:val="000000"/>
                <w:sz w:val="24"/>
                <w:szCs w:val="21"/>
                <w:highlight w:val="none"/>
                <w:lang w:bidi="zh-HK"/>
              </w:rPr>
              <w:t>危险废物：</w:t>
            </w:r>
            <w:r>
              <w:rPr>
                <w:rFonts w:hint="eastAsia" w:ascii="Times New Roman" w:hAnsi="Times New Roman"/>
                <w:color w:val="000000"/>
                <w:sz w:val="24"/>
                <w:szCs w:val="21"/>
                <w:highlight w:val="none"/>
                <w:lang w:val="en-US" w:eastAsia="zh-CN" w:bidi="zh-HK"/>
              </w:rPr>
              <w:t>在厂区西南角</w:t>
            </w:r>
            <w:r>
              <w:rPr>
                <w:rFonts w:hint="eastAsia" w:ascii="Times New Roman" w:hAnsi="Times New Roman"/>
                <w:color w:val="000000"/>
                <w:sz w:val="24"/>
                <w:szCs w:val="21"/>
                <w:highlight w:val="none"/>
                <w:lang w:bidi="zh-HK"/>
              </w:rPr>
              <w:t>设置有1间危险废物贮存库，占地面积约</w:t>
            </w:r>
            <w:r>
              <w:rPr>
                <w:rFonts w:hint="eastAsia" w:ascii="Times New Roman" w:hAnsi="Times New Roman"/>
                <w:color w:val="000000"/>
                <w:sz w:val="24"/>
                <w:szCs w:val="21"/>
                <w:highlight w:val="none"/>
                <w:lang w:val="en-US" w:eastAsia="zh-CN" w:bidi="zh-HK"/>
              </w:rPr>
              <w:t>50</w:t>
            </w:r>
            <w:r>
              <w:rPr>
                <w:rFonts w:hint="eastAsia" w:ascii="Times New Roman" w:hAnsi="Times New Roman"/>
                <w:color w:val="000000"/>
                <w:sz w:val="24"/>
                <w:szCs w:val="21"/>
                <w:highlight w:val="none"/>
                <w:lang w:bidi="zh-HK"/>
              </w:rPr>
              <w:t>m</w:t>
            </w:r>
            <w:r>
              <w:rPr>
                <w:rFonts w:hint="eastAsia" w:ascii="Times New Roman" w:hAnsi="Times New Roman"/>
                <w:color w:val="000000"/>
                <w:sz w:val="24"/>
                <w:szCs w:val="21"/>
                <w:highlight w:val="none"/>
                <w:vertAlign w:val="superscript"/>
                <w:lang w:bidi="zh-HK"/>
              </w:rPr>
              <w:t>2</w:t>
            </w:r>
            <w:r>
              <w:rPr>
                <w:rFonts w:hint="eastAsia" w:ascii="Times New Roman" w:hAnsi="Times New Roman"/>
                <w:color w:val="000000"/>
                <w:sz w:val="24"/>
                <w:szCs w:val="21"/>
                <w:highlight w:val="none"/>
                <w:lang w:bidi="zh-HK"/>
              </w:rPr>
              <w:t>，</w:t>
            </w:r>
            <w:r>
              <w:rPr>
                <w:rFonts w:ascii="Times New Roman" w:hAnsi="Times New Roman"/>
                <w:color w:val="000000"/>
                <w:sz w:val="24"/>
                <w:szCs w:val="21"/>
                <w:highlight w:val="none"/>
                <w:lang w:bidi="zh-HK"/>
              </w:rPr>
              <w:t>盛装原料的废空桶、</w:t>
            </w:r>
            <w:r>
              <w:rPr>
                <w:rFonts w:hint="eastAsia" w:ascii="Times New Roman" w:hAnsi="Times New Roman"/>
                <w:color w:val="000000"/>
                <w:sz w:val="24"/>
                <w:szCs w:val="21"/>
                <w:highlight w:val="none"/>
                <w:lang w:eastAsia="zh-CN" w:bidi="zh-HK"/>
              </w:rPr>
              <w:t>氢氧化钠包装袋、</w:t>
            </w:r>
            <w:r>
              <w:rPr>
                <w:rFonts w:ascii="Times New Roman" w:hAnsi="Times New Roman"/>
                <w:color w:val="000000"/>
                <w:sz w:val="24"/>
                <w:szCs w:val="21"/>
                <w:highlight w:val="none"/>
                <w:lang w:bidi="zh-HK"/>
              </w:rPr>
              <w:t>废气处理产生的废活性炭、设备设施的废机油分类别暂存于危险废物贮存库</w:t>
            </w:r>
            <w:r>
              <w:rPr>
                <w:rFonts w:hint="eastAsia" w:ascii="Times New Roman" w:hAnsi="Times New Roman"/>
                <w:color w:val="000000"/>
                <w:sz w:val="24"/>
                <w:szCs w:val="21"/>
                <w:highlight w:val="none"/>
                <w:lang w:bidi="zh-HK"/>
              </w:rPr>
              <w:t>内</w:t>
            </w:r>
            <w:r>
              <w:rPr>
                <w:rFonts w:ascii="Times New Roman" w:hAnsi="Times New Roman"/>
                <w:color w:val="000000"/>
                <w:sz w:val="24"/>
                <w:szCs w:val="21"/>
                <w:highlight w:val="none"/>
                <w:lang w:bidi="zh-HK"/>
              </w:rPr>
              <w:t>。其中盛装原料的废空桶</w:t>
            </w:r>
            <w:r>
              <w:rPr>
                <w:rFonts w:hint="eastAsia" w:ascii="Times New Roman" w:hAnsi="Times New Roman"/>
                <w:color w:val="000000"/>
                <w:sz w:val="24"/>
                <w:szCs w:val="21"/>
                <w:highlight w:val="none"/>
                <w:lang w:eastAsia="zh-CN" w:bidi="zh-HK"/>
              </w:rPr>
              <w:t>、氢氧化钠包装袋、</w:t>
            </w:r>
            <w:r>
              <w:rPr>
                <w:rFonts w:ascii="Times New Roman" w:hAnsi="Times New Roman"/>
                <w:color w:val="000000"/>
                <w:sz w:val="24"/>
                <w:szCs w:val="21"/>
                <w:highlight w:val="none"/>
                <w:lang w:bidi="zh-HK"/>
              </w:rPr>
              <w:t>废活性炭和废机油定期交</w:t>
            </w:r>
            <w:r>
              <w:rPr>
                <w:rFonts w:hint="eastAsia" w:ascii="Times New Roman" w:hAnsi="Times New Roman"/>
                <w:color w:val="000000"/>
                <w:sz w:val="24"/>
                <w:szCs w:val="21"/>
                <w:highlight w:val="none"/>
                <w:lang w:bidi="zh-HK"/>
              </w:rPr>
              <w:t>陕西环能科技有限公司回收处置；废催化剂（电解银）定期交由供应商回收电解再利用。</w:t>
            </w:r>
          </w:p>
          <w:p w14:paraId="0621464B">
            <w:pPr>
              <w:widowControl/>
              <w:tabs>
                <w:tab w:val="left" w:pos="4423"/>
              </w:tabs>
              <w:spacing w:line="360" w:lineRule="auto"/>
              <w:ind w:firstLine="480" w:firstLineChars="200"/>
              <w:rPr>
                <w:rFonts w:hint="eastAsia" w:ascii="Times New Roman" w:hAnsi="Times New Roman"/>
                <w:color w:val="000000"/>
                <w:sz w:val="24"/>
                <w:szCs w:val="21"/>
                <w:highlight w:val="none"/>
                <w:lang w:bidi="zh-HK"/>
              </w:rPr>
            </w:pPr>
            <w:r>
              <w:rPr>
                <w:rFonts w:hint="eastAsia" w:ascii="Times New Roman" w:hAnsi="Times New Roman"/>
                <w:color w:val="000000"/>
                <w:sz w:val="24"/>
                <w:szCs w:val="21"/>
                <w:highlight w:val="none"/>
                <w:lang w:bidi="zh-HK"/>
              </w:rPr>
              <w:t>一般固废：废包装袋（桶）收集暂存后出售</w:t>
            </w:r>
            <w:r>
              <w:rPr>
                <w:rFonts w:hint="eastAsia" w:ascii="Times New Roman" w:hAnsi="Times New Roman"/>
                <w:color w:val="000000"/>
                <w:sz w:val="24"/>
                <w:szCs w:val="21"/>
                <w:highlight w:val="none"/>
                <w:lang w:val="en-US" w:eastAsia="zh-CN" w:bidi="zh-HK"/>
              </w:rPr>
              <w:t>至</w:t>
            </w:r>
            <w:r>
              <w:rPr>
                <w:rFonts w:hint="eastAsia" w:ascii="Times New Roman" w:hAnsi="Times New Roman"/>
                <w:color w:val="000000"/>
                <w:sz w:val="24"/>
                <w:szCs w:val="21"/>
                <w:highlight w:val="none"/>
                <w:lang w:bidi="zh-HK"/>
              </w:rPr>
              <w:t>废品回收公司。</w:t>
            </w:r>
          </w:p>
          <w:p w14:paraId="144B158D">
            <w:pPr>
              <w:spacing w:line="360" w:lineRule="auto"/>
              <w:ind w:firstLine="480" w:firstLineChars="200"/>
              <w:rPr>
                <w:rFonts w:ascii="Times New Roman" w:hAnsi="Times New Roman"/>
                <w:color w:val="000000"/>
                <w:sz w:val="24"/>
                <w:szCs w:val="21"/>
                <w:highlight w:val="none"/>
                <w:lang w:bidi="zh-HK"/>
              </w:rPr>
            </w:pPr>
            <w:r>
              <w:rPr>
                <w:rFonts w:ascii="Times New Roman" w:hAnsi="Times New Roman"/>
                <w:color w:val="000000"/>
                <w:sz w:val="24"/>
                <w:highlight w:val="none"/>
              </w:rPr>
              <w:t>生活垃圾：收集于垃圾桶，由环卫部门统一清运。</w:t>
            </w:r>
          </w:p>
          <w:p w14:paraId="43BF9B5C">
            <w:pPr>
              <w:spacing w:line="360" w:lineRule="auto"/>
              <w:ind w:firstLine="480" w:firstLineChars="200"/>
              <w:rPr>
                <w:rFonts w:ascii="Times New Roman" w:hAnsi="Times New Roman"/>
                <w:color w:val="000000"/>
                <w:sz w:val="24"/>
                <w:szCs w:val="21"/>
                <w:highlight w:val="none"/>
                <w:lang w:bidi="zh-HK"/>
              </w:rPr>
            </w:pPr>
            <w:r>
              <w:rPr>
                <w:rFonts w:ascii="Times New Roman" w:hAnsi="Times New Roman"/>
                <w:color w:val="000000"/>
                <w:sz w:val="24"/>
                <w:szCs w:val="21"/>
                <w:highlight w:val="none"/>
                <w:lang w:bidi="zh-HK"/>
              </w:rPr>
              <w:t>现有项目固体废物的产生情况见表2-</w:t>
            </w:r>
            <w:r>
              <w:rPr>
                <w:rFonts w:hint="eastAsia" w:ascii="Times New Roman" w:hAnsi="Times New Roman"/>
                <w:color w:val="000000"/>
                <w:sz w:val="24"/>
                <w:szCs w:val="21"/>
                <w:highlight w:val="none"/>
                <w:lang w:val="en-US" w:eastAsia="zh-CN" w:bidi="zh-HK"/>
              </w:rPr>
              <w:t>21</w:t>
            </w:r>
            <w:r>
              <w:rPr>
                <w:rFonts w:ascii="Times New Roman" w:hAnsi="Times New Roman"/>
                <w:color w:val="000000"/>
                <w:sz w:val="24"/>
                <w:szCs w:val="21"/>
                <w:highlight w:val="none"/>
                <w:lang w:bidi="zh-HK"/>
              </w:rPr>
              <w:t>。</w:t>
            </w:r>
          </w:p>
          <w:p w14:paraId="2A5D3178">
            <w:pPr>
              <w:jc w:val="center"/>
              <w:rPr>
                <w:rFonts w:ascii="Times New Roman" w:hAnsi="Times New Roman"/>
                <w:b w:val="0"/>
                <w:bCs w:val="0"/>
                <w:color w:val="000000"/>
                <w:sz w:val="24"/>
                <w:highlight w:val="none"/>
              </w:rPr>
            </w:pPr>
            <w:r>
              <w:rPr>
                <w:rFonts w:ascii="Times New Roman" w:hAnsi="Times New Roman"/>
                <w:b w:val="0"/>
                <w:bCs w:val="0"/>
                <w:color w:val="000000"/>
                <w:sz w:val="24"/>
                <w:highlight w:val="none"/>
              </w:rPr>
              <w:t>表2-</w:t>
            </w:r>
            <w:r>
              <w:rPr>
                <w:rFonts w:hint="eastAsia" w:ascii="Times New Roman" w:hAnsi="Times New Roman"/>
                <w:b w:val="0"/>
                <w:bCs w:val="0"/>
                <w:color w:val="000000"/>
                <w:sz w:val="24"/>
                <w:highlight w:val="none"/>
                <w:lang w:val="en-US" w:eastAsia="zh-CN"/>
              </w:rPr>
              <w:t>21</w:t>
            </w:r>
            <w:r>
              <w:rPr>
                <w:rFonts w:ascii="Times New Roman" w:hAnsi="Times New Roman"/>
                <w:b w:val="0"/>
                <w:bCs w:val="0"/>
                <w:color w:val="000000"/>
                <w:sz w:val="24"/>
                <w:highlight w:val="none"/>
              </w:rPr>
              <w:t xml:space="preserve">  现有项目固体废物产生及处置情况表  单位：t/a</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01"/>
              <w:gridCol w:w="664"/>
              <w:gridCol w:w="937"/>
              <w:gridCol w:w="4558"/>
            </w:tblGrid>
            <w:tr w14:paraId="4CA9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4D5A744D">
                  <w:pPr>
                    <w:jc w:val="center"/>
                    <w:rPr>
                      <w:rFonts w:ascii="Times New Roman" w:hAnsi="Times New Roman"/>
                      <w:b w:val="0"/>
                      <w:bCs w:val="0"/>
                      <w:color w:val="000000"/>
                      <w:szCs w:val="21"/>
                      <w:highlight w:val="none"/>
                    </w:rPr>
                  </w:pPr>
                  <w:r>
                    <w:rPr>
                      <w:rFonts w:ascii="Times New Roman" w:hAnsi="Times New Roman"/>
                      <w:b w:val="0"/>
                      <w:bCs w:val="0"/>
                      <w:color w:val="000000"/>
                      <w:szCs w:val="21"/>
                      <w:highlight w:val="none"/>
                    </w:rPr>
                    <w:t>固废名称</w:t>
                  </w:r>
                </w:p>
              </w:tc>
              <w:tc>
                <w:tcPr>
                  <w:tcW w:w="407" w:type="pct"/>
                  <w:shd w:val="clear" w:color="auto" w:fill="auto"/>
                  <w:noWrap w:val="0"/>
                  <w:vAlign w:val="center"/>
                </w:tcPr>
                <w:p w14:paraId="0520021F">
                  <w:pPr>
                    <w:jc w:val="center"/>
                    <w:rPr>
                      <w:rFonts w:ascii="Times New Roman" w:hAnsi="Times New Roman"/>
                      <w:b w:val="0"/>
                      <w:bCs w:val="0"/>
                      <w:color w:val="000000"/>
                      <w:szCs w:val="21"/>
                      <w:highlight w:val="none"/>
                    </w:rPr>
                  </w:pPr>
                  <w:r>
                    <w:rPr>
                      <w:rFonts w:ascii="Times New Roman" w:hAnsi="Times New Roman"/>
                      <w:b w:val="0"/>
                      <w:bCs w:val="0"/>
                      <w:color w:val="000000"/>
                      <w:szCs w:val="21"/>
                      <w:highlight w:val="none"/>
                    </w:rPr>
                    <w:t>属性</w:t>
                  </w:r>
                </w:p>
              </w:tc>
              <w:tc>
                <w:tcPr>
                  <w:tcW w:w="574" w:type="pct"/>
                  <w:shd w:val="clear" w:color="auto" w:fill="auto"/>
                  <w:noWrap w:val="0"/>
                  <w:vAlign w:val="center"/>
                </w:tcPr>
                <w:p w14:paraId="2819BC3A">
                  <w:pPr>
                    <w:jc w:val="center"/>
                    <w:rPr>
                      <w:rFonts w:ascii="Times New Roman" w:hAnsi="Times New Roman"/>
                      <w:b w:val="0"/>
                      <w:bCs w:val="0"/>
                      <w:color w:val="000000"/>
                      <w:szCs w:val="21"/>
                      <w:highlight w:val="none"/>
                    </w:rPr>
                  </w:pPr>
                  <w:r>
                    <w:rPr>
                      <w:rFonts w:ascii="Times New Roman" w:hAnsi="Times New Roman"/>
                      <w:b w:val="0"/>
                      <w:bCs w:val="0"/>
                      <w:color w:val="000000"/>
                      <w:szCs w:val="21"/>
                      <w:highlight w:val="none"/>
                    </w:rPr>
                    <w:t>处置量</w:t>
                  </w:r>
                </w:p>
              </w:tc>
              <w:tc>
                <w:tcPr>
                  <w:tcW w:w="2792" w:type="pct"/>
                  <w:shd w:val="clear" w:color="auto" w:fill="auto"/>
                  <w:noWrap w:val="0"/>
                  <w:vAlign w:val="center"/>
                </w:tcPr>
                <w:p w14:paraId="4E1DC401">
                  <w:pPr>
                    <w:jc w:val="center"/>
                    <w:rPr>
                      <w:rFonts w:ascii="Times New Roman" w:hAnsi="Times New Roman"/>
                      <w:b w:val="0"/>
                      <w:bCs w:val="0"/>
                      <w:color w:val="000000"/>
                      <w:szCs w:val="21"/>
                      <w:highlight w:val="none"/>
                    </w:rPr>
                  </w:pPr>
                  <w:r>
                    <w:rPr>
                      <w:rFonts w:ascii="Times New Roman" w:hAnsi="Times New Roman"/>
                      <w:b w:val="0"/>
                      <w:bCs w:val="0"/>
                      <w:color w:val="000000"/>
                      <w:szCs w:val="21"/>
                      <w:highlight w:val="none"/>
                    </w:rPr>
                    <w:t>处置措施</w:t>
                  </w:r>
                </w:p>
              </w:tc>
            </w:tr>
            <w:tr w14:paraId="3368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59995978">
                  <w:pPr>
                    <w:jc w:val="center"/>
                    <w:rPr>
                      <w:rFonts w:ascii="Times New Roman" w:hAnsi="Times New Roman"/>
                      <w:bCs/>
                      <w:color w:val="000000"/>
                      <w:szCs w:val="21"/>
                      <w:highlight w:val="none"/>
                    </w:rPr>
                  </w:pPr>
                  <w:r>
                    <w:rPr>
                      <w:rFonts w:ascii="Times New Roman" w:hAnsi="Times New Roman"/>
                      <w:bCs/>
                      <w:color w:val="000000"/>
                      <w:szCs w:val="21"/>
                      <w:highlight w:val="none"/>
                    </w:rPr>
                    <w:t>盛装原料的废空桶</w:t>
                  </w:r>
                </w:p>
              </w:tc>
              <w:tc>
                <w:tcPr>
                  <w:tcW w:w="407" w:type="pct"/>
                  <w:vMerge w:val="restart"/>
                  <w:shd w:val="clear" w:color="auto" w:fill="auto"/>
                  <w:noWrap w:val="0"/>
                  <w:vAlign w:val="center"/>
                </w:tcPr>
                <w:p w14:paraId="0F5BD07B">
                  <w:pPr>
                    <w:jc w:val="center"/>
                    <w:rPr>
                      <w:rFonts w:ascii="Times New Roman" w:hAnsi="Times New Roman"/>
                      <w:bCs/>
                      <w:color w:val="000000"/>
                      <w:szCs w:val="21"/>
                      <w:highlight w:val="none"/>
                    </w:rPr>
                  </w:pPr>
                  <w:r>
                    <w:rPr>
                      <w:rFonts w:ascii="Times New Roman" w:hAnsi="Times New Roman"/>
                      <w:bCs/>
                      <w:color w:val="000000"/>
                      <w:szCs w:val="21"/>
                      <w:highlight w:val="none"/>
                    </w:rPr>
                    <w:t>危险废物</w:t>
                  </w:r>
                </w:p>
              </w:tc>
              <w:tc>
                <w:tcPr>
                  <w:tcW w:w="574" w:type="pct"/>
                  <w:shd w:val="clear" w:color="auto" w:fill="auto"/>
                  <w:noWrap w:val="0"/>
                  <w:vAlign w:val="center"/>
                </w:tcPr>
                <w:p w14:paraId="0D4B3E44">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730</w:t>
                  </w:r>
                </w:p>
              </w:tc>
              <w:tc>
                <w:tcPr>
                  <w:tcW w:w="2792" w:type="pct"/>
                  <w:vMerge w:val="restart"/>
                  <w:shd w:val="clear" w:color="auto" w:fill="auto"/>
                  <w:noWrap w:val="0"/>
                  <w:vAlign w:val="center"/>
                </w:tcPr>
                <w:p w14:paraId="1C3EFBC9">
                  <w:pPr>
                    <w:rPr>
                      <w:rFonts w:ascii="Times New Roman" w:hAnsi="Times New Roman"/>
                      <w:bCs/>
                      <w:color w:val="000000"/>
                      <w:szCs w:val="21"/>
                      <w:highlight w:val="none"/>
                    </w:rPr>
                  </w:pPr>
                  <w:r>
                    <w:rPr>
                      <w:rFonts w:ascii="Times New Roman" w:hAnsi="Times New Roman"/>
                      <w:bCs/>
                      <w:color w:val="000000"/>
                      <w:szCs w:val="21"/>
                      <w:highlight w:val="none"/>
                    </w:rPr>
                    <w:t>设置危险废物贮存库暂存，定期委托</w:t>
                  </w:r>
                  <w:r>
                    <w:rPr>
                      <w:rFonts w:hint="eastAsia" w:ascii="Times New Roman" w:hAnsi="Times New Roman"/>
                      <w:bCs/>
                      <w:color w:val="000000"/>
                      <w:szCs w:val="21"/>
                      <w:highlight w:val="none"/>
                    </w:rPr>
                    <w:t>陕西环能科技有限公司</w:t>
                  </w:r>
                  <w:r>
                    <w:rPr>
                      <w:rFonts w:ascii="Times New Roman" w:hAnsi="Times New Roman"/>
                      <w:bCs/>
                      <w:color w:val="000000"/>
                      <w:szCs w:val="21"/>
                      <w:highlight w:val="none"/>
                    </w:rPr>
                    <w:t>处置。</w:t>
                  </w:r>
                </w:p>
              </w:tc>
            </w:tr>
            <w:tr w14:paraId="3FC6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058C4EBA">
                  <w:pPr>
                    <w:jc w:val="center"/>
                    <w:rPr>
                      <w:rFonts w:ascii="Times New Roman" w:hAnsi="Times New Roman"/>
                      <w:bCs/>
                      <w:color w:val="000000"/>
                      <w:szCs w:val="21"/>
                      <w:highlight w:val="none"/>
                    </w:rPr>
                  </w:pPr>
                  <w:r>
                    <w:rPr>
                      <w:rStyle w:val="72"/>
                      <w:rFonts w:hint="eastAsia" w:ascii="Times New Roman" w:hAnsi="Times New Roman"/>
                      <w:color w:val="auto"/>
                      <w:sz w:val="21"/>
                      <w:szCs w:val="21"/>
                      <w:highlight w:val="none"/>
                      <w:shd w:val="clear" w:color="auto" w:fill="auto"/>
                    </w:rPr>
                    <w:t>氢氧化钠等包装袋</w:t>
                  </w:r>
                </w:p>
              </w:tc>
              <w:tc>
                <w:tcPr>
                  <w:tcW w:w="407" w:type="pct"/>
                  <w:vMerge w:val="continue"/>
                  <w:shd w:val="clear" w:color="auto" w:fill="auto"/>
                  <w:noWrap w:val="0"/>
                  <w:vAlign w:val="center"/>
                </w:tcPr>
                <w:p w14:paraId="7B6F2DB6">
                  <w:pPr>
                    <w:jc w:val="center"/>
                    <w:rPr>
                      <w:rFonts w:ascii="Times New Roman" w:hAnsi="Times New Roman"/>
                      <w:bCs/>
                      <w:color w:val="000000"/>
                      <w:szCs w:val="21"/>
                      <w:highlight w:val="none"/>
                    </w:rPr>
                  </w:pPr>
                </w:p>
              </w:tc>
              <w:tc>
                <w:tcPr>
                  <w:tcW w:w="574" w:type="pct"/>
                  <w:shd w:val="clear" w:color="auto" w:fill="auto"/>
                  <w:noWrap w:val="0"/>
                  <w:vAlign w:val="center"/>
                </w:tcPr>
                <w:p w14:paraId="7A699FCD">
                  <w:pPr>
                    <w:jc w:val="center"/>
                    <w:rPr>
                      <w:rFonts w:hint="default" w:ascii="Times New Roman" w:hAnsi="Times New Roman"/>
                      <w:bCs/>
                      <w:color w:val="000000"/>
                      <w:szCs w:val="21"/>
                      <w:highlight w:val="none"/>
                      <w:lang w:val="en-US" w:eastAsia="zh-CN"/>
                    </w:rPr>
                  </w:pPr>
                  <w:r>
                    <w:rPr>
                      <w:rFonts w:hint="eastAsia" w:ascii="Times New Roman" w:hAnsi="Times New Roman"/>
                      <w:bCs/>
                      <w:color w:val="000000"/>
                      <w:szCs w:val="21"/>
                      <w:highlight w:val="none"/>
                      <w:lang w:val="en-US" w:eastAsia="zh-CN"/>
                    </w:rPr>
                    <w:t>5.4</w:t>
                  </w:r>
                </w:p>
              </w:tc>
              <w:tc>
                <w:tcPr>
                  <w:tcW w:w="2792" w:type="pct"/>
                  <w:vMerge w:val="continue"/>
                  <w:shd w:val="clear" w:color="auto" w:fill="auto"/>
                  <w:noWrap w:val="0"/>
                  <w:vAlign w:val="center"/>
                </w:tcPr>
                <w:p w14:paraId="72D9F2B7">
                  <w:pPr>
                    <w:rPr>
                      <w:rFonts w:ascii="Times New Roman" w:hAnsi="Times New Roman"/>
                      <w:bCs/>
                      <w:color w:val="000000"/>
                      <w:szCs w:val="21"/>
                      <w:highlight w:val="none"/>
                    </w:rPr>
                  </w:pPr>
                </w:p>
              </w:tc>
            </w:tr>
            <w:tr w14:paraId="277E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744E529B">
                  <w:pPr>
                    <w:jc w:val="center"/>
                    <w:rPr>
                      <w:rFonts w:ascii="Times New Roman" w:hAnsi="Times New Roman"/>
                      <w:bCs/>
                      <w:color w:val="000000"/>
                      <w:szCs w:val="21"/>
                      <w:highlight w:val="none"/>
                    </w:rPr>
                  </w:pPr>
                  <w:r>
                    <w:rPr>
                      <w:rFonts w:ascii="Times New Roman" w:hAnsi="Times New Roman"/>
                      <w:bCs/>
                      <w:color w:val="000000"/>
                      <w:szCs w:val="21"/>
                      <w:highlight w:val="none"/>
                    </w:rPr>
                    <w:t>废活性炭</w:t>
                  </w:r>
                </w:p>
              </w:tc>
              <w:tc>
                <w:tcPr>
                  <w:tcW w:w="407" w:type="pct"/>
                  <w:vMerge w:val="continue"/>
                  <w:shd w:val="clear" w:color="auto" w:fill="auto"/>
                  <w:noWrap w:val="0"/>
                  <w:vAlign w:val="center"/>
                </w:tcPr>
                <w:p w14:paraId="559D66EA">
                  <w:pPr>
                    <w:jc w:val="center"/>
                    <w:rPr>
                      <w:rFonts w:ascii="Times New Roman" w:hAnsi="Times New Roman"/>
                      <w:bCs/>
                      <w:color w:val="000000"/>
                      <w:szCs w:val="21"/>
                      <w:highlight w:val="none"/>
                    </w:rPr>
                  </w:pPr>
                </w:p>
              </w:tc>
              <w:tc>
                <w:tcPr>
                  <w:tcW w:w="574" w:type="pct"/>
                  <w:shd w:val="clear" w:color="auto" w:fill="auto"/>
                  <w:noWrap w:val="0"/>
                  <w:vAlign w:val="center"/>
                </w:tcPr>
                <w:p w14:paraId="05D35C13">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10.1</w:t>
                  </w:r>
                </w:p>
              </w:tc>
              <w:tc>
                <w:tcPr>
                  <w:tcW w:w="2792" w:type="pct"/>
                  <w:vMerge w:val="continue"/>
                  <w:shd w:val="clear" w:color="auto" w:fill="auto"/>
                  <w:noWrap w:val="0"/>
                  <w:vAlign w:val="center"/>
                </w:tcPr>
                <w:p w14:paraId="644A70E9">
                  <w:pPr>
                    <w:rPr>
                      <w:rFonts w:ascii="Times New Roman" w:hAnsi="Times New Roman"/>
                      <w:color w:val="000000"/>
                      <w:highlight w:val="none"/>
                    </w:rPr>
                  </w:pPr>
                </w:p>
              </w:tc>
            </w:tr>
            <w:tr w14:paraId="12EE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668B1D43">
                  <w:pPr>
                    <w:jc w:val="center"/>
                    <w:rPr>
                      <w:rFonts w:ascii="Times New Roman" w:hAnsi="Times New Roman"/>
                      <w:bCs/>
                      <w:color w:val="000000"/>
                      <w:szCs w:val="21"/>
                      <w:highlight w:val="none"/>
                    </w:rPr>
                  </w:pPr>
                  <w:r>
                    <w:rPr>
                      <w:rFonts w:ascii="Times New Roman" w:hAnsi="Times New Roman"/>
                      <w:bCs/>
                      <w:color w:val="000000"/>
                      <w:szCs w:val="21"/>
                      <w:highlight w:val="none"/>
                    </w:rPr>
                    <w:t>废机油</w:t>
                  </w:r>
                </w:p>
              </w:tc>
              <w:tc>
                <w:tcPr>
                  <w:tcW w:w="407" w:type="pct"/>
                  <w:vMerge w:val="continue"/>
                  <w:shd w:val="clear" w:color="auto" w:fill="auto"/>
                  <w:noWrap w:val="0"/>
                  <w:vAlign w:val="center"/>
                </w:tcPr>
                <w:p w14:paraId="5B5E437C">
                  <w:pPr>
                    <w:jc w:val="center"/>
                    <w:rPr>
                      <w:rFonts w:ascii="Times New Roman" w:hAnsi="Times New Roman"/>
                      <w:bCs/>
                      <w:color w:val="000000"/>
                      <w:szCs w:val="21"/>
                      <w:highlight w:val="none"/>
                    </w:rPr>
                  </w:pPr>
                </w:p>
              </w:tc>
              <w:tc>
                <w:tcPr>
                  <w:tcW w:w="574" w:type="pct"/>
                  <w:shd w:val="clear" w:color="auto" w:fill="auto"/>
                  <w:noWrap w:val="0"/>
                  <w:vAlign w:val="center"/>
                </w:tcPr>
                <w:p w14:paraId="65A16F82">
                  <w:pPr>
                    <w:jc w:val="center"/>
                    <w:rPr>
                      <w:rFonts w:hint="default" w:ascii="Times New Roman" w:hAnsi="Times New Roman" w:eastAsia="宋体"/>
                      <w:bCs/>
                      <w:color w:val="000000"/>
                      <w:szCs w:val="21"/>
                      <w:highlight w:val="none"/>
                      <w:lang w:val="en-US" w:eastAsia="zh-CN"/>
                    </w:rPr>
                  </w:pPr>
                  <w:r>
                    <w:rPr>
                      <w:rFonts w:ascii="Times New Roman" w:hAnsi="Times New Roman"/>
                      <w:bCs/>
                      <w:color w:val="000000"/>
                      <w:szCs w:val="21"/>
                      <w:highlight w:val="none"/>
                    </w:rPr>
                    <w:t>1</w:t>
                  </w:r>
                  <w:r>
                    <w:rPr>
                      <w:rFonts w:hint="eastAsia" w:ascii="Times New Roman" w:hAnsi="Times New Roman"/>
                      <w:bCs/>
                      <w:color w:val="000000"/>
                      <w:szCs w:val="21"/>
                      <w:highlight w:val="none"/>
                      <w:lang w:val="en-US" w:eastAsia="zh-CN"/>
                    </w:rPr>
                    <w:t>.0</w:t>
                  </w:r>
                </w:p>
              </w:tc>
              <w:tc>
                <w:tcPr>
                  <w:tcW w:w="2792" w:type="pct"/>
                  <w:vMerge w:val="continue"/>
                  <w:shd w:val="clear" w:color="auto" w:fill="auto"/>
                  <w:noWrap w:val="0"/>
                  <w:vAlign w:val="center"/>
                </w:tcPr>
                <w:p w14:paraId="754DB8A8">
                  <w:pPr>
                    <w:rPr>
                      <w:rFonts w:ascii="Times New Roman" w:hAnsi="Times New Roman"/>
                      <w:color w:val="000000"/>
                      <w:highlight w:val="none"/>
                    </w:rPr>
                  </w:pPr>
                </w:p>
              </w:tc>
            </w:tr>
            <w:tr w14:paraId="490A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4594E64D">
                  <w:pPr>
                    <w:jc w:val="center"/>
                    <w:rPr>
                      <w:rFonts w:ascii="Times New Roman" w:hAnsi="Times New Roman"/>
                      <w:bCs/>
                      <w:color w:val="000000"/>
                      <w:szCs w:val="21"/>
                      <w:highlight w:val="none"/>
                    </w:rPr>
                  </w:pPr>
                  <w:r>
                    <w:rPr>
                      <w:rFonts w:hint="eastAsia" w:ascii="Times New Roman" w:hAnsi="Times New Roman"/>
                      <w:bCs/>
                      <w:color w:val="000000"/>
                      <w:szCs w:val="21"/>
                      <w:highlight w:val="none"/>
                    </w:rPr>
                    <w:t>废UV灯管</w:t>
                  </w:r>
                </w:p>
              </w:tc>
              <w:tc>
                <w:tcPr>
                  <w:tcW w:w="407" w:type="pct"/>
                  <w:vMerge w:val="continue"/>
                  <w:shd w:val="clear" w:color="auto" w:fill="auto"/>
                  <w:noWrap w:val="0"/>
                  <w:vAlign w:val="center"/>
                </w:tcPr>
                <w:p w14:paraId="70700736">
                  <w:pPr>
                    <w:jc w:val="center"/>
                    <w:rPr>
                      <w:rFonts w:ascii="Times New Roman" w:hAnsi="Times New Roman"/>
                      <w:bCs/>
                      <w:color w:val="000000"/>
                      <w:szCs w:val="21"/>
                      <w:highlight w:val="none"/>
                    </w:rPr>
                  </w:pPr>
                </w:p>
              </w:tc>
              <w:tc>
                <w:tcPr>
                  <w:tcW w:w="574" w:type="pct"/>
                  <w:shd w:val="clear" w:color="auto" w:fill="auto"/>
                  <w:noWrap w:val="0"/>
                  <w:vAlign w:val="center"/>
                </w:tcPr>
                <w:p w14:paraId="5EFD3B0E">
                  <w:pPr>
                    <w:jc w:val="center"/>
                    <w:rPr>
                      <w:rFonts w:ascii="Times New Roman" w:hAnsi="Times New Roman"/>
                      <w:bCs/>
                      <w:color w:val="000000"/>
                      <w:szCs w:val="21"/>
                      <w:highlight w:val="none"/>
                    </w:rPr>
                  </w:pPr>
                  <w:r>
                    <w:rPr>
                      <w:rFonts w:hint="eastAsia" w:ascii="Times New Roman" w:hAnsi="Times New Roman"/>
                      <w:bCs/>
                      <w:color w:val="000000"/>
                      <w:szCs w:val="21"/>
                      <w:highlight w:val="none"/>
                    </w:rPr>
                    <w:t>0.4</w:t>
                  </w:r>
                </w:p>
              </w:tc>
              <w:tc>
                <w:tcPr>
                  <w:tcW w:w="2792" w:type="pct"/>
                  <w:vMerge w:val="continue"/>
                  <w:shd w:val="clear" w:color="auto" w:fill="auto"/>
                  <w:noWrap w:val="0"/>
                  <w:vAlign w:val="center"/>
                </w:tcPr>
                <w:p w14:paraId="39A25DA6">
                  <w:pPr>
                    <w:rPr>
                      <w:rFonts w:ascii="Times New Roman" w:hAnsi="Times New Roman"/>
                      <w:color w:val="000000"/>
                      <w:highlight w:val="none"/>
                    </w:rPr>
                  </w:pPr>
                </w:p>
              </w:tc>
            </w:tr>
            <w:tr w14:paraId="4729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6B1475D4">
                  <w:pPr>
                    <w:jc w:val="center"/>
                    <w:rPr>
                      <w:rFonts w:ascii="Times New Roman" w:hAnsi="Times New Roman"/>
                      <w:bCs/>
                      <w:color w:val="000000"/>
                      <w:szCs w:val="21"/>
                      <w:highlight w:val="none"/>
                    </w:rPr>
                  </w:pPr>
                  <w:r>
                    <w:rPr>
                      <w:rFonts w:ascii="Times New Roman" w:hAnsi="Times New Roman"/>
                      <w:bCs/>
                      <w:color w:val="000000"/>
                      <w:szCs w:val="21"/>
                      <w:highlight w:val="none"/>
                    </w:rPr>
                    <w:t>废银催化剂</w:t>
                  </w:r>
                </w:p>
              </w:tc>
              <w:tc>
                <w:tcPr>
                  <w:tcW w:w="407" w:type="pct"/>
                  <w:vMerge w:val="continue"/>
                  <w:shd w:val="clear" w:color="auto" w:fill="auto"/>
                  <w:noWrap w:val="0"/>
                  <w:vAlign w:val="center"/>
                </w:tcPr>
                <w:p w14:paraId="222953BC">
                  <w:pPr>
                    <w:jc w:val="center"/>
                    <w:rPr>
                      <w:rFonts w:ascii="Times New Roman" w:hAnsi="Times New Roman"/>
                      <w:bCs/>
                      <w:color w:val="000000"/>
                      <w:szCs w:val="21"/>
                      <w:highlight w:val="none"/>
                    </w:rPr>
                  </w:pPr>
                </w:p>
              </w:tc>
              <w:tc>
                <w:tcPr>
                  <w:tcW w:w="574" w:type="pct"/>
                  <w:shd w:val="clear" w:color="auto" w:fill="auto"/>
                  <w:noWrap w:val="0"/>
                  <w:vAlign w:val="center"/>
                </w:tcPr>
                <w:p w14:paraId="336614E0">
                  <w:pPr>
                    <w:jc w:val="center"/>
                    <w:rPr>
                      <w:rFonts w:hint="default" w:ascii="Times New Roman" w:hAnsi="Times New Roman" w:eastAsia="宋体"/>
                      <w:bCs/>
                      <w:color w:val="000000"/>
                      <w:szCs w:val="21"/>
                      <w:highlight w:val="none"/>
                      <w:lang w:val="en-US" w:eastAsia="zh-CN"/>
                    </w:rPr>
                  </w:pPr>
                  <w:r>
                    <w:rPr>
                      <w:rFonts w:ascii="Times New Roman" w:hAnsi="Times New Roman"/>
                      <w:bCs/>
                      <w:color w:val="000000"/>
                      <w:szCs w:val="21"/>
                      <w:highlight w:val="none"/>
                    </w:rPr>
                    <w:t>1</w:t>
                  </w:r>
                  <w:r>
                    <w:rPr>
                      <w:rFonts w:hint="eastAsia" w:ascii="Times New Roman" w:hAnsi="Times New Roman"/>
                      <w:bCs/>
                      <w:color w:val="000000"/>
                      <w:szCs w:val="21"/>
                      <w:highlight w:val="none"/>
                      <w:lang w:val="en-US" w:eastAsia="zh-CN"/>
                    </w:rPr>
                    <w:t>.0</w:t>
                  </w:r>
                </w:p>
              </w:tc>
              <w:tc>
                <w:tcPr>
                  <w:tcW w:w="2792" w:type="pct"/>
                  <w:shd w:val="clear" w:color="auto" w:fill="auto"/>
                  <w:noWrap w:val="0"/>
                  <w:vAlign w:val="center"/>
                </w:tcPr>
                <w:p w14:paraId="7849ED94">
                  <w:pPr>
                    <w:jc w:val="center"/>
                    <w:rPr>
                      <w:rFonts w:ascii="Times New Roman" w:hAnsi="Times New Roman"/>
                      <w:color w:val="000000"/>
                      <w:highlight w:val="none"/>
                    </w:rPr>
                  </w:pPr>
                  <w:r>
                    <w:rPr>
                      <w:rFonts w:hint="eastAsia" w:ascii="Times New Roman" w:hAnsi="Times New Roman"/>
                      <w:color w:val="000000"/>
                      <w:highlight w:val="none"/>
                    </w:rPr>
                    <w:t>定期</w:t>
                  </w:r>
                  <w:r>
                    <w:rPr>
                      <w:rFonts w:ascii="Times New Roman" w:hAnsi="Times New Roman"/>
                      <w:color w:val="000000"/>
                      <w:highlight w:val="none"/>
                    </w:rPr>
                    <w:t>交由</w:t>
                  </w:r>
                  <w:r>
                    <w:rPr>
                      <w:rFonts w:hint="eastAsia" w:ascii="Times New Roman" w:hAnsi="Times New Roman"/>
                      <w:color w:val="000000"/>
                      <w:highlight w:val="none"/>
                    </w:rPr>
                    <w:t>供应商</w:t>
                  </w:r>
                  <w:r>
                    <w:rPr>
                      <w:rFonts w:ascii="Times New Roman" w:hAnsi="Times New Roman"/>
                      <w:color w:val="000000"/>
                      <w:highlight w:val="none"/>
                    </w:rPr>
                    <w:t>回收</w:t>
                  </w:r>
                  <w:r>
                    <w:rPr>
                      <w:rFonts w:hint="eastAsia" w:ascii="Times New Roman" w:hAnsi="Times New Roman"/>
                      <w:color w:val="000000"/>
                      <w:highlight w:val="none"/>
                    </w:rPr>
                    <w:t>电解再利用。</w:t>
                  </w:r>
                </w:p>
              </w:tc>
            </w:tr>
            <w:tr w14:paraId="1C38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5F697672">
                  <w:pPr>
                    <w:jc w:val="center"/>
                    <w:rPr>
                      <w:rFonts w:ascii="Times New Roman" w:hAnsi="Times New Roman"/>
                      <w:bCs/>
                      <w:color w:val="000000"/>
                      <w:szCs w:val="21"/>
                      <w:highlight w:val="none"/>
                    </w:rPr>
                  </w:pPr>
                  <w:r>
                    <w:rPr>
                      <w:rFonts w:ascii="Times New Roman" w:hAnsi="Times New Roman"/>
                      <w:bCs/>
                      <w:color w:val="000000"/>
                      <w:szCs w:val="21"/>
                      <w:highlight w:val="none"/>
                    </w:rPr>
                    <w:t>废包装袋（桶）</w:t>
                  </w:r>
                </w:p>
              </w:tc>
              <w:tc>
                <w:tcPr>
                  <w:tcW w:w="407" w:type="pct"/>
                  <w:shd w:val="clear" w:color="auto" w:fill="auto"/>
                  <w:noWrap w:val="0"/>
                  <w:vAlign w:val="center"/>
                </w:tcPr>
                <w:p w14:paraId="08DAAF45">
                  <w:pPr>
                    <w:jc w:val="center"/>
                    <w:rPr>
                      <w:rFonts w:ascii="Times New Roman" w:hAnsi="Times New Roman"/>
                      <w:bCs/>
                      <w:color w:val="000000"/>
                      <w:szCs w:val="21"/>
                      <w:highlight w:val="none"/>
                    </w:rPr>
                  </w:pPr>
                  <w:r>
                    <w:rPr>
                      <w:rFonts w:hint="eastAsia" w:ascii="Times New Roman" w:hAnsi="Times New Roman"/>
                      <w:bCs/>
                      <w:color w:val="000000"/>
                      <w:szCs w:val="21"/>
                      <w:highlight w:val="none"/>
                    </w:rPr>
                    <w:t>一般固废</w:t>
                  </w:r>
                </w:p>
              </w:tc>
              <w:tc>
                <w:tcPr>
                  <w:tcW w:w="574" w:type="pct"/>
                  <w:shd w:val="clear" w:color="auto" w:fill="auto"/>
                  <w:noWrap w:val="0"/>
                  <w:vAlign w:val="center"/>
                </w:tcPr>
                <w:p w14:paraId="3CA1189C">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69.14</w:t>
                  </w:r>
                </w:p>
              </w:tc>
              <w:tc>
                <w:tcPr>
                  <w:tcW w:w="2792" w:type="pct"/>
                  <w:shd w:val="clear" w:color="auto" w:fill="auto"/>
                  <w:noWrap w:val="0"/>
                  <w:vAlign w:val="center"/>
                </w:tcPr>
                <w:p w14:paraId="641069A6">
                  <w:pPr>
                    <w:jc w:val="center"/>
                    <w:rPr>
                      <w:rFonts w:hint="eastAsia" w:ascii="Times New Roman" w:hAnsi="Times New Roman"/>
                      <w:bCs/>
                      <w:color w:val="000000"/>
                      <w:szCs w:val="21"/>
                      <w:highlight w:val="none"/>
                    </w:rPr>
                  </w:pPr>
                  <w:r>
                    <w:rPr>
                      <w:rFonts w:ascii="Times New Roman" w:hAnsi="Times New Roman"/>
                      <w:bCs/>
                      <w:color w:val="000000"/>
                      <w:szCs w:val="21"/>
                      <w:highlight w:val="none"/>
                    </w:rPr>
                    <w:t>收集暂存后出售给废品回收公司</w:t>
                  </w:r>
                </w:p>
              </w:tc>
            </w:tr>
            <w:tr w14:paraId="0948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shd w:val="clear" w:color="auto" w:fill="auto"/>
                  <w:noWrap w:val="0"/>
                  <w:vAlign w:val="center"/>
                </w:tcPr>
                <w:p w14:paraId="2A4DD080">
                  <w:pPr>
                    <w:jc w:val="center"/>
                    <w:rPr>
                      <w:rFonts w:ascii="Times New Roman" w:hAnsi="Times New Roman"/>
                      <w:bCs/>
                      <w:color w:val="000000"/>
                      <w:szCs w:val="21"/>
                      <w:highlight w:val="none"/>
                    </w:rPr>
                  </w:pPr>
                  <w:r>
                    <w:rPr>
                      <w:rFonts w:ascii="Times New Roman" w:hAnsi="Times New Roman"/>
                      <w:bCs/>
                      <w:color w:val="000000"/>
                      <w:szCs w:val="21"/>
                      <w:highlight w:val="none"/>
                    </w:rPr>
                    <w:t>生活垃圾</w:t>
                  </w:r>
                </w:p>
              </w:tc>
              <w:tc>
                <w:tcPr>
                  <w:tcW w:w="407" w:type="pct"/>
                  <w:shd w:val="clear" w:color="auto" w:fill="auto"/>
                  <w:noWrap w:val="0"/>
                  <w:vAlign w:val="center"/>
                </w:tcPr>
                <w:p w14:paraId="4CC80361">
                  <w:pPr>
                    <w:jc w:val="center"/>
                    <w:rPr>
                      <w:rFonts w:ascii="Times New Roman" w:hAnsi="Times New Roman"/>
                      <w:bCs/>
                      <w:color w:val="000000"/>
                      <w:szCs w:val="21"/>
                      <w:highlight w:val="none"/>
                    </w:rPr>
                  </w:pPr>
                  <w:r>
                    <w:rPr>
                      <w:rFonts w:ascii="Times New Roman" w:hAnsi="Times New Roman"/>
                      <w:bCs/>
                      <w:color w:val="000000"/>
                      <w:szCs w:val="21"/>
                      <w:highlight w:val="none"/>
                    </w:rPr>
                    <w:t>其他</w:t>
                  </w:r>
                </w:p>
              </w:tc>
              <w:tc>
                <w:tcPr>
                  <w:tcW w:w="574" w:type="pct"/>
                  <w:shd w:val="clear" w:color="auto" w:fill="auto"/>
                  <w:noWrap w:val="0"/>
                  <w:vAlign w:val="center"/>
                </w:tcPr>
                <w:p w14:paraId="14384221">
                  <w:pPr>
                    <w:jc w:val="center"/>
                    <w:rPr>
                      <w:rFonts w:hint="default" w:ascii="Times New Roman" w:hAnsi="Times New Roman" w:eastAsia="宋体"/>
                      <w:bCs/>
                      <w:color w:val="000000"/>
                      <w:szCs w:val="21"/>
                      <w:highlight w:val="none"/>
                      <w:lang w:val="en-US" w:eastAsia="zh-CN"/>
                    </w:rPr>
                  </w:pPr>
                  <w:r>
                    <w:rPr>
                      <w:rFonts w:hint="eastAsia" w:ascii="Times New Roman" w:hAnsi="Times New Roman"/>
                      <w:bCs/>
                      <w:color w:val="000000"/>
                      <w:szCs w:val="21"/>
                      <w:highlight w:val="none"/>
                      <w:lang w:val="en-US" w:eastAsia="zh-CN"/>
                    </w:rPr>
                    <w:t>15</w:t>
                  </w:r>
                </w:p>
              </w:tc>
              <w:tc>
                <w:tcPr>
                  <w:tcW w:w="2792" w:type="pct"/>
                  <w:shd w:val="clear" w:color="auto" w:fill="auto"/>
                  <w:noWrap w:val="0"/>
                  <w:vAlign w:val="center"/>
                </w:tcPr>
                <w:p w14:paraId="6337A3A5">
                  <w:pPr>
                    <w:jc w:val="center"/>
                    <w:rPr>
                      <w:rFonts w:ascii="Times New Roman" w:hAnsi="Times New Roman"/>
                      <w:color w:val="000000"/>
                      <w:highlight w:val="none"/>
                    </w:rPr>
                  </w:pPr>
                  <w:r>
                    <w:rPr>
                      <w:rFonts w:ascii="Times New Roman" w:hAnsi="Times New Roman"/>
                      <w:color w:val="000000"/>
                      <w:highlight w:val="none"/>
                    </w:rPr>
                    <w:t>委托环卫部门定期清运。</w:t>
                  </w:r>
                </w:p>
              </w:tc>
            </w:tr>
          </w:tbl>
          <w:p w14:paraId="646F055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sz w:val="24"/>
                <w:highlight w:val="none"/>
              </w:rPr>
            </w:pPr>
            <w:r>
              <w:rPr>
                <w:b/>
                <w:sz w:val="24"/>
                <w:highlight w:val="none"/>
              </w:rPr>
              <w:t>2</w:t>
            </w:r>
            <w:r>
              <w:rPr>
                <w:rFonts w:hint="eastAsia"/>
                <w:b/>
                <w:sz w:val="24"/>
                <w:highlight w:val="none"/>
                <w:lang w:val="en-US" w:eastAsia="zh-CN"/>
              </w:rPr>
              <w:t>.</w:t>
            </w:r>
            <w:r>
              <w:rPr>
                <w:b/>
                <w:sz w:val="24"/>
                <w:highlight w:val="none"/>
              </w:rPr>
              <w:t>现有项目污染物排放量</w:t>
            </w:r>
            <w:r>
              <w:rPr>
                <w:rFonts w:hint="eastAsia"/>
                <w:b/>
                <w:sz w:val="24"/>
                <w:highlight w:val="none"/>
              </w:rPr>
              <w:t>/产生量</w:t>
            </w:r>
            <w:r>
              <w:rPr>
                <w:b/>
                <w:sz w:val="24"/>
                <w:highlight w:val="none"/>
              </w:rPr>
              <w:t>汇总</w:t>
            </w:r>
          </w:p>
          <w:p w14:paraId="005F57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sz w:val="24"/>
                <w:szCs w:val="21"/>
                <w:highlight w:val="none"/>
                <w:lang w:bidi="zh-HK"/>
              </w:rPr>
            </w:pPr>
            <w:r>
              <w:rPr>
                <w:rFonts w:ascii="Times New Roman" w:hAnsi="Times New Roman"/>
                <w:color w:val="000000"/>
                <w:sz w:val="24"/>
                <w:szCs w:val="21"/>
                <w:highlight w:val="none"/>
                <w:lang w:bidi="zh-HK"/>
              </w:rPr>
              <w:t>现有项目污染物排放量汇总情况见表2-</w:t>
            </w:r>
            <w:r>
              <w:rPr>
                <w:rFonts w:hint="eastAsia" w:ascii="Times New Roman" w:hAnsi="Times New Roman"/>
                <w:color w:val="000000"/>
                <w:sz w:val="24"/>
                <w:szCs w:val="21"/>
                <w:highlight w:val="none"/>
                <w:lang w:val="en-US" w:eastAsia="zh-CN" w:bidi="zh-HK"/>
              </w:rPr>
              <w:t>22</w:t>
            </w:r>
            <w:r>
              <w:rPr>
                <w:rFonts w:ascii="Times New Roman" w:hAnsi="Times New Roman"/>
                <w:color w:val="000000"/>
                <w:sz w:val="24"/>
                <w:szCs w:val="21"/>
                <w:highlight w:val="none"/>
                <w:lang w:bidi="zh-HK"/>
              </w:rPr>
              <w:t>。</w:t>
            </w:r>
          </w:p>
          <w:p w14:paraId="49AE8BBB">
            <w:pPr>
              <w:pStyle w:val="17"/>
              <w:snapToGrid/>
              <w:spacing w:before="0" w:after="0" w:line="240" w:lineRule="auto"/>
              <w:ind w:right="0"/>
              <w:jc w:val="center"/>
              <w:rPr>
                <w:rFonts w:ascii="Times New Roman" w:hAnsi="Times New Roman"/>
                <w:b w:val="0"/>
                <w:bCs/>
                <w:color w:val="000000"/>
                <w:sz w:val="24"/>
                <w:szCs w:val="24"/>
                <w:highlight w:val="none"/>
                <w:lang w:val="en-US" w:eastAsia="zh-CN"/>
              </w:rPr>
            </w:pPr>
            <w:r>
              <w:rPr>
                <w:rFonts w:ascii="Times New Roman" w:hAnsi="Times New Roman"/>
                <w:b w:val="0"/>
                <w:bCs/>
                <w:color w:val="000000"/>
                <w:sz w:val="24"/>
                <w:szCs w:val="24"/>
                <w:highlight w:val="none"/>
                <w:lang w:val="en-US" w:eastAsia="zh-CN"/>
              </w:rPr>
              <w:t>表2-</w:t>
            </w:r>
            <w:r>
              <w:rPr>
                <w:rFonts w:hint="eastAsia" w:ascii="Times New Roman" w:hAnsi="Times New Roman"/>
                <w:b w:val="0"/>
                <w:bCs/>
                <w:color w:val="000000"/>
                <w:sz w:val="24"/>
                <w:szCs w:val="24"/>
                <w:highlight w:val="none"/>
                <w:lang w:val="en-US" w:eastAsia="zh-CN"/>
              </w:rPr>
              <w:t>22</w:t>
            </w:r>
            <w:r>
              <w:rPr>
                <w:rFonts w:ascii="Times New Roman" w:hAnsi="Times New Roman"/>
                <w:b w:val="0"/>
                <w:bCs/>
                <w:color w:val="000000"/>
                <w:sz w:val="24"/>
                <w:szCs w:val="24"/>
                <w:highlight w:val="none"/>
                <w:lang w:val="en-US" w:eastAsia="zh-CN"/>
              </w:rPr>
              <w:t xml:space="preserve">  现有项目污染物排放情况汇总表  单位：t/a</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68"/>
              <w:gridCol w:w="2520"/>
              <w:gridCol w:w="3472"/>
            </w:tblGrid>
            <w:tr w14:paraId="6A32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jc w:val="center"/>
              </w:trPr>
              <w:tc>
                <w:tcPr>
                  <w:tcW w:w="1328" w:type="pct"/>
                  <w:shd w:val="clear" w:color="auto" w:fill="auto"/>
                  <w:noWrap w:val="0"/>
                  <w:vAlign w:val="center"/>
                </w:tcPr>
                <w:p w14:paraId="7A724B8E">
                  <w:pPr>
                    <w:snapToGrid w:val="0"/>
                    <w:jc w:val="center"/>
                    <w:rPr>
                      <w:rFonts w:ascii="Times New Roman" w:hAnsi="Times New Roman"/>
                      <w:bCs/>
                      <w:color w:val="000000"/>
                      <w:kern w:val="0"/>
                      <w:szCs w:val="21"/>
                      <w:highlight w:val="none"/>
                    </w:rPr>
                  </w:pPr>
                  <w:r>
                    <w:rPr>
                      <w:rFonts w:ascii="Times New Roman" w:hAnsi="Times New Roman"/>
                      <w:bCs/>
                      <w:color w:val="000000"/>
                      <w:kern w:val="0"/>
                      <w:szCs w:val="21"/>
                      <w:highlight w:val="none"/>
                    </w:rPr>
                    <w:t>类别</w:t>
                  </w:r>
                </w:p>
              </w:tc>
              <w:tc>
                <w:tcPr>
                  <w:tcW w:w="1544" w:type="pct"/>
                  <w:shd w:val="clear" w:color="auto" w:fill="auto"/>
                  <w:noWrap w:val="0"/>
                  <w:vAlign w:val="center"/>
                </w:tcPr>
                <w:p w14:paraId="15935F6A">
                  <w:pPr>
                    <w:snapToGrid w:val="0"/>
                    <w:jc w:val="center"/>
                    <w:rPr>
                      <w:rFonts w:ascii="Times New Roman" w:hAnsi="Times New Roman"/>
                      <w:bCs/>
                      <w:color w:val="000000"/>
                      <w:kern w:val="0"/>
                      <w:szCs w:val="21"/>
                      <w:highlight w:val="none"/>
                    </w:rPr>
                  </w:pPr>
                  <w:r>
                    <w:rPr>
                      <w:rFonts w:ascii="Times New Roman" w:hAnsi="Times New Roman"/>
                      <w:bCs/>
                      <w:color w:val="000000"/>
                      <w:kern w:val="0"/>
                      <w:szCs w:val="21"/>
                      <w:highlight w:val="none"/>
                    </w:rPr>
                    <w:t>污染因子</w:t>
                  </w:r>
                </w:p>
              </w:tc>
              <w:tc>
                <w:tcPr>
                  <w:tcW w:w="2127" w:type="pct"/>
                  <w:shd w:val="clear" w:color="auto" w:fill="auto"/>
                  <w:noWrap w:val="0"/>
                  <w:vAlign w:val="center"/>
                </w:tcPr>
                <w:p w14:paraId="69AFDB9C">
                  <w:pPr>
                    <w:snapToGrid w:val="0"/>
                    <w:jc w:val="center"/>
                    <w:rPr>
                      <w:rFonts w:ascii="Times New Roman" w:hAnsi="Times New Roman"/>
                      <w:bCs/>
                      <w:color w:val="000000"/>
                      <w:kern w:val="0"/>
                      <w:szCs w:val="21"/>
                      <w:highlight w:val="none"/>
                    </w:rPr>
                  </w:pPr>
                  <w:r>
                    <w:rPr>
                      <w:rFonts w:ascii="Times New Roman" w:hAnsi="Times New Roman"/>
                      <w:bCs/>
                      <w:color w:val="000000"/>
                      <w:kern w:val="0"/>
                      <w:szCs w:val="21"/>
                      <w:highlight w:val="none"/>
                    </w:rPr>
                    <w:t>排放量</w:t>
                  </w:r>
                  <w:r>
                    <w:rPr>
                      <w:rFonts w:ascii="Times New Roman"/>
                      <w:snapToGrid w:val="0"/>
                      <w:color w:val="000000"/>
                      <w:spacing w:val="-6"/>
                      <w:kern w:val="21"/>
                      <w:szCs w:val="21"/>
                      <w:highlight w:val="none"/>
                    </w:rPr>
                    <w:t>（固体废物</w:t>
                  </w:r>
                  <w:r>
                    <w:rPr>
                      <w:rFonts w:hint="eastAsia" w:ascii="Times New Roman"/>
                      <w:snapToGrid w:val="0"/>
                      <w:color w:val="000000"/>
                      <w:spacing w:val="-6"/>
                      <w:kern w:val="21"/>
                      <w:szCs w:val="21"/>
                      <w:highlight w:val="none"/>
                    </w:rPr>
                    <w:t>为</w:t>
                  </w:r>
                  <w:r>
                    <w:rPr>
                      <w:rFonts w:ascii="Times New Roman"/>
                      <w:snapToGrid w:val="0"/>
                      <w:color w:val="000000"/>
                      <w:spacing w:val="-6"/>
                      <w:kern w:val="21"/>
                      <w:szCs w:val="21"/>
                      <w:highlight w:val="none"/>
                    </w:rPr>
                    <w:t>产生量）</w:t>
                  </w:r>
                </w:p>
              </w:tc>
            </w:tr>
            <w:tr w14:paraId="6BE0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restart"/>
                  <w:shd w:val="clear" w:color="auto" w:fill="auto"/>
                  <w:noWrap w:val="0"/>
                  <w:vAlign w:val="center"/>
                </w:tcPr>
                <w:p w14:paraId="157DA182">
                  <w:pPr>
                    <w:snapToGrid w:val="0"/>
                    <w:jc w:val="center"/>
                    <w:rPr>
                      <w:rFonts w:ascii="Times New Roman" w:hAnsi="Times New Roman"/>
                      <w:color w:val="000000"/>
                      <w:kern w:val="0"/>
                      <w:szCs w:val="21"/>
                      <w:highlight w:val="none"/>
                    </w:rPr>
                  </w:pPr>
                  <w:r>
                    <w:rPr>
                      <w:rFonts w:ascii="Times New Roman" w:hAnsi="Times New Roman"/>
                      <w:color w:val="000000"/>
                      <w:kern w:val="0"/>
                      <w:szCs w:val="21"/>
                      <w:highlight w:val="none"/>
                    </w:rPr>
                    <w:t>废气</w:t>
                  </w:r>
                </w:p>
              </w:tc>
              <w:tc>
                <w:tcPr>
                  <w:tcW w:w="1544" w:type="pct"/>
                  <w:shd w:val="clear" w:color="auto" w:fill="auto"/>
                  <w:noWrap w:val="0"/>
                  <w:vAlign w:val="center"/>
                </w:tcPr>
                <w:p w14:paraId="1D037B73">
                  <w:pPr>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甲醇</w:t>
                  </w:r>
                </w:p>
              </w:tc>
              <w:tc>
                <w:tcPr>
                  <w:tcW w:w="2127" w:type="pct"/>
                  <w:shd w:val="clear" w:color="auto" w:fill="auto"/>
                  <w:noWrap w:val="0"/>
                  <w:vAlign w:val="center"/>
                </w:tcPr>
                <w:p w14:paraId="0CEFDC5B">
                  <w:pPr>
                    <w:jc w:val="center"/>
                    <w:rPr>
                      <w:rFonts w:ascii="Times New Roman" w:hAnsi="Times New Roman"/>
                      <w:color w:val="00000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zh-HK"/>
                    </w:rPr>
                    <w:t>0.8234</w:t>
                  </w:r>
                </w:p>
              </w:tc>
            </w:tr>
            <w:tr w14:paraId="5B29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3D2BD193">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550E024F">
                  <w:pPr>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甲醛</w:t>
                  </w:r>
                </w:p>
              </w:tc>
              <w:tc>
                <w:tcPr>
                  <w:tcW w:w="2127" w:type="pct"/>
                  <w:shd w:val="clear" w:color="auto" w:fill="auto"/>
                  <w:noWrap w:val="0"/>
                  <w:vAlign w:val="center"/>
                </w:tcPr>
                <w:p w14:paraId="03727077">
                  <w:pPr>
                    <w:jc w:val="center"/>
                    <w:rPr>
                      <w:rFonts w:ascii="Times New Roman" w:hAnsi="Times New Roman"/>
                      <w:color w:val="000000"/>
                      <w:szCs w:val="21"/>
                      <w:highlight w:val="none"/>
                    </w:rPr>
                  </w:pPr>
                  <w:r>
                    <w:rPr>
                      <w:rFonts w:hint="eastAsia" w:ascii="Times New Roman" w:hAnsi="Times New Roman" w:eastAsia="宋体" w:cs="Times New Roman"/>
                      <w:i w:val="0"/>
                      <w:iCs w:val="0"/>
                      <w:color w:val="000000"/>
                      <w:kern w:val="0"/>
                      <w:sz w:val="21"/>
                      <w:szCs w:val="21"/>
                      <w:highlight w:val="none"/>
                      <w:u w:val="none"/>
                      <w:lang w:val="en-US" w:eastAsia="zh-CN" w:bidi="zh-HK"/>
                    </w:rPr>
                    <w:t>0.8554</w:t>
                  </w:r>
                </w:p>
              </w:tc>
            </w:tr>
            <w:tr w14:paraId="6A16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199CBC93">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0867045A">
                  <w:pPr>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氮氧化物</w:t>
                  </w:r>
                </w:p>
              </w:tc>
              <w:tc>
                <w:tcPr>
                  <w:tcW w:w="2127" w:type="pct"/>
                  <w:shd w:val="clear" w:color="auto" w:fill="auto"/>
                  <w:noWrap w:val="0"/>
                  <w:vAlign w:val="center"/>
                </w:tcPr>
                <w:p w14:paraId="1B1A50FB">
                  <w:pPr>
                    <w:jc w:val="center"/>
                    <w:rPr>
                      <w:rFonts w:ascii="Times New Roman" w:hAnsi="Times New Roman"/>
                      <w:color w:val="000000"/>
                      <w:szCs w:val="21"/>
                      <w:highlight w:val="none"/>
                    </w:rPr>
                  </w:pPr>
                  <w:r>
                    <w:rPr>
                      <w:rFonts w:hint="eastAsia" w:ascii="Times New Roman" w:hAnsi="Times New Roman" w:eastAsia="宋体" w:cs="Times New Roman"/>
                      <w:i w:val="0"/>
                      <w:iCs w:val="0"/>
                      <w:color w:val="000000"/>
                      <w:kern w:val="0"/>
                      <w:sz w:val="21"/>
                      <w:szCs w:val="21"/>
                      <w:highlight w:val="none"/>
                      <w:u w:val="none"/>
                      <w:lang w:val="en-US" w:eastAsia="zh-CN" w:bidi="zh-HK"/>
                    </w:rPr>
                    <w:t>16.09</w:t>
                  </w:r>
                </w:p>
              </w:tc>
            </w:tr>
            <w:tr w14:paraId="5389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3F4D1CC1">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4EEF52C7">
                  <w:pPr>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非甲烷总烃</w:t>
                  </w:r>
                </w:p>
              </w:tc>
              <w:tc>
                <w:tcPr>
                  <w:tcW w:w="2127" w:type="pct"/>
                  <w:shd w:val="clear" w:color="auto" w:fill="auto"/>
                  <w:noWrap w:val="0"/>
                  <w:vAlign w:val="center"/>
                </w:tcPr>
                <w:p w14:paraId="1EF58419">
                  <w:pPr>
                    <w:jc w:val="center"/>
                    <w:rPr>
                      <w:rFonts w:ascii="Times New Roman" w:hAnsi="Times New Roman"/>
                      <w:color w:val="000000"/>
                      <w:szCs w:val="21"/>
                      <w:highlight w:val="none"/>
                    </w:rPr>
                  </w:pPr>
                  <w:r>
                    <w:rPr>
                      <w:rFonts w:hint="eastAsia" w:ascii="Times New Roman" w:hAnsi="Times New Roman" w:eastAsia="宋体" w:cs="Times New Roman"/>
                      <w:i w:val="0"/>
                      <w:iCs w:val="0"/>
                      <w:color w:val="000000"/>
                      <w:kern w:val="0"/>
                      <w:sz w:val="21"/>
                      <w:szCs w:val="21"/>
                      <w:highlight w:val="none"/>
                      <w:u w:val="none"/>
                      <w:lang w:val="en-US" w:eastAsia="zh-CN" w:bidi="zh-HK"/>
                    </w:rPr>
                    <w:t>7.18</w:t>
                  </w:r>
                </w:p>
              </w:tc>
            </w:tr>
            <w:tr w14:paraId="17FD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673E2F85">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040CBC3A">
                  <w:pPr>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颗粒物</w:t>
                  </w:r>
                </w:p>
              </w:tc>
              <w:tc>
                <w:tcPr>
                  <w:tcW w:w="2127" w:type="pct"/>
                  <w:shd w:val="clear" w:color="auto" w:fill="auto"/>
                  <w:noWrap w:val="0"/>
                  <w:vAlign w:val="center"/>
                </w:tcPr>
                <w:p w14:paraId="4FF8DCCB">
                  <w:pPr>
                    <w:jc w:val="center"/>
                    <w:rPr>
                      <w:rFonts w:ascii="Times New Roman" w:hAnsi="Times New Roman"/>
                      <w:color w:val="000000"/>
                      <w:szCs w:val="21"/>
                      <w:highlight w:val="none"/>
                    </w:rPr>
                  </w:pPr>
                  <w:r>
                    <w:rPr>
                      <w:rFonts w:hint="eastAsia" w:ascii="Times New Roman" w:hAnsi="Times New Roman" w:eastAsia="宋体" w:cs="Times New Roman"/>
                      <w:i w:val="0"/>
                      <w:iCs w:val="0"/>
                      <w:color w:val="000000"/>
                      <w:kern w:val="0"/>
                      <w:sz w:val="21"/>
                      <w:szCs w:val="21"/>
                      <w:highlight w:val="none"/>
                      <w:u w:val="none"/>
                      <w:lang w:val="en-US" w:eastAsia="zh-CN" w:bidi="zh-HK"/>
                    </w:rPr>
                    <w:t>27.27</w:t>
                  </w:r>
                </w:p>
              </w:tc>
            </w:tr>
            <w:tr w14:paraId="6B89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096F64C7">
                  <w:pPr>
                    <w:snapToGrid w:val="0"/>
                    <w:jc w:val="center"/>
                    <w:rPr>
                      <w:rFonts w:hint="eastAsia" w:ascii="Times New Roman" w:hAnsi="Times New Roman" w:eastAsia="宋体"/>
                      <w:color w:val="000000"/>
                      <w:kern w:val="0"/>
                      <w:szCs w:val="21"/>
                      <w:highlight w:val="none"/>
                      <w:lang w:eastAsia="zh-CN"/>
                    </w:rPr>
                  </w:pPr>
                </w:p>
              </w:tc>
              <w:tc>
                <w:tcPr>
                  <w:tcW w:w="1544" w:type="pct"/>
                  <w:shd w:val="clear" w:color="auto" w:fill="auto"/>
                  <w:noWrap w:val="0"/>
                  <w:vAlign w:val="center"/>
                </w:tcPr>
                <w:p w14:paraId="440C386D">
                  <w:pPr>
                    <w:spacing w:line="0" w:lineRule="atLeast"/>
                    <w:jc w:val="center"/>
                    <w:rPr>
                      <w:rFonts w:hint="eastAsia" w:ascii="Times New Roman" w:hAnsi="Times New Roman"/>
                      <w:color w:val="000000"/>
                      <w:szCs w:val="21"/>
                      <w:highlight w:val="none"/>
                      <w:lang w:val="en-US" w:eastAsia="zh-CN"/>
                    </w:rPr>
                  </w:pPr>
                  <w:r>
                    <w:rPr>
                      <w:rFonts w:hint="eastAsia"/>
                      <w:bCs/>
                      <w:szCs w:val="21"/>
                      <w:highlight w:val="none"/>
                    </w:rPr>
                    <w:t>氨</w:t>
                  </w:r>
                </w:p>
              </w:tc>
              <w:tc>
                <w:tcPr>
                  <w:tcW w:w="2127" w:type="pct"/>
                  <w:shd w:val="clear" w:color="auto" w:fill="auto"/>
                  <w:noWrap w:val="0"/>
                  <w:vAlign w:val="center"/>
                </w:tcPr>
                <w:p w14:paraId="46B0C1A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0.2375</w:t>
                  </w:r>
                </w:p>
              </w:tc>
            </w:tr>
            <w:tr w14:paraId="6978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34C0F87F">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602A353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color w:val="000000"/>
                      <w:szCs w:val="21"/>
                      <w:highlight w:val="none"/>
                      <w:lang w:val="en-US" w:eastAsia="zh-CN"/>
                    </w:rPr>
                  </w:pPr>
                  <w:r>
                    <w:rPr>
                      <w:rFonts w:hint="default" w:ascii="Times New Roman" w:hAnsi="Times New Roman" w:eastAsia="宋体" w:cs="Times New Roman"/>
                      <w:color w:val="auto"/>
                      <w:sz w:val="21"/>
                      <w:szCs w:val="21"/>
                      <w:highlight w:val="none"/>
                      <w:lang w:val="en-US" w:eastAsia="zh-CN"/>
                    </w:rPr>
                    <w:t>酚类化合物</w:t>
                  </w:r>
                </w:p>
              </w:tc>
              <w:tc>
                <w:tcPr>
                  <w:tcW w:w="2127" w:type="pct"/>
                  <w:shd w:val="clear" w:color="auto" w:fill="auto"/>
                  <w:noWrap w:val="0"/>
                  <w:vAlign w:val="center"/>
                </w:tcPr>
                <w:p w14:paraId="4F5B955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1.2875</w:t>
                  </w:r>
                </w:p>
              </w:tc>
            </w:tr>
            <w:tr w14:paraId="73B1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42661E0A">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15D62343">
                  <w:pPr>
                    <w:jc w:val="center"/>
                    <w:rPr>
                      <w:rFonts w:hint="eastAsia" w:ascii="Times New Roman" w:hAnsi="Times New Roman"/>
                      <w:color w:val="000000"/>
                      <w:kern w:val="2"/>
                      <w:sz w:val="21"/>
                      <w:szCs w:val="21"/>
                      <w:highlight w:val="none"/>
                      <w:lang w:val="en-US" w:eastAsia="zh-CN" w:bidi="ar-SA"/>
                    </w:rPr>
                  </w:pPr>
                  <w:r>
                    <w:rPr>
                      <w:rFonts w:hint="eastAsia" w:ascii="Times New Roman" w:hAnsi="Times New Roman"/>
                      <w:color w:val="000000"/>
                      <w:szCs w:val="21"/>
                      <w:highlight w:val="none"/>
                      <w:lang w:val="en-US" w:eastAsia="zh-CN"/>
                    </w:rPr>
                    <w:t>硫酸雾</w:t>
                  </w:r>
                </w:p>
              </w:tc>
              <w:tc>
                <w:tcPr>
                  <w:tcW w:w="2127" w:type="pct"/>
                  <w:shd w:val="clear" w:color="auto" w:fill="auto"/>
                  <w:noWrap w:val="0"/>
                  <w:vAlign w:val="center"/>
                </w:tcPr>
                <w:p w14:paraId="6944FE41">
                  <w:pPr>
                    <w:jc w:val="center"/>
                    <w:rPr>
                      <w:rFonts w:hint="eastAsia" w:ascii="Times New Roman" w:hAnsi="Times New Roman"/>
                      <w:color w:val="000000"/>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zh-HK"/>
                    </w:rPr>
                    <w:t>0.1131</w:t>
                  </w:r>
                </w:p>
              </w:tc>
            </w:tr>
            <w:tr w14:paraId="0F82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35FCF671">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237CB05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二氧化硫</w:t>
                  </w:r>
                </w:p>
              </w:tc>
              <w:tc>
                <w:tcPr>
                  <w:tcW w:w="2127" w:type="pct"/>
                  <w:shd w:val="clear" w:color="auto" w:fill="auto"/>
                  <w:noWrap w:val="0"/>
                  <w:vAlign w:val="center"/>
                </w:tcPr>
                <w:p w14:paraId="76DFC49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26.47</w:t>
                  </w:r>
                </w:p>
              </w:tc>
            </w:tr>
            <w:tr w14:paraId="176D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restart"/>
                  <w:shd w:val="clear" w:color="auto" w:fill="auto"/>
                  <w:noWrap w:val="0"/>
                  <w:vAlign w:val="center"/>
                </w:tcPr>
                <w:p w14:paraId="793D8173">
                  <w:pPr>
                    <w:snapToGrid w:val="0"/>
                    <w:jc w:val="center"/>
                    <w:rPr>
                      <w:rFonts w:ascii="Times New Roman" w:hAnsi="Times New Roman"/>
                      <w:color w:val="000000"/>
                      <w:kern w:val="0"/>
                      <w:szCs w:val="21"/>
                      <w:highlight w:val="none"/>
                    </w:rPr>
                  </w:pPr>
                  <w:r>
                    <w:rPr>
                      <w:rFonts w:ascii="Times New Roman" w:hAnsi="Times New Roman"/>
                      <w:color w:val="000000"/>
                      <w:kern w:val="0"/>
                      <w:szCs w:val="21"/>
                      <w:highlight w:val="none"/>
                    </w:rPr>
                    <w:t>废水</w:t>
                  </w:r>
                </w:p>
              </w:tc>
              <w:tc>
                <w:tcPr>
                  <w:tcW w:w="1544" w:type="pct"/>
                  <w:shd w:val="clear" w:color="auto" w:fill="auto"/>
                  <w:noWrap w:val="0"/>
                  <w:vAlign w:val="center"/>
                </w:tcPr>
                <w:p w14:paraId="2E30FC90">
                  <w:pPr>
                    <w:snapToGrid w:val="0"/>
                    <w:jc w:val="center"/>
                    <w:rPr>
                      <w:rFonts w:ascii="Times New Roman" w:hAnsi="Times New Roman"/>
                      <w:color w:val="000000"/>
                      <w:szCs w:val="21"/>
                      <w:highlight w:val="none"/>
                    </w:rPr>
                  </w:pPr>
                  <w:r>
                    <w:rPr>
                      <w:rFonts w:ascii="Times New Roman" w:hAnsi="Times New Roman"/>
                      <w:color w:val="000000"/>
                      <w:szCs w:val="21"/>
                      <w:highlight w:val="none"/>
                    </w:rPr>
                    <w:t>COD</w:t>
                  </w:r>
                </w:p>
              </w:tc>
              <w:tc>
                <w:tcPr>
                  <w:tcW w:w="2127" w:type="pct"/>
                  <w:shd w:val="clear" w:color="auto" w:fill="auto"/>
                  <w:noWrap w:val="0"/>
                  <w:vAlign w:val="center"/>
                </w:tcPr>
                <w:p w14:paraId="786A1E9C">
                  <w:pPr>
                    <w:snapToGrid w:val="0"/>
                    <w:jc w:val="center"/>
                    <w:rPr>
                      <w:rFonts w:ascii="Times New Roman" w:hAnsi="Times New Roman"/>
                      <w:color w:val="000000"/>
                      <w:szCs w:val="21"/>
                      <w:highlight w:val="none"/>
                    </w:rPr>
                  </w:pPr>
                  <w:r>
                    <w:rPr>
                      <w:rFonts w:ascii="Times New Roman" w:hAnsi="Times New Roman"/>
                      <w:color w:val="000000"/>
                      <w:szCs w:val="21"/>
                      <w:highlight w:val="none"/>
                    </w:rPr>
                    <w:t>1.15</w:t>
                  </w:r>
                </w:p>
              </w:tc>
            </w:tr>
            <w:tr w14:paraId="6FFD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45673CF9">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564DCDF6">
                  <w:pPr>
                    <w:snapToGrid w:val="0"/>
                    <w:jc w:val="center"/>
                    <w:rPr>
                      <w:rFonts w:ascii="Times New Roman" w:hAnsi="Times New Roman"/>
                      <w:color w:val="000000"/>
                      <w:szCs w:val="21"/>
                      <w:highlight w:val="none"/>
                    </w:rPr>
                  </w:pPr>
                  <w:r>
                    <w:rPr>
                      <w:rFonts w:ascii="Times New Roman" w:hAnsi="Times New Roman"/>
                      <w:color w:val="000000"/>
                      <w:szCs w:val="21"/>
                      <w:highlight w:val="none"/>
                    </w:rPr>
                    <w:t>BOD</w:t>
                  </w:r>
                  <w:r>
                    <w:rPr>
                      <w:rFonts w:ascii="Times New Roman" w:hAnsi="Times New Roman"/>
                      <w:color w:val="000000"/>
                      <w:szCs w:val="21"/>
                      <w:highlight w:val="none"/>
                      <w:vertAlign w:val="subscript"/>
                    </w:rPr>
                    <w:t>5</w:t>
                  </w:r>
                </w:p>
              </w:tc>
              <w:tc>
                <w:tcPr>
                  <w:tcW w:w="2127" w:type="pct"/>
                  <w:shd w:val="clear" w:color="auto" w:fill="auto"/>
                  <w:noWrap w:val="0"/>
                  <w:vAlign w:val="center"/>
                </w:tcPr>
                <w:p w14:paraId="18B095CF">
                  <w:pPr>
                    <w:snapToGrid w:val="0"/>
                    <w:jc w:val="center"/>
                    <w:rPr>
                      <w:rFonts w:ascii="Times New Roman" w:hAnsi="Times New Roman"/>
                      <w:color w:val="000000"/>
                      <w:szCs w:val="21"/>
                      <w:highlight w:val="none"/>
                    </w:rPr>
                  </w:pPr>
                  <w:r>
                    <w:rPr>
                      <w:rFonts w:hint="eastAsia" w:ascii="Times New Roman" w:hAnsi="Times New Roman"/>
                      <w:color w:val="000000"/>
                      <w:szCs w:val="21"/>
                      <w:highlight w:val="none"/>
                    </w:rPr>
                    <w:t>0.3</w:t>
                  </w:r>
                </w:p>
              </w:tc>
            </w:tr>
            <w:tr w14:paraId="424E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055B12EA">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0FDEB5ED">
                  <w:pPr>
                    <w:snapToGrid w:val="0"/>
                    <w:jc w:val="center"/>
                    <w:rPr>
                      <w:rFonts w:ascii="Times New Roman" w:hAnsi="Times New Roman"/>
                      <w:color w:val="000000"/>
                      <w:szCs w:val="21"/>
                      <w:highlight w:val="none"/>
                    </w:rPr>
                  </w:pPr>
                  <w:r>
                    <w:rPr>
                      <w:rFonts w:ascii="Times New Roman" w:hAnsi="Times New Roman"/>
                      <w:color w:val="000000"/>
                      <w:szCs w:val="21"/>
                      <w:highlight w:val="none"/>
                    </w:rPr>
                    <w:t>NH</w:t>
                  </w:r>
                  <w:r>
                    <w:rPr>
                      <w:rFonts w:ascii="Times New Roman" w:hAnsi="Times New Roman"/>
                      <w:color w:val="000000"/>
                      <w:szCs w:val="21"/>
                      <w:highlight w:val="none"/>
                      <w:vertAlign w:val="subscript"/>
                    </w:rPr>
                    <w:t>3</w:t>
                  </w:r>
                  <w:r>
                    <w:rPr>
                      <w:rFonts w:ascii="Times New Roman" w:hAnsi="Times New Roman"/>
                      <w:color w:val="000000"/>
                      <w:szCs w:val="21"/>
                      <w:highlight w:val="none"/>
                    </w:rPr>
                    <w:t>-N</w:t>
                  </w:r>
                </w:p>
              </w:tc>
              <w:tc>
                <w:tcPr>
                  <w:tcW w:w="2127" w:type="pct"/>
                  <w:shd w:val="clear" w:color="auto" w:fill="auto"/>
                  <w:noWrap w:val="0"/>
                  <w:vAlign w:val="center"/>
                </w:tcPr>
                <w:p w14:paraId="13893A4D">
                  <w:pPr>
                    <w:snapToGrid w:val="0"/>
                    <w:jc w:val="center"/>
                    <w:rPr>
                      <w:rFonts w:ascii="Times New Roman" w:hAnsi="Times New Roman"/>
                      <w:color w:val="000000"/>
                      <w:szCs w:val="21"/>
                      <w:highlight w:val="none"/>
                    </w:rPr>
                  </w:pPr>
                  <w:r>
                    <w:rPr>
                      <w:rFonts w:hint="eastAsia" w:ascii="Times New Roman" w:hAnsi="Times New Roman"/>
                      <w:color w:val="000000"/>
                      <w:szCs w:val="21"/>
                      <w:highlight w:val="none"/>
                    </w:rPr>
                    <w:t>0.08</w:t>
                  </w:r>
                </w:p>
              </w:tc>
            </w:tr>
            <w:tr w14:paraId="366F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70F7CDC4">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3051D429">
                  <w:pPr>
                    <w:snapToGrid w:val="0"/>
                    <w:jc w:val="center"/>
                    <w:rPr>
                      <w:rFonts w:ascii="Times New Roman" w:hAnsi="Times New Roman"/>
                      <w:color w:val="000000"/>
                      <w:szCs w:val="21"/>
                      <w:highlight w:val="none"/>
                    </w:rPr>
                  </w:pPr>
                  <w:r>
                    <w:rPr>
                      <w:rFonts w:ascii="Times New Roman" w:hAnsi="Times New Roman"/>
                      <w:color w:val="000000"/>
                      <w:szCs w:val="21"/>
                      <w:highlight w:val="none"/>
                    </w:rPr>
                    <w:t>SS</w:t>
                  </w:r>
                </w:p>
              </w:tc>
              <w:tc>
                <w:tcPr>
                  <w:tcW w:w="2127" w:type="pct"/>
                  <w:shd w:val="clear" w:color="auto" w:fill="auto"/>
                  <w:noWrap w:val="0"/>
                  <w:vAlign w:val="center"/>
                </w:tcPr>
                <w:p w14:paraId="3EC3BA42">
                  <w:pPr>
                    <w:snapToGrid w:val="0"/>
                    <w:jc w:val="center"/>
                    <w:rPr>
                      <w:rFonts w:ascii="Times New Roman" w:hAnsi="Times New Roman"/>
                      <w:color w:val="000000"/>
                      <w:szCs w:val="21"/>
                      <w:highlight w:val="none"/>
                    </w:rPr>
                  </w:pPr>
                  <w:r>
                    <w:rPr>
                      <w:rFonts w:ascii="Times New Roman" w:hAnsi="Times New Roman"/>
                      <w:color w:val="000000"/>
                      <w:szCs w:val="21"/>
                      <w:highlight w:val="none"/>
                    </w:rPr>
                    <w:t>0.56</w:t>
                  </w:r>
                </w:p>
              </w:tc>
            </w:tr>
            <w:tr w14:paraId="5C92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7FB85DD1">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549F1CC5">
                  <w:pPr>
                    <w:snapToGrid w:val="0"/>
                    <w:jc w:val="center"/>
                    <w:rPr>
                      <w:rFonts w:ascii="Times New Roman" w:hAnsi="Times New Roman"/>
                      <w:color w:val="000000"/>
                      <w:szCs w:val="21"/>
                      <w:highlight w:val="none"/>
                    </w:rPr>
                  </w:pPr>
                  <w:r>
                    <w:rPr>
                      <w:rFonts w:hint="eastAsia" w:ascii="Times New Roman" w:hAnsi="Times New Roman"/>
                      <w:color w:val="000000"/>
                      <w:szCs w:val="21"/>
                      <w:highlight w:val="none"/>
                    </w:rPr>
                    <w:t>TP</w:t>
                  </w:r>
                </w:p>
              </w:tc>
              <w:tc>
                <w:tcPr>
                  <w:tcW w:w="2127" w:type="pct"/>
                  <w:shd w:val="clear" w:color="auto" w:fill="auto"/>
                  <w:noWrap w:val="0"/>
                  <w:vAlign w:val="center"/>
                </w:tcPr>
                <w:p w14:paraId="7B051F85">
                  <w:pPr>
                    <w:snapToGrid w:val="0"/>
                    <w:jc w:val="center"/>
                    <w:rPr>
                      <w:rFonts w:ascii="Times New Roman" w:hAnsi="Times New Roman"/>
                      <w:color w:val="000000"/>
                      <w:szCs w:val="21"/>
                      <w:highlight w:val="none"/>
                    </w:rPr>
                  </w:pPr>
                  <w:r>
                    <w:rPr>
                      <w:rFonts w:hint="eastAsia" w:ascii="Times New Roman" w:hAnsi="Times New Roman"/>
                      <w:color w:val="000000"/>
                      <w:szCs w:val="21"/>
                      <w:highlight w:val="none"/>
                    </w:rPr>
                    <w:t>0.02</w:t>
                  </w:r>
                </w:p>
              </w:tc>
            </w:tr>
            <w:tr w14:paraId="7FB3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70E05F8C">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02E28EE1">
                  <w:pPr>
                    <w:snapToGrid w:val="0"/>
                    <w:jc w:val="center"/>
                    <w:rPr>
                      <w:rFonts w:ascii="Times New Roman" w:hAnsi="Times New Roman"/>
                      <w:color w:val="000000"/>
                      <w:szCs w:val="21"/>
                      <w:highlight w:val="none"/>
                    </w:rPr>
                  </w:pPr>
                  <w:r>
                    <w:rPr>
                      <w:rFonts w:hint="eastAsia" w:ascii="Times New Roman" w:hAnsi="Times New Roman"/>
                      <w:color w:val="000000"/>
                      <w:szCs w:val="21"/>
                      <w:highlight w:val="none"/>
                    </w:rPr>
                    <w:t>动植物油</w:t>
                  </w:r>
                </w:p>
              </w:tc>
              <w:tc>
                <w:tcPr>
                  <w:tcW w:w="2127" w:type="pct"/>
                  <w:shd w:val="clear" w:color="auto" w:fill="auto"/>
                  <w:noWrap w:val="0"/>
                  <w:vAlign w:val="center"/>
                </w:tcPr>
                <w:p w14:paraId="28BB9FAC">
                  <w:pPr>
                    <w:snapToGrid w:val="0"/>
                    <w:jc w:val="center"/>
                    <w:rPr>
                      <w:rFonts w:ascii="Times New Roman" w:hAnsi="Times New Roman"/>
                      <w:color w:val="000000"/>
                      <w:szCs w:val="21"/>
                      <w:highlight w:val="none"/>
                    </w:rPr>
                  </w:pPr>
                  <w:r>
                    <w:rPr>
                      <w:rFonts w:hint="eastAsia" w:ascii="Times New Roman" w:hAnsi="Times New Roman"/>
                      <w:color w:val="000000"/>
                      <w:szCs w:val="21"/>
                      <w:highlight w:val="none"/>
                    </w:rPr>
                    <w:t>0.04</w:t>
                  </w:r>
                </w:p>
              </w:tc>
            </w:tr>
            <w:tr w14:paraId="7E2F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shd w:val="clear" w:color="auto" w:fill="auto"/>
                  <w:noWrap w:val="0"/>
                  <w:vAlign w:val="center"/>
                </w:tcPr>
                <w:p w14:paraId="5E626CE5">
                  <w:pPr>
                    <w:pStyle w:val="50"/>
                    <w:adjustRightInd/>
                    <w:snapToGrid/>
                    <w:spacing w:beforeLines="0" w:afterLines="0" w:line="240" w:lineRule="auto"/>
                    <w:ind w:firstLine="0" w:firstLineChars="0"/>
                    <w:jc w:val="both"/>
                    <w:rPr>
                      <w:rFonts w:ascii="Times New Roman"/>
                      <w:color w:val="000000"/>
                      <w:szCs w:val="21"/>
                      <w:highlight w:val="none"/>
                      <w:lang w:val="en-US" w:eastAsia="zh-CN"/>
                    </w:rPr>
                  </w:pPr>
                  <w:r>
                    <w:rPr>
                      <w:rFonts w:ascii="Times New Roman"/>
                      <w:snapToGrid w:val="0"/>
                      <w:color w:val="000000"/>
                      <w:kern w:val="21"/>
                      <w:szCs w:val="21"/>
                      <w:highlight w:val="none"/>
                      <w:lang w:val="en-US" w:eastAsia="zh-CN" w:bidi="zh-HK"/>
                    </w:rPr>
                    <w:t>一般工业固体废物</w:t>
                  </w:r>
                </w:p>
              </w:tc>
              <w:tc>
                <w:tcPr>
                  <w:tcW w:w="1544" w:type="pct"/>
                  <w:shd w:val="clear" w:color="auto" w:fill="auto"/>
                  <w:noWrap w:val="0"/>
                  <w:vAlign w:val="center"/>
                </w:tcPr>
                <w:p w14:paraId="4CD4052C">
                  <w:pPr>
                    <w:jc w:val="center"/>
                    <w:rPr>
                      <w:rFonts w:ascii="Times New Roman" w:hAnsi="Times New Roman"/>
                      <w:bCs/>
                      <w:color w:val="000000"/>
                      <w:szCs w:val="21"/>
                      <w:highlight w:val="none"/>
                    </w:rPr>
                  </w:pPr>
                  <w:r>
                    <w:rPr>
                      <w:rFonts w:ascii="Times New Roman" w:hAnsi="Times New Roman"/>
                      <w:bCs/>
                      <w:color w:val="000000"/>
                      <w:szCs w:val="21"/>
                      <w:highlight w:val="none"/>
                    </w:rPr>
                    <w:t>废包装袋（桶）</w:t>
                  </w:r>
                </w:p>
              </w:tc>
              <w:tc>
                <w:tcPr>
                  <w:tcW w:w="2127" w:type="pct"/>
                  <w:shd w:val="clear" w:color="auto" w:fill="auto"/>
                  <w:noWrap w:val="0"/>
                  <w:vAlign w:val="center"/>
                </w:tcPr>
                <w:p w14:paraId="123E11CF">
                  <w:pPr>
                    <w:pStyle w:val="50"/>
                    <w:adjustRightInd/>
                    <w:snapToGrid/>
                    <w:spacing w:beforeLines="0" w:afterLines="0" w:line="240" w:lineRule="auto"/>
                    <w:ind w:firstLine="0" w:firstLineChars="0"/>
                    <w:rPr>
                      <w:rFonts w:ascii="Times New Roman"/>
                      <w:snapToGrid w:val="0"/>
                      <w:color w:val="000000"/>
                      <w:kern w:val="21"/>
                      <w:szCs w:val="21"/>
                      <w:highlight w:val="none"/>
                      <w:lang w:val="en-US" w:eastAsia="zh-CN" w:bidi="zh-HK"/>
                    </w:rPr>
                  </w:pPr>
                  <w:r>
                    <w:rPr>
                      <w:rFonts w:hint="eastAsia" w:ascii="Times New Roman" w:hAnsi="Times New Roman"/>
                      <w:bCs/>
                      <w:color w:val="000000"/>
                      <w:szCs w:val="21"/>
                      <w:highlight w:val="none"/>
                      <w:lang w:val="en-US" w:eastAsia="zh-CN"/>
                    </w:rPr>
                    <w:t>69.14</w:t>
                  </w:r>
                </w:p>
              </w:tc>
            </w:tr>
            <w:tr w14:paraId="378D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restart"/>
                  <w:shd w:val="clear" w:color="auto" w:fill="auto"/>
                  <w:noWrap w:val="0"/>
                  <w:vAlign w:val="center"/>
                </w:tcPr>
                <w:p w14:paraId="51D709A2">
                  <w:pPr>
                    <w:pStyle w:val="50"/>
                    <w:adjustRightInd/>
                    <w:snapToGrid/>
                    <w:spacing w:beforeLines="0" w:afterLines="0" w:line="240" w:lineRule="auto"/>
                    <w:ind w:firstLine="0" w:firstLineChars="0"/>
                    <w:rPr>
                      <w:rFonts w:ascii="Times New Roman"/>
                      <w:color w:val="000000"/>
                      <w:szCs w:val="21"/>
                      <w:highlight w:val="none"/>
                      <w:lang w:val="en-US" w:eastAsia="zh-CN"/>
                    </w:rPr>
                  </w:pPr>
                  <w:r>
                    <w:rPr>
                      <w:rFonts w:ascii="Times New Roman"/>
                      <w:snapToGrid w:val="0"/>
                      <w:color w:val="000000"/>
                      <w:kern w:val="21"/>
                      <w:szCs w:val="21"/>
                      <w:highlight w:val="none"/>
                      <w:lang w:val="en-US" w:eastAsia="zh-CN" w:bidi="zh-HK"/>
                    </w:rPr>
                    <w:t>危险废物</w:t>
                  </w:r>
                </w:p>
              </w:tc>
              <w:tc>
                <w:tcPr>
                  <w:tcW w:w="1544" w:type="pct"/>
                  <w:shd w:val="clear" w:color="auto" w:fill="auto"/>
                  <w:noWrap w:val="0"/>
                  <w:vAlign w:val="center"/>
                </w:tcPr>
                <w:p w14:paraId="660DB93B">
                  <w:pPr>
                    <w:jc w:val="center"/>
                    <w:rPr>
                      <w:rFonts w:ascii="Times New Roman" w:hAnsi="Times New Roman"/>
                      <w:bCs/>
                      <w:color w:val="000000"/>
                      <w:kern w:val="2"/>
                      <w:sz w:val="21"/>
                      <w:szCs w:val="21"/>
                      <w:highlight w:val="none"/>
                      <w:lang w:val="en-US" w:eastAsia="zh-CN" w:bidi="ar-SA"/>
                    </w:rPr>
                  </w:pPr>
                  <w:r>
                    <w:rPr>
                      <w:rFonts w:ascii="Times New Roman" w:hAnsi="Times New Roman"/>
                      <w:bCs/>
                      <w:color w:val="000000"/>
                      <w:szCs w:val="21"/>
                      <w:highlight w:val="none"/>
                    </w:rPr>
                    <w:t>盛装原料的废</w:t>
                  </w:r>
                  <w:r>
                    <w:rPr>
                      <w:rFonts w:hint="eastAsia"/>
                      <w:lang w:eastAsia="zh-CN"/>
                    </w:rPr>
                    <w:t>弃</w:t>
                  </w:r>
                  <w:r>
                    <w:rPr>
                      <w:rFonts w:ascii="Times New Roman" w:hAnsi="Times New Roman"/>
                      <w:bCs/>
                      <w:color w:val="000000"/>
                      <w:szCs w:val="21"/>
                      <w:highlight w:val="none"/>
                    </w:rPr>
                    <w:t>空桶</w:t>
                  </w:r>
                </w:p>
              </w:tc>
              <w:tc>
                <w:tcPr>
                  <w:tcW w:w="2127" w:type="pct"/>
                  <w:shd w:val="clear" w:color="auto" w:fill="auto"/>
                  <w:noWrap w:val="0"/>
                  <w:vAlign w:val="center"/>
                </w:tcPr>
                <w:p w14:paraId="2DB56A04">
                  <w:pPr>
                    <w:jc w:val="center"/>
                    <w:rPr>
                      <w:rFonts w:ascii="Times New Roman" w:hAnsi="Times New Roman"/>
                      <w:bCs/>
                      <w:color w:val="000000"/>
                      <w:szCs w:val="21"/>
                      <w:highlight w:val="none"/>
                    </w:rPr>
                  </w:pPr>
                  <w:r>
                    <w:rPr>
                      <w:rFonts w:hint="eastAsia" w:ascii="Times New Roman" w:hAnsi="Times New Roman"/>
                      <w:bCs/>
                      <w:color w:val="000000"/>
                      <w:szCs w:val="21"/>
                      <w:highlight w:val="none"/>
                      <w:lang w:val="en-US" w:eastAsia="zh-CN"/>
                    </w:rPr>
                    <w:t>730</w:t>
                  </w:r>
                </w:p>
              </w:tc>
            </w:tr>
            <w:tr w14:paraId="2F64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0FC3F085">
                  <w:pPr>
                    <w:pStyle w:val="50"/>
                    <w:adjustRightInd/>
                    <w:snapToGrid/>
                    <w:spacing w:beforeLines="0" w:afterLines="0" w:line="240" w:lineRule="auto"/>
                    <w:ind w:firstLine="0" w:firstLineChars="0"/>
                    <w:rPr>
                      <w:rFonts w:ascii="Times New Roman"/>
                      <w:snapToGrid w:val="0"/>
                      <w:color w:val="000000"/>
                      <w:kern w:val="21"/>
                      <w:szCs w:val="21"/>
                      <w:highlight w:val="none"/>
                      <w:lang w:val="en-US" w:eastAsia="zh-CN" w:bidi="zh-HK"/>
                    </w:rPr>
                  </w:pPr>
                </w:p>
              </w:tc>
              <w:tc>
                <w:tcPr>
                  <w:tcW w:w="1544" w:type="pct"/>
                  <w:shd w:val="clear" w:color="auto" w:fill="auto"/>
                  <w:noWrap w:val="0"/>
                  <w:vAlign w:val="center"/>
                </w:tcPr>
                <w:p w14:paraId="0A75032D">
                  <w:pPr>
                    <w:jc w:val="center"/>
                    <w:rPr>
                      <w:rFonts w:hint="eastAsia" w:ascii="Times New Roman" w:hAnsi="Times New Roman"/>
                      <w:bCs/>
                      <w:color w:val="000000"/>
                      <w:kern w:val="2"/>
                      <w:sz w:val="21"/>
                      <w:szCs w:val="21"/>
                      <w:highlight w:val="none"/>
                      <w:lang w:val="en-US" w:eastAsia="zh-CN" w:bidi="ar-SA"/>
                    </w:rPr>
                  </w:pPr>
                  <w:r>
                    <w:rPr>
                      <w:rStyle w:val="72"/>
                      <w:rFonts w:hint="eastAsia" w:ascii="Times New Roman" w:hAnsi="Times New Roman"/>
                      <w:color w:val="auto"/>
                      <w:sz w:val="21"/>
                      <w:szCs w:val="21"/>
                      <w:highlight w:val="none"/>
                      <w:shd w:val="clear" w:color="auto" w:fill="auto"/>
                    </w:rPr>
                    <w:t>氢氧化钠等包装袋</w:t>
                  </w:r>
                </w:p>
              </w:tc>
              <w:tc>
                <w:tcPr>
                  <w:tcW w:w="2127" w:type="pct"/>
                  <w:shd w:val="clear" w:color="auto" w:fill="auto"/>
                  <w:noWrap w:val="0"/>
                  <w:vAlign w:val="center"/>
                </w:tcPr>
                <w:p w14:paraId="739BD018">
                  <w:pPr>
                    <w:jc w:val="center"/>
                    <w:rPr>
                      <w:rFonts w:hint="eastAsia" w:ascii="Times New Roman" w:hAnsi="Times New Roman"/>
                      <w:bCs/>
                      <w:color w:val="000000"/>
                      <w:szCs w:val="21"/>
                      <w:highlight w:val="none"/>
                    </w:rPr>
                  </w:pPr>
                  <w:r>
                    <w:rPr>
                      <w:rFonts w:hint="eastAsia" w:ascii="Times New Roman" w:hAnsi="Times New Roman"/>
                      <w:bCs/>
                      <w:color w:val="000000"/>
                      <w:szCs w:val="21"/>
                      <w:highlight w:val="none"/>
                      <w:lang w:val="en-US" w:eastAsia="zh-CN"/>
                    </w:rPr>
                    <w:t>5.4</w:t>
                  </w:r>
                </w:p>
              </w:tc>
            </w:tr>
            <w:tr w14:paraId="5D5A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0872870F">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3E950323">
                  <w:pPr>
                    <w:jc w:val="center"/>
                    <w:rPr>
                      <w:rFonts w:ascii="Times New Roman" w:hAnsi="Times New Roman"/>
                      <w:bCs/>
                      <w:color w:val="000000"/>
                      <w:kern w:val="2"/>
                      <w:sz w:val="21"/>
                      <w:szCs w:val="21"/>
                      <w:highlight w:val="none"/>
                      <w:lang w:val="en-US" w:eastAsia="zh-CN" w:bidi="ar-SA"/>
                    </w:rPr>
                  </w:pPr>
                  <w:r>
                    <w:rPr>
                      <w:rFonts w:ascii="Times New Roman" w:hAnsi="Times New Roman"/>
                      <w:bCs/>
                      <w:color w:val="000000"/>
                      <w:szCs w:val="21"/>
                      <w:highlight w:val="none"/>
                    </w:rPr>
                    <w:t>废活性炭</w:t>
                  </w:r>
                </w:p>
              </w:tc>
              <w:tc>
                <w:tcPr>
                  <w:tcW w:w="2127" w:type="pct"/>
                  <w:shd w:val="clear" w:color="auto" w:fill="auto"/>
                  <w:noWrap w:val="0"/>
                  <w:vAlign w:val="center"/>
                </w:tcPr>
                <w:p w14:paraId="70BB20DB">
                  <w:pPr>
                    <w:jc w:val="center"/>
                    <w:rPr>
                      <w:rFonts w:ascii="Times New Roman" w:hAnsi="Times New Roman"/>
                      <w:bCs/>
                      <w:color w:val="000000"/>
                      <w:szCs w:val="21"/>
                      <w:highlight w:val="none"/>
                    </w:rPr>
                  </w:pPr>
                  <w:r>
                    <w:rPr>
                      <w:rFonts w:hint="eastAsia" w:ascii="Times New Roman" w:hAnsi="Times New Roman"/>
                      <w:bCs/>
                      <w:color w:val="000000"/>
                      <w:szCs w:val="21"/>
                      <w:highlight w:val="none"/>
                      <w:lang w:val="en-US" w:eastAsia="zh-CN"/>
                    </w:rPr>
                    <w:t>10.1</w:t>
                  </w:r>
                </w:p>
              </w:tc>
            </w:tr>
            <w:tr w14:paraId="7D3D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center"/>
                </w:tcPr>
                <w:p w14:paraId="7A6DD62B">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71C22CC7">
                  <w:pPr>
                    <w:jc w:val="center"/>
                    <w:rPr>
                      <w:rFonts w:ascii="Times New Roman" w:hAnsi="Times New Roman"/>
                      <w:bCs/>
                      <w:color w:val="000000"/>
                      <w:kern w:val="2"/>
                      <w:sz w:val="21"/>
                      <w:szCs w:val="21"/>
                      <w:highlight w:val="none"/>
                      <w:lang w:val="en-US" w:eastAsia="zh-CN" w:bidi="ar-SA"/>
                    </w:rPr>
                  </w:pPr>
                  <w:r>
                    <w:rPr>
                      <w:rFonts w:ascii="Times New Roman" w:hAnsi="Times New Roman"/>
                      <w:bCs/>
                      <w:color w:val="000000"/>
                      <w:szCs w:val="21"/>
                      <w:highlight w:val="none"/>
                    </w:rPr>
                    <w:t>废机油</w:t>
                  </w:r>
                </w:p>
              </w:tc>
              <w:tc>
                <w:tcPr>
                  <w:tcW w:w="2127" w:type="pct"/>
                  <w:shd w:val="clear" w:color="auto" w:fill="auto"/>
                  <w:noWrap w:val="0"/>
                  <w:vAlign w:val="center"/>
                </w:tcPr>
                <w:p w14:paraId="35A7B241">
                  <w:pPr>
                    <w:jc w:val="center"/>
                    <w:rPr>
                      <w:rFonts w:ascii="Times New Roman" w:hAnsi="Times New Roman"/>
                      <w:bCs/>
                      <w:color w:val="000000"/>
                      <w:szCs w:val="21"/>
                      <w:highlight w:val="none"/>
                    </w:rPr>
                  </w:pPr>
                  <w:r>
                    <w:rPr>
                      <w:rFonts w:ascii="Times New Roman" w:hAnsi="Times New Roman"/>
                      <w:bCs/>
                      <w:color w:val="000000"/>
                      <w:szCs w:val="21"/>
                      <w:highlight w:val="none"/>
                    </w:rPr>
                    <w:t>1</w:t>
                  </w:r>
                </w:p>
              </w:tc>
            </w:tr>
            <w:tr w14:paraId="1A5A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top"/>
                </w:tcPr>
                <w:p w14:paraId="19C4624B">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543B3993">
                  <w:pPr>
                    <w:jc w:val="center"/>
                    <w:rPr>
                      <w:rFonts w:ascii="Times New Roman" w:hAnsi="Times New Roman"/>
                      <w:bCs/>
                      <w:color w:val="000000"/>
                      <w:kern w:val="2"/>
                      <w:sz w:val="21"/>
                      <w:szCs w:val="21"/>
                      <w:highlight w:val="none"/>
                      <w:lang w:val="en-US" w:eastAsia="zh-CN" w:bidi="ar-SA"/>
                    </w:rPr>
                  </w:pPr>
                  <w:r>
                    <w:rPr>
                      <w:rFonts w:hint="eastAsia" w:ascii="Times New Roman" w:hAnsi="Times New Roman"/>
                      <w:bCs/>
                      <w:color w:val="000000"/>
                      <w:szCs w:val="21"/>
                      <w:highlight w:val="none"/>
                    </w:rPr>
                    <w:t>废UV灯管</w:t>
                  </w:r>
                </w:p>
              </w:tc>
              <w:tc>
                <w:tcPr>
                  <w:tcW w:w="2127" w:type="pct"/>
                  <w:shd w:val="clear" w:color="auto" w:fill="auto"/>
                  <w:noWrap w:val="0"/>
                  <w:vAlign w:val="center"/>
                </w:tcPr>
                <w:p w14:paraId="55D46322">
                  <w:pPr>
                    <w:jc w:val="center"/>
                    <w:rPr>
                      <w:rFonts w:ascii="Times New Roman" w:hAnsi="Times New Roman"/>
                      <w:bCs/>
                      <w:color w:val="000000"/>
                      <w:szCs w:val="21"/>
                      <w:highlight w:val="none"/>
                    </w:rPr>
                  </w:pPr>
                  <w:r>
                    <w:rPr>
                      <w:rFonts w:hint="eastAsia" w:ascii="Times New Roman" w:hAnsi="Times New Roman"/>
                      <w:bCs/>
                      <w:color w:val="000000"/>
                      <w:szCs w:val="21"/>
                      <w:highlight w:val="none"/>
                    </w:rPr>
                    <w:t>0.4</w:t>
                  </w:r>
                </w:p>
              </w:tc>
            </w:tr>
            <w:tr w14:paraId="639F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vMerge w:val="continue"/>
                  <w:shd w:val="clear" w:color="auto" w:fill="auto"/>
                  <w:noWrap w:val="0"/>
                  <w:vAlign w:val="top"/>
                </w:tcPr>
                <w:p w14:paraId="0DCCDF40">
                  <w:pPr>
                    <w:snapToGrid w:val="0"/>
                    <w:jc w:val="center"/>
                    <w:rPr>
                      <w:rFonts w:ascii="Times New Roman" w:hAnsi="Times New Roman"/>
                      <w:color w:val="000000"/>
                      <w:kern w:val="0"/>
                      <w:szCs w:val="21"/>
                      <w:highlight w:val="none"/>
                    </w:rPr>
                  </w:pPr>
                </w:p>
              </w:tc>
              <w:tc>
                <w:tcPr>
                  <w:tcW w:w="1544" w:type="pct"/>
                  <w:shd w:val="clear" w:color="auto" w:fill="auto"/>
                  <w:noWrap w:val="0"/>
                  <w:vAlign w:val="center"/>
                </w:tcPr>
                <w:p w14:paraId="12D9F556">
                  <w:pPr>
                    <w:jc w:val="center"/>
                    <w:rPr>
                      <w:rFonts w:ascii="Times New Roman" w:hAnsi="Times New Roman"/>
                      <w:bCs/>
                      <w:color w:val="000000"/>
                      <w:kern w:val="2"/>
                      <w:sz w:val="21"/>
                      <w:szCs w:val="21"/>
                      <w:highlight w:val="none"/>
                      <w:lang w:val="en-US" w:eastAsia="zh-CN" w:bidi="ar-SA"/>
                    </w:rPr>
                  </w:pPr>
                  <w:r>
                    <w:rPr>
                      <w:rFonts w:ascii="Times New Roman" w:hAnsi="Times New Roman"/>
                      <w:bCs/>
                      <w:color w:val="000000"/>
                      <w:szCs w:val="21"/>
                      <w:highlight w:val="none"/>
                    </w:rPr>
                    <w:t>废银催化剂</w:t>
                  </w:r>
                </w:p>
              </w:tc>
              <w:tc>
                <w:tcPr>
                  <w:tcW w:w="2127" w:type="pct"/>
                  <w:shd w:val="clear" w:color="auto" w:fill="auto"/>
                  <w:noWrap w:val="0"/>
                  <w:vAlign w:val="center"/>
                </w:tcPr>
                <w:p w14:paraId="19B930BD">
                  <w:pPr>
                    <w:jc w:val="center"/>
                    <w:rPr>
                      <w:rFonts w:ascii="Times New Roman" w:hAnsi="Times New Roman"/>
                      <w:bCs/>
                      <w:color w:val="000000"/>
                      <w:szCs w:val="21"/>
                      <w:highlight w:val="none"/>
                    </w:rPr>
                  </w:pPr>
                  <w:r>
                    <w:rPr>
                      <w:rFonts w:ascii="Times New Roman" w:hAnsi="Times New Roman"/>
                      <w:bCs/>
                      <w:color w:val="000000"/>
                      <w:szCs w:val="21"/>
                      <w:highlight w:val="none"/>
                    </w:rPr>
                    <w:t>1</w:t>
                  </w:r>
                </w:p>
              </w:tc>
            </w:tr>
            <w:tr w14:paraId="604D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pct"/>
                  <w:shd w:val="clear" w:color="auto" w:fill="auto"/>
                  <w:noWrap w:val="0"/>
                  <w:vAlign w:val="center"/>
                </w:tcPr>
                <w:p w14:paraId="7073A57C">
                  <w:pPr>
                    <w:pStyle w:val="50"/>
                    <w:adjustRightInd/>
                    <w:snapToGrid/>
                    <w:spacing w:beforeLines="0" w:afterLines="0" w:line="240" w:lineRule="auto"/>
                    <w:ind w:firstLine="0" w:firstLineChars="0"/>
                    <w:rPr>
                      <w:rFonts w:ascii="Times New Roman"/>
                      <w:color w:val="000000"/>
                      <w:szCs w:val="21"/>
                      <w:highlight w:val="none"/>
                      <w:lang w:val="en-US" w:eastAsia="zh-CN"/>
                    </w:rPr>
                  </w:pPr>
                  <w:r>
                    <w:rPr>
                      <w:rFonts w:ascii="Times New Roman"/>
                      <w:snapToGrid w:val="0"/>
                      <w:color w:val="000000"/>
                      <w:kern w:val="21"/>
                      <w:szCs w:val="21"/>
                      <w:highlight w:val="none"/>
                      <w:lang w:val="en-US" w:eastAsia="zh-CN" w:bidi="zh-HK"/>
                    </w:rPr>
                    <w:t>其他</w:t>
                  </w:r>
                </w:p>
              </w:tc>
              <w:tc>
                <w:tcPr>
                  <w:tcW w:w="1544" w:type="pct"/>
                  <w:shd w:val="clear" w:color="auto" w:fill="auto"/>
                  <w:noWrap w:val="0"/>
                  <w:vAlign w:val="center"/>
                </w:tcPr>
                <w:p w14:paraId="65090E72">
                  <w:pPr>
                    <w:jc w:val="center"/>
                    <w:rPr>
                      <w:rFonts w:ascii="Times New Roman" w:hAnsi="Times New Roman"/>
                      <w:bCs/>
                      <w:color w:val="000000"/>
                      <w:kern w:val="2"/>
                      <w:sz w:val="21"/>
                      <w:szCs w:val="21"/>
                      <w:highlight w:val="none"/>
                      <w:lang w:val="en-US" w:eastAsia="zh-CN" w:bidi="ar-SA"/>
                    </w:rPr>
                  </w:pPr>
                  <w:r>
                    <w:rPr>
                      <w:rFonts w:ascii="Times New Roman" w:hAnsi="Times New Roman"/>
                      <w:bCs/>
                      <w:color w:val="000000"/>
                      <w:szCs w:val="21"/>
                      <w:highlight w:val="none"/>
                    </w:rPr>
                    <w:t>生活垃圾</w:t>
                  </w:r>
                </w:p>
              </w:tc>
              <w:tc>
                <w:tcPr>
                  <w:tcW w:w="2127" w:type="pct"/>
                  <w:shd w:val="clear" w:color="auto" w:fill="auto"/>
                  <w:noWrap w:val="0"/>
                  <w:vAlign w:val="center"/>
                </w:tcPr>
                <w:p w14:paraId="16FD3CA2">
                  <w:pPr>
                    <w:jc w:val="center"/>
                    <w:rPr>
                      <w:rFonts w:ascii="Times New Roman"/>
                      <w:snapToGrid w:val="0"/>
                      <w:color w:val="000000"/>
                      <w:kern w:val="21"/>
                      <w:sz w:val="21"/>
                      <w:szCs w:val="21"/>
                      <w:highlight w:val="none"/>
                      <w:lang w:val="en-US" w:eastAsia="zh-CN" w:bidi="zh-HK"/>
                    </w:rPr>
                  </w:pPr>
                  <w:r>
                    <w:rPr>
                      <w:rFonts w:hint="eastAsia" w:ascii="Times New Roman" w:hAnsi="Times New Roman"/>
                      <w:bCs/>
                      <w:color w:val="000000"/>
                      <w:szCs w:val="21"/>
                      <w:highlight w:val="none"/>
                      <w:lang w:val="en-US" w:eastAsia="zh-CN"/>
                    </w:rPr>
                    <w:t>15</w:t>
                  </w:r>
                </w:p>
              </w:tc>
            </w:tr>
          </w:tbl>
          <w:p w14:paraId="6109E792">
            <w:pPr>
              <w:spacing w:line="360" w:lineRule="auto"/>
              <w:ind w:firstLine="480" w:firstLineChars="200"/>
              <w:rPr>
                <w:rFonts w:ascii="Times New Roman" w:hAnsi="Times New Roman"/>
                <w:color w:val="000000"/>
                <w:sz w:val="24"/>
                <w:szCs w:val="21"/>
                <w:highlight w:val="none"/>
                <w:lang w:bidi="zh-HK"/>
              </w:rPr>
            </w:pPr>
            <w:r>
              <w:rPr>
                <w:rFonts w:hint="eastAsia" w:ascii="Times New Roman" w:hAnsi="Times New Roman"/>
                <w:color w:val="000000"/>
                <w:sz w:val="24"/>
                <w:szCs w:val="21"/>
                <w:highlight w:val="none"/>
                <w:lang w:bidi="zh-HK"/>
              </w:rPr>
              <w:t>二、</w:t>
            </w:r>
            <w:r>
              <w:rPr>
                <w:rFonts w:ascii="Times New Roman" w:hAnsi="Times New Roman"/>
                <w:color w:val="000000"/>
                <w:sz w:val="24"/>
                <w:szCs w:val="21"/>
                <w:highlight w:val="none"/>
                <w:lang w:bidi="zh-HK"/>
              </w:rPr>
              <w:t>存在的环保问题及“以新带老”污染防治措施</w:t>
            </w:r>
          </w:p>
          <w:p w14:paraId="22575801">
            <w:pPr>
              <w:spacing w:line="360" w:lineRule="auto"/>
              <w:ind w:firstLine="480" w:firstLineChars="200"/>
              <w:rPr>
                <w:rFonts w:ascii="Times New Roman" w:hAnsi="Times New Roman"/>
                <w:color w:val="000000"/>
                <w:sz w:val="24"/>
                <w:szCs w:val="21"/>
                <w:highlight w:val="none"/>
                <w:lang w:bidi="zh-HK"/>
              </w:rPr>
            </w:pPr>
            <w:r>
              <w:rPr>
                <w:rFonts w:hint="eastAsia" w:ascii="Times New Roman" w:hAnsi="Times New Roman"/>
                <w:color w:val="000000"/>
                <w:sz w:val="24"/>
                <w:szCs w:val="21"/>
                <w:highlight w:val="none"/>
                <w:lang w:bidi="zh-HK"/>
              </w:rPr>
              <w:t>（1）</w:t>
            </w:r>
            <w:r>
              <w:rPr>
                <w:rFonts w:ascii="Times New Roman" w:hAnsi="Times New Roman"/>
                <w:color w:val="000000"/>
                <w:sz w:val="24"/>
                <w:szCs w:val="21"/>
                <w:highlight w:val="none"/>
                <w:lang w:bidi="zh-HK"/>
              </w:rPr>
              <w:t>存在的环保问题</w:t>
            </w:r>
          </w:p>
          <w:p w14:paraId="38889F50">
            <w:pPr>
              <w:spacing w:line="360" w:lineRule="auto"/>
              <w:ind w:firstLine="480" w:firstLineChars="200"/>
              <w:rPr>
                <w:rFonts w:hint="eastAsia" w:ascii="Times New Roman" w:hAnsi="Times New Roman" w:eastAsia="宋体" w:cs="Times New Roman"/>
                <w:color w:val="000000"/>
                <w:sz w:val="24"/>
                <w:szCs w:val="21"/>
                <w:highlight w:val="none"/>
                <w:lang w:eastAsia="zh-CN" w:bidi="zh-HK"/>
              </w:rPr>
            </w:pPr>
            <w:r>
              <w:rPr>
                <w:rFonts w:hint="eastAsia" w:ascii="Times New Roman" w:hAnsi="Times New Roman"/>
                <w:color w:val="000000"/>
                <w:sz w:val="24"/>
                <w:szCs w:val="21"/>
                <w:highlight w:val="none"/>
                <w:lang w:eastAsia="zh-CN" w:bidi="zh-HK"/>
              </w:rPr>
              <w:t>根据现场踏勘，企业目前不存在环保问题，原有的减水剂干燥系统及其热风炉</w:t>
            </w:r>
            <w:r>
              <w:rPr>
                <w:rFonts w:hint="eastAsia" w:ascii="Times New Roman" w:hAnsi="Times New Roman" w:eastAsia="宋体" w:cs="Times New Roman"/>
                <w:color w:val="000000"/>
                <w:sz w:val="24"/>
                <w:szCs w:val="21"/>
                <w:highlight w:val="none"/>
                <w:lang w:eastAsia="zh-CN" w:bidi="zh-HK"/>
              </w:rPr>
              <w:t>已经拆除，无遗留的环评问题。</w:t>
            </w:r>
          </w:p>
          <w:p w14:paraId="3AB8AC16">
            <w:pPr>
              <w:spacing w:line="360" w:lineRule="auto"/>
              <w:ind w:firstLine="480" w:firstLineChars="200"/>
              <w:rPr>
                <w:rFonts w:hint="eastAsia" w:ascii="Times New Roman" w:hAnsi="Times New Roman" w:eastAsia="宋体" w:cs="Times New Roman"/>
                <w:color w:val="000000"/>
                <w:sz w:val="24"/>
                <w:szCs w:val="21"/>
                <w:highlight w:val="none"/>
                <w:lang w:bidi="zh-HK"/>
              </w:rPr>
            </w:pPr>
            <w:r>
              <w:rPr>
                <w:rFonts w:hint="eastAsia" w:ascii="Times New Roman" w:hAnsi="Times New Roman" w:eastAsia="宋体" w:cs="Times New Roman"/>
                <w:color w:val="000000"/>
                <w:sz w:val="24"/>
                <w:szCs w:val="21"/>
                <w:highlight w:val="none"/>
                <w:lang w:bidi="zh-HK"/>
              </w:rPr>
              <w:t>（2）“以新带老”污染防治措施</w:t>
            </w:r>
          </w:p>
          <w:p w14:paraId="6AC22875">
            <w:pPr>
              <w:spacing w:line="360" w:lineRule="auto"/>
              <w:ind w:firstLine="480" w:firstLineChars="200"/>
              <w:rPr>
                <w:rFonts w:hint="default" w:ascii="Times New Roman" w:hAnsi="Times New Roman" w:eastAsia="宋体" w:cs="Times New Roman"/>
                <w:color w:val="000000"/>
                <w:sz w:val="24"/>
                <w:szCs w:val="21"/>
                <w:highlight w:val="none"/>
                <w:lang w:val="en-US" w:eastAsia="zh-CN" w:bidi="zh-HK"/>
              </w:rPr>
            </w:pPr>
            <w:r>
              <w:rPr>
                <w:rFonts w:hint="eastAsia" w:ascii="Times New Roman" w:hAnsi="Times New Roman" w:eastAsia="宋体" w:cs="Times New Roman"/>
                <w:color w:val="000000"/>
                <w:sz w:val="24"/>
                <w:szCs w:val="21"/>
                <w:highlight w:val="none"/>
                <w:lang w:eastAsia="zh-CN" w:bidi="zh-HK"/>
              </w:rPr>
              <w:t>萘系减水剂粉剂干燥过程更换提供热源的生物质燃料，采用现有甲醛合成尾气点燃后产生的热能，经计算，本项目建成后减少二氧化硫排放</w:t>
            </w:r>
            <w:r>
              <w:rPr>
                <w:rFonts w:hint="eastAsia" w:ascii="Times New Roman" w:hAnsi="Times New Roman" w:eastAsia="宋体" w:cs="Times New Roman"/>
                <w:color w:val="000000"/>
                <w:sz w:val="24"/>
                <w:szCs w:val="21"/>
                <w:highlight w:val="none"/>
                <w:lang w:val="en-US" w:eastAsia="zh-CN" w:bidi="zh-HK"/>
              </w:rPr>
              <w:t>26.47t/a，</w:t>
            </w:r>
            <w:r>
              <w:rPr>
                <w:rFonts w:hint="eastAsia" w:ascii="Times New Roman" w:hAnsi="Times New Roman" w:eastAsia="宋体" w:cs="Times New Roman"/>
                <w:color w:val="000000"/>
                <w:sz w:val="24"/>
                <w:szCs w:val="21"/>
                <w:highlight w:val="none"/>
                <w:lang w:eastAsia="zh-CN" w:bidi="zh-HK"/>
              </w:rPr>
              <w:t>减少</w:t>
            </w:r>
            <w:r>
              <w:rPr>
                <w:rFonts w:hint="eastAsia" w:ascii="Times New Roman" w:hAnsi="Times New Roman" w:eastAsia="宋体" w:cs="Times New Roman"/>
                <w:color w:val="000000"/>
                <w:sz w:val="24"/>
                <w:szCs w:val="21"/>
                <w:highlight w:val="none"/>
                <w:lang w:val="en-US" w:eastAsia="zh-CN" w:bidi="zh-HK"/>
              </w:rPr>
              <w:t>氮氧化物</w:t>
            </w:r>
            <w:r>
              <w:rPr>
                <w:rFonts w:hint="eastAsia" w:ascii="Times New Roman" w:hAnsi="Times New Roman" w:eastAsia="宋体" w:cs="Times New Roman"/>
                <w:color w:val="000000"/>
                <w:sz w:val="24"/>
                <w:szCs w:val="21"/>
                <w:highlight w:val="none"/>
                <w:lang w:eastAsia="zh-CN" w:bidi="zh-HK"/>
              </w:rPr>
              <w:t>排放</w:t>
            </w:r>
            <w:r>
              <w:rPr>
                <w:rFonts w:hint="eastAsia" w:ascii="Times New Roman" w:hAnsi="Times New Roman" w:eastAsia="宋体" w:cs="Times New Roman"/>
                <w:color w:val="000000"/>
                <w:sz w:val="24"/>
                <w:szCs w:val="21"/>
                <w:highlight w:val="none"/>
                <w:lang w:val="en-US" w:eastAsia="zh-CN" w:bidi="zh-HK"/>
              </w:rPr>
              <w:t>15.88t/a，减少颗粒物</w:t>
            </w:r>
            <w:r>
              <w:rPr>
                <w:rFonts w:hint="eastAsia" w:cs="Times New Roman"/>
                <w:color w:val="000000"/>
                <w:sz w:val="24"/>
                <w:szCs w:val="21"/>
                <w:highlight w:val="none"/>
                <w:lang w:val="en-US" w:eastAsia="zh-CN" w:bidi="zh-HK"/>
              </w:rPr>
              <w:t>排放</w:t>
            </w:r>
            <w:r>
              <w:rPr>
                <w:rFonts w:hint="eastAsia" w:ascii="Times New Roman" w:hAnsi="Times New Roman" w:eastAsia="宋体" w:cs="Times New Roman"/>
                <w:color w:val="000000"/>
                <w:sz w:val="24"/>
                <w:szCs w:val="21"/>
                <w:highlight w:val="none"/>
                <w:lang w:val="en-US" w:eastAsia="zh-CN" w:bidi="zh-HK"/>
              </w:rPr>
              <w:t>25.82t/a。</w:t>
            </w:r>
          </w:p>
          <w:p w14:paraId="71A579FB">
            <w:pPr>
              <w:spacing w:line="500" w:lineRule="exact"/>
              <w:rPr>
                <w:rFonts w:hint="eastAsia" w:ascii="宋体" w:hAnsi="宋体"/>
                <w:bCs/>
                <w:szCs w:val="21"/>
                <w:highlight w:val="none"/>
                <w:lang w:eastAsia="zh-CN"/>
              </w:rPr>
            </w:pPr>
          </w:p>
          <w:p w14:paraId="4A4A2DF6">
            <w:pPr>
              <w:spacing w:line="500" w:lineRule="exact"/>
              <w:rPr>
                <w:rFonts w:hint="eastAsia" w:ascii="宋体" w:hAnsi="宋体"/>
                <w:bCs/>
                <w:szCs w:val="21"/>
                <w:highlight w:val="none"/>
                <w:lang w:eastAsia="zh-CN"/>
              </w:rPr>
            </w:pPr>
          </w:p>
          <w:p w14:paraId="6505D0C4">
            <w:pPr>
              <w:spacing w:line="500" w:lineRule="exact"/>
              <w:rPr>
                <w:rFonts w:hint="eastAsia" w:ascii="宋体" w:hAnsi="宋体"/>
                <w:bCs/>
                <w:szCs w:val="21"/>
                <w:highlight w:val="none"/>
                <w:lang w:eastAsia="zh-CN"/>
              </w:rPr>
            </w:pPr>
          </w:p>
          <w:p w14:paraId="43CC833A">
            <w:pPr>
              <w:spacing w:line="500" w:lineRule="exact"/>
              <w:rPr>
                <w:rFonts w:hint="eastAsia" w:ascii="宋体" w:hAnsi="宋体"/>
                <w:bCs/>
                <w:szCs w:val="21"/>
                <w:highlight w:val="none"/>
                <w:lang w:eastAsia="zh-CN"/>
              </w:rPr>
            </w:pPr>
          </w:p>
          <w:p w14:paraId="55DFD4A3">
            <w:pPr>
              <w:pStyle w:val="46"/>
              <w:rPr>
                <w:rFonts w:hint="eastAsia" w:ascii="宋体" w:hAnsi="宋体"/>
                <w:bCs/>
                <w:szCs w:val="21"/>
                <w:highlight w:val="none"/>
                <w:lang w:eastAsia="zh-CN"/>
              </w:rPr>
            </w:pPr>
          </w:p>
          <w:p w14:paraId="02443051">
            <w:pPr>
              <w:pStyle w:val="46"/>
              <w:rPr>
                <w:rFonts w:hint="eastAsia" w:ascii="宋体" w:hAnsi="宋体"/>
                <w:bCs/>
                <w:szCs w:val="21"/>
                <w:highlight w:val="none"/>
                <w:lang w:eastAsia="zh-CN"/>
              </w:rPr>
            </w:pPr>
          </w:p>
          <w:p w14:paraId="5264EC74">
            <w:pPr>
              <w:pStyle w:val="46"/>
              <w:rPr>
                <w:rFonts w:hint="eastAsia" w:ascii="宋体" w:hAnsi="宋体"/>
                <w:bCs/>
                <w:szCs w:val="21"/>
                <w:highlight w:val="none"/>
                <w:lang w:eastAsia="zh-CN"/>
              </w:rPr>
            </w:pPr>
          </w:p>
          <w:p w14:paraId="7B227A3F">
            <w:pPr>
              <w:pStyle w:val="46"/>
              <w:rPr>
                <w:rFonts w:hint="eastAsia" w:ascii="宋体" w:hAnsi="宋体"/>
                <w:bCs/>
                <w:szCs w:val="21"/>
                <w:highlight w:val="none"/>
                <w:lang w:eastAsia="zh-CN"/>
              </w:rPr>
            </w:pPr>
          </w:p>
          <w:p w14:paraId="724560C5">
            <w:pPr>
              <w:pStyle w:val="46"/>
              <w:rPr>
                <w:rFonts w:hint="eastAsia" w:ascii="宋体" w:hAnsi="宋体"/>
                <w:bCs/>
                <w:szCs w:val="21"/>
                <w:highlight w:val="none"/>
                <w:lang w:eastAsia="zh-CN"/>
              </w:rPr>
            </w:pPr>
          </w:p>
          <w:p w14:paraId="0CD0BF3D">
            <w:pPr>
              <w:pStyle w:val="46"/>
              <w:rPr>
                <w:rFonts w:hint="eastAsia" w:ascii="宋体" w:hAnsi="宋体"/>
                <w:bCs/>
                <w:szCs w:val="21"/>
                <w:highlight w:val="none"/>
                <w:lang w:eastAsia="zh-CN"/>
              </w:rPr>
            </w:pPr>
          </w:p>
          <w:p w14:paraId="3758FD7D">
            <w:pPr>
              <w:pStyle w:val="46"/>
              <w:rPr>
                <w:rFonts w:hint="eastAsia" w:ascii="宋体" w:hAnsi="宋体"/>
                <w:bCs/>
                <w:szCs w:val="21"/>
                <w:highlight w:val="none"/>
                <w:lang w:eastAsia="zh-CN"/>
              </w:rPr>
            </w:pPr>
          </w:p>
          <w:p w14:paraId="377692DD">
            <w:pPr>
              <w:pStyle w:val="46"/>
              <w:rPr>
                <w:rFonts w:hint="eastAsia" w:ascii="宋体" w:hAnsi="宋体"/>
                <w:bCs/>
                <w:szCs w:val="21"/>
                <w:highlight w:val="none"/>
                <w:lang w:eastAsia="zh-CN"/>
              </w:rPr>
            </w:pPr>
          </w:p>
          <w:p w14:paraId="54D2C41F">
            <w:pPr>
              <w:pStyle w:val="46"/>
              <w:rPr>
                <w:rFonts w:hint="eastAsia" w:ascii="宋体" w:hAnsi="宋体"/>
                <w:bCs/>
                <w:szCs w:val="21"/>
                <w:highlight w:val="none"/>
                <w:lang w:eastAsia="zh-CN"/>
              </w:rPr>
            </w:pPr>
          </w:p>
          <w:p w14:paraId="30A001C2">
            <w:pPr>
              <w:pStyle w:val="46"/>
              <w:rPr>
                <w:rFonts w:hint="eastAsia" w:ascii="宋体" w:hAnsi="宋体"/>
                <w:bCs/>
                <w:szCs w:val="21"/>
                <w:highlight w:val="none"/>
                <w:lang w:eastAsia="zh-CN"/>
              </w:rPr>
            </w:pPr>
          </w:p>
          <w:p w14:paraId="7FF0B628">
            <w:pPr>
              <w:pStyle w:val="46"/>
              <w:rPr>
                <w:rFonts w:hint="eastAsia" w:ascii="宋体" w:hAnsi="宋体"/>
                <w:bCs/>
                <w:szCs w:val="21"/>
                <w:highlight w:val="none"/>
                <w:lang w:eastAsia="zh-CN"/>
              </w:rPr>
            </w:pPr>
          </w:p>
          <w:p w14:paraId="671575F7">
            <w:pPr>
              <w:pStyle w:val="46"/>
              <w:rPr>
                <w:rFonts w:hint="eastAsia" w:ascii="宋体" w:hAnsi="宋体"/>
                <w:bCs/>
                <w:szCs w:val="21"/>
                <w:highlight w:val="none"/>
                <w:lang w:eastAsia="zh-CN"/>
              </w:rPr>
            </w:pPr>
          </w:p>
          <w:p w14:paraId="5BB95EF8">
            <w:pPr>
              <w:pStyle w:val="46"/>
              <w:rPr>
                <w:rFonts w:hint="eastAsia" w:ascii="宋体" w:hAnsi="宋体"/>
                <w:bCs/>
                <w:szCs w:val="21"/>
                <w:highlight w:val="none"/>
                <w:lang w:eastAsia="zh-CN"/>
              </w:rPr>
            </w:pPr>
          </w:p>
          <w:p w14:paraId="5847EFAC">
            <w:pPr>
              <w:pStyle w:val="46"/>
              <w:rPr>
                <w:rFonts w:hint="eastAsia" w:ascii="宋体" w:hAnsi="宋体"/>
                <w:bCs/>
                <w:szCs w:val="21"/>
                <w:highlight w:val="none"/>
                <w:lang w:eastAsia="zh-CN"/>
              </w:rPr>
            </w:pPr>
          </w:p>
          <w:p w14:paraId="2A42BC7E">
            <w:pPr>
              <w:pStyle w:val="46"/>
              <w:rPr>
                <w:rFonts w:hint="eastAsia" w:ascii="宋体" w:hAnsi="宋体"/>
                <w:bCs/>
                <w:szCs w:val="21"/>
                <w:highlight w:val="none"/>
                <w:lang w:eastAsia="zh-CN"/>
              </w:rPr>
            </w:pPr>
          </w:p>
          <w:p w14:paraId="1DE93638">
            <w:pPr>
              <w:pStyle w:val="46"/>
              <w:rPr>
                <w:rFonts w:hint="eastAsia" w:ascii="宋体" w:hAnsi="宋体"/>
                <w:bCs/>
                <w:szCs w:val="21"/>
                <w:highlight w:val="none"/>
                <w:lang w:eastAsia="zh-CN"/>
              </w:rPr>
            </w:pPr>
          </w:p>
          <w:p w14:paraId="1FAF5F2E">
            <w:pPr>
              <w:pStyle w:val="46"/>
              <w:rPr>
                <w:rFonts w:hint="eastAsia" w:ascii="宋体" w:hAnsi="宋体"/>
                <w:bCs/>
                <w:szCs w:val="21"/>
                <w:highlight w:val="none"/>
                <w:lang w:eastAsia="zh-CN"/>
              </w:rPr>
            </w:pPr>
          </w:p>
          <w:p w14:paraId="1D58CEDE">
            <w:pPr>
              <w:pStyle w:val="46"/>
              <w:rPr>
                <w:rFonts w:hint="eastAsia" w:ascii="宋体" w:hAnsi="宋体"/>
                <w:bCs/>
                <w:szCs w:val="21"/>
                <w:highlight w:val="none"/>
                <w:lang w:eastAsia="zh-CN"/>
              </w:rPr>
            </w:pPr>
          </w:p>
          <w:p w14:paraId="5C7C344D">
            <w:pPr>
              <w:pStyle w:val="46"/>
              <w:rPr>
                <w:rFonts w:hint="eastAsia" w:ascii="宋体" w:hAnsi="宋体"/>
                <w:bCs/>
                <w:szCs w:val="21"/>
                <w:highlight w:val="none"/>
                <w:lang w:eastAsia="zh-CN"/>
              </w:rPr>
            </w:pPr>
          </w:p>
          <w:p w14:paraId="2237B65E">
            <w:pPr>
              <w:spacing w:line="500" w:lineRule="exact"/>
              <w:rPr>
                <w:rFonts w:hint="eastAsia" w:ascii="宋体" w:hAnsi="宋体"/>
                <w:bCs/>
                <w:szCs w:val="21"/>
                <w:highlight w:val="none"/>
                <w:lang w:eastAsia="zh-CN"/>
              </w:rPr>
            </w:pPr>
          </w:p>
          <w:p w14:paraId="606CC903">
            <w:pPr>
              <w:spacing w:line="500" w:lineRule="exact"/>
              <w:rPr>
                <w:rFonts w:hint="default" w:ascii="宋体" w:hAnsi="宋体" w:eastAsia="宋体"/>
                <w:bCs/>
                <w:szCs w:val="21"/>
                <w:highlight w:val="none"/>
                <w:lang w:val="en-US" w:eastAsia="zh-CN"/>
              </w:rPr>
            </w:pPr>
          </w:p>
        </w:tc>
      </w:tr>
    </w:tbl>
    <w:p w14:paraId="127A6678">
      <w:pPr>
        <w:pStyle w:val="36"/>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076EC58">
      <w:pPr>
        <w:pStyle w:val="36"/>
        <w:adjustRightInd w:val="0"/>
        <w:snapToGrid w:val="0"/>
        <w:spacing w:before="0" w:beforeAutospacing="0" w:after="0" w:afterAutospacing="0" w:line="14" w:lineRule="auto"/>
        <w:jc w:val="center"/>
        <w:outlineLvl w:val="0"/>
        <w:rPr>
          <w:rFonts w:ascii="黑体" w:hAnsi="黑体" w:eastAsia="黑体"/>
          <w:snapToGrid w:val="0"/>
          <w:sz w:val="30"/>
          <w:szCs w:val="30"/>
        </w:rPr>
      </w:pPr>
    </w:p>
    <w:p w14:paraId="76BDFBD1">
      <w:pPr>
        <w:pStyle w:val="36"/>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2"/>
        <w:gridCol w:w="8359"/>
      </w:tblGrid>
      <w:tr w14:paraId="13939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6" w:hRule="atLeast"/>
          <w:jc w:val="center"/>
        </w:trPr>
        <w:tc>
          <w:tcPr>
            <w:tcW w:w="800" w:type="dxa"/>
            <w:shd w:val="clear" w:color="auto" w:fill="auto"/>
            <w:noWrap w:val="0"/>
            <w:vAlign w:val="center"/>
          </w:tcPr>
          <w:p w14:paraId="462FAC4A">
            <w:pPr>
              <w:adjustRightInd w:val="0"/>
              <w:snapToGrid w:val="0"/>
              <w:jc w:val="center"/>
              <w:rPr>
                <w:rFonts w:ascii="宋体" w:hAnsi="宋体" w:cs="宋体"/>
                <w:kern w:val="0"/>
                <w:szCs w:val="21"/>
              </w:rPr>
            </w:pPr>
            <w:r>
              <w:rPr>
                <w:rFonts w:hint="eastAsia" w:ascii="宋体" w:hAnsi="宋体" w:cs="宋体"/>
                <w:kern w:val="0"/>
                <w:szCs w:val="21"/>
              </w:rPr>
              <w:t>区域</w:t>
            </w:r>
          </w:p>
          <w:p w14:paraId="33F7CE8C">
            <w:pPr>
              <w:adjustRightInd w:val="0"/>
              <w:snapToGrid w:val="0"/>
              <w:jc w:val="center"/>
              <w:rPr>
                <w:rFonts w:ascii="宋体" w:hAnsi="宋体" w:cs="宋体"/>
                <w:kern w:val="0"/>
                <w:szCs w:val="21"/>
              </w:rPr>
            </w:pPr>
            <w:r>
              <w:rPr>
                <w:rFonts w:hint="eastAsia" w:ascii="宋体" w:hAnsi="宋体" w:cs="宋体"/>
                <w:kern w:val="0"/>
                <w:szCs w:val="21"/>
              </w:rPr>
              <w:t>环境</w:t>
            </w:r>
          </w:p>
          <w:p w14:paraId="7A0497BF">
            <w:pPr>
              <w:adjustRightInd w:val="0"/>
              <w:snapToGrid w:val="0"/>
              <w:jc w:val="center"/>
              <w:rPr>
                <w:rFonts w:ascii="宋体" w:hAnsi="宋体" w:cs="宋体"/>
                <w:kern w:val="0"/>
                <w:szCs w:val="21"/>
              </w:rPr>
            </w:pPr>
            <w:r>
              <w:rPr>
                <w:rFonts w:hint="eastAsia" w:ascii="宋体" w:hAnsi="宋体" w:cs="宋体"/>
                <w:kern w:val="0"/>
                <w:szCs w:val="21"/>
              </w:rPr>
              <w:t>质量</w:t>
            </w:r>
          </w:p>
          <w:p w14:paraId="06D055EB">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shd w:val="clear" w:color="auto" w:fill="auto"/>
            <w:noWrap w:val="0"/>
            <w:vAlign w:val="center"/>
          </w:tcPr>
          <w:p w14:paraId="41BB02BC">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outlineLvl w:val="1"/>
              <w:rPr>
                <w:rFonts w:eastAsia="黑体"/>
                <w:b/>
                <w:sz w:val="24"/>
              </w:rPr>
            </w:pPr>
            <w:r>
              <w:rPr>
                <w:b/>
                <w:sz w:val="24"/>
              </w:rPr>
              <w:t>1</w:t>
            </w:r>
            <w:r>
              <w:rPr>
                <w:rFonts w:hint="eastAsia"/>
                <w:b/>
                <w:sz w:val="24"/>
                <w:lang w:val="en-US" w:eastAsia="zh-CN"/>
              </w:rPr>
              <w:t>.</w:t>
            </w:r>
            <w:r>
              <w:rPr>
                <w:b/>
                <w:sz w:val="24"/>
              </w:rPr>
              <w:t>空气环境质量现状</w:t>
            </w:r>
          </w:p>
          <w:p w14:paraId="454E957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sz w:val="24"/>
              </w:rPr>
            </w:pPr>
            <w:r>
              <w:rPr>
                <w:rFonts w:hint="eastAsia" w:ascii="宋体" w:hAnsi="宋体" w:cs="宋体"/>
                <w:sz w:val="24"/>
              </w:rPr>
              <w:t>⑴</w:t>
            </w:r>
            <w:r>
              <w:rPr>
                <w:rFonts w:hint="eastAsia"/>
                <w:sz w:val="24"/>
              </w:rPr>
              <w:t>基本污染物环境质量现状</w:t>
            </w:r>
          </w:p>
          <w:p w14:paraId="662C4202">
            <w:pPr>
              <w:pStyle w:val="3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24"/>
              <w:jc w:val="both"/>
            </w:pPr>
            <w:r>
              <w:rPr>
                <w:rFonts w:hint="default" w:ascii="Times New Roman" w:hAnsi="Times New Roman" w:cs="Times New Roman"/>
                <w:color w:val="000000"/>
                <w:sz w:val="24"/>
                <w:szCs w:val="24"/>
              </w:rPr>
              <w:t>本项目位于宝鸡市凤翔区，根据大气功能区划，项目所在地为二类功能区，环境空气质量执行《环境空气质量标准》（GB3095－2012）及修改单二级标准要求。为了解项目所在区域的环境空气质量现状，本环评引用陕西省生态环境厅办公室2025年1月21日发布的《2024年12月及1月</w:t>
            </w:r>
            <w:r>
              <w:rPr>
                <w:rFonts w:hint="eastAsia"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rPr>
              <w:t>12月全省环境空气质量状况》中2024年1月</w:t>
            </w:r>
            <w:r>
              <w:rPr>
                <w:rFonts w:hint="eastAsia"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rPr>
              <w:t>12月宝鸡市凤翔区环境空气质量状况，统计结果见表3-1。</w:t>
            </w:r>
          </w:p>
          <w:p w14:paraId="27365E98">
            <w:pPr>
              <w:pStyle w:val="3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2011"/>
                <w:tab w:val="left" w:pos="4596"/>
              </w:tabs>
              <w:spacing w:before="0" w:beforeAutospacing="0" w:after="0" w:afterAutospacing="0"/>
              <w:jc w:val="center"/>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rPr>
              <w:t>表3-1</w:t>
            </w:r>
            <w:r>
              <w:rPr>
                <w:rFonts w:hint="eastAsia"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 xml:space="preserve"> 基本污染物环境质量现状</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55"/>
              <w:gridCol w:w="1879"/>
              <w:gridCol w:w="1225"/>
              <w:gridCol w:w="1213"/>
              <w:gridCol w:w="1105"/>
              <w:gridCol w:w="1356"/>
            </w:tblGrid>
            <w:tr w14:paraId="0F64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355" w:type="dxa"/>
                  <w:shd w:val="clear" w:color="auto" w:fill="auto"/>
                  <w:noWrap w:val="0"/>
                  <w:vAlign w:val="center"/>
                </w:tcPr>
                <w:p w14:paraId="7456CD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污染物</w:t>
                  </w:r>
                </w:p>
              </w:tc>
              <w:tc>
                <w:tcPr>
                  <w:tcW w:w="1879" w:type="dxa"/>
                  <w:shd w:val="clear" w:color="auto" w:fill="auto"/>
                  <w:noWrap w:val="0"/>
                  <w:vAlign w:val="center"/>
                </w:tcPr>
                <w:p w14:paraId="7504E5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年评价指标</w:t>
                  </w:r>
                </w:p>
              </w:tc>
              <w:tc>
                <w:tcPr>
                  <w:tcW w:w="1225" w:type="dxa"/>
                  <w:shd w:val="clear" w:color="auto" w:fill="auto"/>
                  <w:noWrap w:val="0"/>
                  <w:vAlign w:val="center"/>
                </w:tcPr>
                <w:p w14:paraId="6BD14C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现状浓度/(μg/m</w:t>
                  </w:r>
                  <w:r>
                    <w:rPr>
                      <w:rFonts w:hint="default"/>
                      <w:vertAlign w:val="superscript"/>
                    </w:rPr>
                    <w:t>3</w:t>
                  </w:r>
                  <w:r>
                    <w:rPr>
                      <w:rFonts w:hint="default"/>
                    </w:rPr>
                    <w:t>)</w:t>
                  </w:r>
                </w:p>
              </w:tc>
              <w:tc>
                <w:tcPr>
                  <w:tcW w:w="1213" w:type="dxa"/>
                  <w:shd w:val="clear" w:color="auto" w:fill="auto"/>
                  <w:noWrap w:val="0"/>
                  <w:vAlign w:val="center"/>
                </w:tcPr>
                <w:p w14:paraId="786F1B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标准值/(μg/m</w:t>
                  </w:r>
                  <w:r>
                    <w:rPr>
                      <w:rFonts w:hint="default"/>
                      <w:vertAlign w:val="superscript"/>
                    </w:rPr>
                    <w:t>3</w:t>
                  </w:r>
                  <w:r>
                    <w:rPr>
                      <w:rFonts w:hint="default"/>
                    </w:rPr>
                    <w:t>)</w:t>
                  </w:r>
                </w:p>
              </w:tc>
              <w:tc>
                <w:tcPr>
                  <w:tcW w:w="1105" w:type="dxa"/>
                  <w:shd w:val="clear" w:color="auto" w:fill="auto"/>
                  <w:noWrap w:val="0"/>
                  <w:vAlign w:val="center"/>
                </w:tcPr>
                <w:p w14:paraId="23C1D0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占标率/%</w:t>
                  </w:r>
                </w:p>
              </w:tc>
              <w:tc>
                <w:tcPr>
                  <w:tcW w:w="1356" w:type="dxa"/>
                  <w:shd w:val="clear" w:color="auto" w:fill="auto"/>
                  <w:noWrap w:val="0"/>
                  <w:vAlign w:val="center"/>
                </w:tcPr>
                <w:p w14:paraId="40624E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达标情况</w:t>
                  </w:r>
                </w:p>
              </w:tc>
            </w:tr>
            <w:tr w14:paraId="5DDE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5" w:type="dxa"/>
                  <w:shd w:val="clear" w:color="auto" w:fill="auto"/>
                  <w:noWrap w:val="0"/>
                  <w:vAlign w:val="center"/>
                </w:tcPr>
                <w:p w14:paraId="06A2B8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PM</w:t>
                  </w:r>
                  <w:r>
                    <w:rPr>
                      <w:rFonts w:hint="default"/>
                      <w:vertAlign w:val="subscript"/>
                    </w:rPr>
                    <w:t>10</w:t>
                  </w:r>
                </w:p>
              </w:tc>
              <w:tc>
                <w:tcPr>
                  <w:tcW w:w="1879" w:type="dxa"/>
                  <w:shd w:val="clear" w:color="auto" w:fill="auto"/>
                  <w:noWrap w:val="0"/>
                  <w:vAlign w:val="center"/>
                </w:tcPr>
                <w:p w14:paraId="4680F7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年平均质量浓度</w:t>
                  </w:r>
                </w:p>
              </w:tc>
              <w:tc>
                <w:tcPr>
                  <w:tcW w:w="1225" w:type="dxa"/>
                  <w:shd w:val="clear" w:color="auto" w:fill="auto"/>
                  <w:noWrap w:val="0"/>
                  <w:vAlign w:val="center"/>
                </w:tcPr>
                <w:p w14:paraId="3A587D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60</w:t>
                  </w:r>
                </w:p>
              </w:tc>
              <w:tc>
                <w:tcPr>
                  <w:tcW w:w="1213" w:type="dxa"/>
                  <w:shd w:val="clear" w:color="auto" w:fill="auto"/>
                  <w:noWrap w:val="0"/>
                  <w:vAlign w:val="center"/>
                </w:tcPr>
                <w:p w14:paraId="31B586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70</w:t>
                  </w:r>
                </w:p>
              </w:tc>
              <w:tc>
                <w:tcPr>
                  <w:tcW w:w="1105" w:type="dxa"/>
                  <w:shd w:val="clear" w:color="auto" w:fill="auto"/>
                  <w:noWrap w:val="0"/>
                  <w:vAlign w:val="center"/>
                </w:tcPr>
                <w:p w14:paraId="6EE091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85.7</w:t>
                  </w:r>
                </w:p>
              </w:tc>
              <w:tc>
                <w:tcPr>
                  <w:tcW w:w="1356" w:type="dxa"/>
                  <w:shd w:val="clear" w:color="auto" w:fill="auto"/>
                  <w:noWrap w:val="0"/>
                  <w:vAlign w:val="center"/>
                </w:tcPr>
                <w:p w14:paraId="3D26D4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达标</w:t>
                  </w:r>
                </w:p>
              </w:tc>
            </w:tr>
            <w:tr w14:paraId="6E1B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5" w:type="dxa"/>
                  <w:shd w:val="clear" w:color="auto" w:fill="auto"/>
                  <w:noWrap w:val="0"/>
                  <w:vAlign w:val="center"/>
                </w:tcPr>
                <w:p w14:paraId="2CAD16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PM</w:t>
                  </w:r>
                  <w:r>
                    <w:rPr>
                      <w:rFonts w:hint="default"/>
                      <w:vertAlign w:val="subscript"/>
                    </w:rPr>
                    <w:t>2.5</w:t>
                  </w:r>
                </w:p>
              </w:tc>
              <w:tc>
                <w:tcPr>
                  <w:tcW w:w="1879" w:type="dxa"/>
                  <w:shd w:val="clear" w:color="auto" w:fill="auto"/>
                  <w:noWrap w:val="0"/>
                  <w:vAlign w:val="center"/>
                </w:tcPr>
                <w:p w14:paraId="38C87D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年平均质量浓度</w:t>
                  </w:r>
                </w:p>
              </w:tc>
              <w:tc>
                <w:tcPr>
                  <w:tcW w:w="1225" w:type="dxa"/>
                  <w:shd w:val="clear" w:color="auto" w:fill="auto"/>
                  <w:noWrap w:val="0"/>
                  <w:vAlign w:val="center"/>
                </w:tcPr>
                <w:p w14:paraId="4EC404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35</w:t>
                  </w:r>
                </w:p>
              </w:tc>
              <w:tc>
                <w:tcPr>
                  <w:tcW w:w="1213" w:type="dxa"/>
                  <w:shd w:val="clear" w:color="auto" w:fill="auto"/>
                  <w:noWrap w:val="0"/>
                  <w:vAlign w:val="center"/>
                </w:tcPr>
                <w:p w14:paraId="2403C2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35</w:t>
                  </w:r>
                </w:p>
              </w:tc>
              <w:tc>
                <w:tcPr>
                  <w:tcW w:w="1105" w:type="dxa"/>
                  <w:shd w:val="clear" w:color="auto" w:fill="auto"/>
                  <w:noWrap w:val="0"/>
                  <w:vAlign w:val="center"/>
                </w:tcPr>
                <w:p w14:paraId="3D684C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100.0</w:t>
                  </w:r>
                </w:p>
              </w:tc>
              <w:tc>
                <w:tcPr>
                  <w:tcW w:w="1356" w:type="dxa"/>
                  <w:shd w:val="clear" w:color="auto" w:fill="auto"/>
                  <w:noWrap w:val="0"/>
                  <w:vAlign w:val="center"/>
                </w:tcPr>
                <w:p w14:paraId="467E40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达标</w:t>
                  </w:r>
                </w:p>
              </w:tc>
            </w:tr>
            <w:tr w14:paraId="201E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5" w:type="dxa"/>
                  <w:shd w:val="clear" w:color="auto" w:fill="auto"/>
                  <w:noWrap w:val="0"/>
                  <w:vAlign w:val="center"/>
                </w:tcPr>
                <w:p w14:paraId="3836E7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SO</w:t>
                  </w:r>
                  <w:r>
                    <w:rPr>
                      <w:rFonts w:hint="default"/>
                      <w:vertAlign w:val="subscript"/>
                    </w:rPr>
                    <w:t>2</w:t>
                  </w:r>
                </w:p>
              </w:tc>
              <w:tc>
                <w:tcPr>
                  <w:tcW w:w="1879" w:type="dxa"/>
                  <w:shd w:val="clear" w:color="auto" w:fill="auto"/>
                  <w:noWrap w:val="0"/>
                  <w:vAlign w:val="center"/>
                </w:tcPr>
                <w:p w14:paraId="2B1813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年平均质量浓度</w:t>
                  </w:r>
                </w:p>
              </w:tc>
              <w:tc>
                <w:tcPr>
                  <w:tcW w:w="1225" w:type="dxa"/>
                  <w:shd w:val="clear" w:color="auto" w:fill="auto"/>
                  <w:noWrap w:val="0"/>
                  <w:vAlign w:val="center"/>
                </w:tcPr>
                <w:p w14:paraId="59DE85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7</w:t>
                  </w:r>
                </w:p>
              </w:tc>
              <w:tc>
                <w:tcPr>
                  <w:tcW w:w="1213" w:type="dxa"/>
                  <w:shd w:val="clear" w:color="auto" w:fill="auto"/>
                  <w:noWrap w:val="0"/>
                  <w:vAlign w:val="center"/>
                </w:tcPr>
                <w:p w14:paraId="7D66CA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60</w:t>
                  </w:r>
                </w:p>
              </w:tc>
              <w:tc>
                <w:tcPr>
                  <w:tcW w:w="1105" w:type="dxa"/>
                  <w:shd w:val="clear" w:color="auto" w:fill="auto"/>
                  <w:noWrap w:val="0"/>
                  <w:vAlign w:val="center"/>
                </w:tcPr>
                <w:p w14:paraId="63B244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11.7</w:t>
                  </w:r>
                </w:p>
              </w:tc>
              <w:tc>
                <w:tcPr>
                  <w:tcW w:w="1356" w:type="dxa"/>
                  <w:shd w:val="clear" w:color="auto" w:fill="auto"/>
                  <w:noWrap w:val="0"/>
                  <w:vAlign w:val="center"/>
                </w:tcPr>
                <w:p w14:paraId="693998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达标</w:t>
                  </w:r>
                </w:p>
              </w:tc>
            </w:tr>
            <w:tr w14:paraId="2ACB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5" w:type="dxa"/>
                  <w:shd w:val="clear" w:color="auto" w:fill="auto"/>
                  <w:noWrap w:val="0"/>
                  <w:vAlign w:val="center"/>
                </w:tcPr>
                <w:p w14:paraId="39F4BB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NO</w:t>
                  </w:r>
                  <w:r>
                    <w:rPr>
                      <w:rFonts w:hint="default"/>
                      <w:vertAlign w:val="subscript"/>
                    </w:rPr>
                    <w:t>2</w:t>
                  </w:r>
                </w:p>
              </w:tc>
              <w:tc>
                <w:tcPr>
                  <w:tcW w:w="1879" w:type="dxa"/>
                  <w:shd w:val="clear" w:color="auto" w:fill="auto"/>
                  <w:noWrap w:val="0"/>
                  <w:vAlign w:val="center"/>
                </w:tcPr>
                <w:p w14:paraId="608828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年平均质量浓度</w:t>
                  </w:r>
                </w:p>
              </w:tc>
              <w:tc>
                <w:tcPr>
                  <w:tcW w:w="1225" w:type="dxa"/>
                  <w:shd w:val="clear" w:color="auto" w:fill="auto"/>
                  <w:noWrap w:val="0"/>
                  <w:vAlign w:val="center"/>
                </w:tcPr>
                <w:p w14:paraId="4DD046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17</w:t>
                  </w:r>
                </w:p>
              </w:tc>
              <w:tc>
                <w:tcPr>
                  <w:tcW w:w="1213" w:type="dxa"/>
                  <w:shd w:val="clear" w:color="auto" w:fill="auto"/>
                  <w:noWrap w:val="0"/>
                  <w:vAlign w:val="center"/>
                </w:tcPr>
                <w:p w14:paraId="061FCB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40</w:t>
                  </w:r>
                </w:p>
              </w:tc>
              <w:tc>
                <w:tcPr>
                  <w:tcW w:w="1105" w:type="dxa"/>
                  <w:shd w:val="clear" w:color="auto" w:fill="auto"/>
                  <w:noWrap w:val="0"/>
                  <w:vAlign w:val="center"/>
                </w:tcPr>
                <w:p w14:paraId="67E434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42.5</w:t>
                  </w:r>
                </w:p>
              </w:tc>
              <w:tc>
                <w:tcPr>
                  <w:tcW w:w="1356" w:type="dxa"/>
                  <w:shd w:val="clear" w:color="auto" w:fill="auto"/>
                  <w:noWrap w:val="0"/>
                  <w:vAlign w:val="center"/>
                </w:tcPr>
                <w:p w14:paraId="66DAA8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达标</w:t>
                  </w:r>
                </w:p>
              </w:tc>
            </w:tr>
            <w:tr w14:paraId="7240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5" w:type="dxa"/>
                  <w:shd w:val="clear" w:color="auto" w:fill="auto"/>
                  <w:noWrap w:val="0"/>
                  <w:vAlign w:val="center"/>
                </w:tcPr>
                <w:p w14:paraId="2A989E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CO</w:t>
                  </w:r>
                </w:p>
              </w:tc>
              <w:tc>
                <w:tcPr>
                  <w:tcW w:w="1879" w:type="dxa"/>
                  <w:shd w:val="clear" w:color="auto" w:fill="auto"/>
                  <w:noWrap w:val="0"/>
                  <w:vAlign w:val="center"/>
                </w:tcPr>
                <w:p w14:paraId="09DEA6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24小时平均第95百分位数</w:t>
                  </w:r>
                </w:p>
              </w:tc>
              <w:tc>
                <w:tcPr>
                  <w:tcW w:w="1225" w:type="dxa"/>
                  <w:shd w:val="clear" w:color="auto" w:fill="auto"/>
                  <w:noWrap w:val="0"/>
                  <w:vAlign w:val="center"/>
                </w:tcPr>
                <w:p w14:paraId="344457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1100</w:t>
                  </w:r>
                </w:p>
              </w:tc>
              <w:tc>
                <w:tcPr>
                  <w:tcW w:w="1213" w:type="dxa"/>
                  <w:shd w:val="clear" w:color="auto" w:fill="auto"/>
                  <w:noWrap w:val="0"/>
                  <w:vAlign w:val="center"/>
                </w:tcPr>
                <w:p w14:paraId="183699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4000</w:t>
                  </w:r>
                </w:p>
              </w:tc>
              <w:tc>
                <w:tcPr>
                  <w:tcW w:w="1105" w:type="dxa"/>
                  <w:shd w:val="clear" w:color="auto" w:fill="auto"/>
                  <w:noWrap w:val="0"/>
                  <w:vAlign w:val="center"/>
                </w:tcPr>
                <w:p w14:paraId="21E038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27.5</w:t>
                  </w:r>
                </w:p>
              </w:tc>
              <w:tc>
                <w:tcPr>
                  <w:tcW w:w="1356" w:type="dxa"/>
                  <w:shd w:val="clear" w:color="auto" w:fill="auto"/>
                  <w:noWrap w:val="0"/>
                  <w:vAlign w:val="center"/>
                </w:tcPr>
                <w:p w14:paraId="774940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达标</w:t>
                  </w:r>
                </w:p>
              </w:tc>
            </w:tr>
            <w:tr w14:paraId="67B5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5" w:type="dxa"/>
                  <w:shd w:val="clear" w:color="auto" w:fill="auto"/>
                  <w:noWrap w:val="0"/>
                  <w:vAlign w:val="center"/>
                </w:tcPr>
                <w:p w14:paraId="47E04C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O</w:t>
                  </w:r>
                  <w:r>
                    <w:rPr>
                      <w:rFonts w:hint="default"/>
                      <w:vertAlign w:val="subscript"/>
                    </w:rPr>
                    <w:t>3</w:t>
                  </w:r>
                </w:p>
              </w:tc>
              <w:tc>
                <w:tcPr>
                  <w:tcW w:w="1879" w:type="dxa"/>
                  <w:shd w:val="clear" w:color="auto" w:fill="auto"/>
                  <w:noWrap w:val="0"/>
                  <w:vAlign w:val="center"/>
                </w:tcPr>
                <w:p w14:paraId="169703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日最大8小时平均第90百分位数</w:t>
                  </w:r>
                </w:p>
              </w:tc>
              <w:tc>
                <w:tcPr>
                  <w:tcW w:w="1225" w:type="dxa"/>
                  <w:shd w:val="clear" w:color="auto" w:fill="auto"/>
                  <w:noWrap w:val="0"/>
                  <w:vAlign w:val="center"/>
                </w:tcPr>
                <w:p w14:paraId="5C0342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140</w:t>
                  </w:r>
                </w:p>
              </w:tc>
              <w:tc>
                <w:tcPr>
                  <w:tcW w:w="1213" w:type="dxa"/>
                  <w:shd w:val="clear" w:color="auto" w:fill="auto"/>
                  <w:noWrap w:val="0"/>
                  <w:vAlign w:val="center"/>
                </w:tcPr>
                <w:p w14:paraId="583707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160</w:t>
                  </w:r>
                </w:p>
              </w:tc>
              <w:tc>
                <w:tcPr>
                  <w:tcW w:w="1105" w:type="dxa"/>
                  <w:shd w:val="clear" w:color="auto" w:fill="auto"/>
                  <w:noWrap w:val="0"/>
                  <w:vAlign w:val="center"/>
                </w:tcPr>
                <w:p w14:paraId="270CA0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87.5</w:t>
                  </w:r>
                </w:p>
              </w:tc>
              <w:tc>
                <w:tcPr>
                  <w:tcW w:w="1356" w:type="dxa"/>
                  <w:shd w:val="clear" w:color="auto" w:fill="auto"/>
                  <w:noWrap w:val="0"/>
                  <w:vAlign w:val="center"/>
                </w:tcPr>
                <w:p w14:paraId="5AF392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4"/>
                      <w:szCs w:val="24"/>
                      <w:vertAlign w:val="baseline"/>
                    </w:rPr>
                  </w:pPr>
                  <w:r>
                    <w:rPr>
                      <w:rFonts w:hint="default"/>
                    </w:rPr>
                    <w:t>达标</w:t>
                  </w:r>
                </w:p>
              </w:tc>
            </w:tr>
          </w:tbl>
          <w:p w14:paraId="1AE0FB28">
            <w:pPr>
              <w:pStyle w:val="3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pPr>
            <w:r>
              <w:rPr>
                <w:rFonts w:hint="default" w:ascii="Times New Roman" w:hAnsi="Times New Roman" w:cs="Times New Roman"/>
                <w:color w:val="000000"/>
                <w:sz w:val="24"/>
                <w:szCs w:val="24"/>
              </w:rPr>
              <w:t>由上表可知，宝鸡市凤翔区环境空气6个监测项目：SO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年平均浓度、NO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年平均浓度、PM</w:t>
            </w:r>
            <w:r>
              <w:rPr>
                <w:rFonts w:hint="default" w:ascii="Times New Roman" w:hAnsi="Times New Roman" w:cs="Times New Roman"/>
                <w:color w:val="000000"/>
                <w:sz w:val="24"/>
                <w:szCs w:val="24"/>
                <w:vertAlign w:val="subscript"/>
              </w:rPr>
              <w:t>10</w:t>
            </w:r>
            <w:r>
              <w:rPr>
                <w:rFonts w:hint="default" w:ascii="Times New Roman" w:hAnsi="Times New Roman" w:cs="Times New Roman"/>
                <w:color w:val="000000"/>
                <w:sz w:val="24"/>
                <w:szCs w:val="24"/>
              </w:rPr>
              <w:t>年平均质量浓度、PM</w:t>
            </w:r>
            <w:r>
              <w:rPr>
                <w:rFonts w:hint="default" w:ascii="Times New Roman" w:hAnsi="Times New Roman" w:cs="Times New Roman"/>
                <w:color w:val="000000"/>
                <w:sz w:val="24"/>
                <w:szCs w:val="24"/>
                <w:vertAlign w:val="subscript"/>
              </w:rPr>
              <w:t>2.5</w:t>
            </w:r>
            <w:r>
              <w:rPr>
                <w:rFonts w:hint="default" w:ascii="Times New Roman" w:hAnsi="Times New Roman" w:cs="Times New Roman"/>
                <w:color w:val="000000"/>
                <w:sz w:val="24"/>
                <w:szCs w:val="24"/>
              </w:rPr>
              <w:t>年平均质量浓度、CO24小时平均第95百分位数浓度、O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日最大8小时平均第90百分位数均满足《环境空气质量标准》（GB3095－2012）及修改单中的二级标准要求。故项目所在区域为达标区。</w:t>
            </w:r>
          </w:p>
          <w:p w14:paraId="1F04FDC6">
            <w:pPr>
              <w:spacing w:line="500" w:lineRule="exact"/>
              <w:ind w:firstLine="482"/>
              <w:rPr>
                <w:sz w:val="24"/>
              </w:rPr>
            </w:pPr>
            <w:r>
              <w:rPr>
                <w:rFonts w:hint="eastAsia" w:ascii="宋体" w:hAnsi="宋体" w:cs="宋体"/>
                <w:sz w:val="24"/>
              </w:rPr>
              <w:t>⑵</w:t>
            </w:r>
            <w:r>
              <w:rPr>
                <w:rFonts w:hint="eastAsia"/>
                <w:sz w:val="24"/>
              </w:rPr>
              <w:t>其他污染物环境质量现状</w:t>
            </w:r>
          </w:p>
          <w:p w14:paraId="65E01B10">
            <w:pPr>
              <w:spacing w:line="500" w:lineRule="exact"/>
              <w:ind w:firstLine="480" w:firstLineChars="200"/>
              <w:rPr>
                <w:rFonts w:hint="eastAsia"/>
                <w:sz w:val="24"/>
                <w:szCs w:val="22"/>
              </w:rPr>
            </w:pPr>
            <w:r>
              <w:rPr>
                <w:rFonts w:hint="eastAsia"/>
                <w:sz w:val="24"/>
                <w:szCs w:val="22"/>
              </w:rPr>
              <w:t>为了解项目所在地区环境空气中特征因子TSP及NOx质量现状，本项目引用</w:t>
            </w:r>
            <w:r>
              <w:rPr>
                <w:rFonts w:hint="eastAsia" w:ascii="Times New Roman" w:hAnsi="Times New Roman" w:eastAsia="宋体" w:cs="Times New Roman"/>
                <w:sz w:val="24"/>
                <w:szCs w:val="22"/>
              </w:rPr>
              <w:t>已评审的《</w:t>
            </w:r>
            <w:bookmarkStart w:id="11" w:name="_Toc272137621"/>
            <w:r>
              <w:rPr>
                <w:rFonts w:hint="eastAsia" w:ascii="Times New Roman" w:hAnsi="Times New Roman" w:eastAsia="宋体" w:cs="Times New Roman"/>
                <w:sz w:val="24"/>
                <w:szCs w:val="22"/>
              </w:rPr>
              <w:t>宝鸡缔都医药化工有限公司原料药及医药中间体生产线建设项目</w:t>
            </w:r>
            <w:bookmarkEnd w:id="11"/>
            <w:r>
              <w:rPr>
                <w:rFonts w:hint="eastAsia" w:ascii="Times New Roman" w:hAnsi="Times New Roman" w:eastAsia="宋体" w:cs="Times New Roman"/>
                <w:sz w:val="24"/>
                <w:szCs w:val="22"/>
              </w:rPr>
              <w:t>环境影响报告书</w:t>
            </w:r>
            <w:r>
              <w:rPr>
                <w:sz w:val="24"/>
              </w:rPr>
              <w:t>》中</w:t>
            </w:r>
            <w:r>
              <w:rPr>
                <w:rFonts w:hint="eastAsia"/>
                <w:sz w:val="24"/>
                <w:lang w:val="en-US" w:eastAsia="zh-CN"/>
              </w:rPr>
              <w:t>TSP的</w:t>
            </w:r>
            <w:r>
              <w:rPr>
                <w:rFonts w:hint="eastAsia"/>
                <w:sz w:val="24"/>
                <w:szCs w:val="22"/>
              </w:rPr>
              <w:t>监测数据，监测点</w:t>
            </w:r>
            <w:r>
              <w:rPr>
                <w:sz w:val="24"/>
              </w:rPr>
              <w:t>位于</w:t>
            </w:r>
            <w:r>
              <w:rPr>
                <w:rFonts w:hint="eastAsia" w:ascii="Times New Roman" w:hAnsi="Times New Roman" w:eastAsia="宋体" w:cs="Times New Roman"/>
                <w:sz w:val="24"/>
                <w:szCs w:val="22"/>
              </w:rPr>
              <w:t>宝鸡缔都医药化工有限公司</w:t>
            </w:r>
            <w:r>
              <w:rPr>
                <w:rFonts w:hint="eastAsia" w:ascii="Times New Roman" w:hAnsi="Times New Roman" w:eastAsia="宋体" w:cs="Times New Roman"/>
                <w:sz w:val="24"/>
                <w:szCs w:val="22"/>
                <w:lang w:eastAsia="zh-CN"/>
              </w:rPr>
              <w:t>厂区</w:t>
            </w:r>
            <w:r>
              <w:rPr>
                <w:rFonts w:hint="eastAsia"/>
                <w:sz w:val="24"/>
              </w:rPr>
              <w:t>，</w:t>
            </w:r>
            <w:r>
              <w:rPr>
                <w:rFonts w:hint="eastAsia"/>
                <w:sz w:val="24"/>
                <w:szCs w:val="22"/>
              </w:rPr>
              <w:t>距离本项目</w:t>
            </w:r>
            <w:r>
              <w:rPr>
                <w:rFonts w:hint="eastAsia"/>
                <w:sz w:val="24"/>
                <w:szCs w:val="22"/>
                <w:lang w:val="en-US" w:eastAsia="zh-CN"/>
              </w:rPr>
              <w:t>127m</w:t>
            </w:r>
            <w:r>
              <w:rPr>
                <w:rFonts w:hint="eastAsia"/>
                <w:sz w:val="24"/>
                <w:szCs w:val="22"/>
              </w:rPr>
              <w:t>，TSP监测时间为</w:t>
            </w:r>
            <w:r>
              <w:rPr>
                <w:rFonts w:hint="eastAsia"/>
                <w:kern w:val="0"/>
                <w:sz w:val="24"/>
              </w:rPr>
              <w:t>202</w:t>
            </w:r>
            <w:r>
              <w:rPr>
                <w:rFonts w:hint="eastAsia"/>
                <w:kern w:val="0"/>
                <w:sz w:val="24"/>
                <w:lang w:val="en-US" w:eastAsia="zh-CN"/>
              </w:rPr>
              <w:t>4</w:t>
            </w:r>
            <w:r>
              <w:rPr>
                <w:rFonts w:hint="eastAsia"/>
                <w:kern w:val="0"/>
                <w:sz w:val="24"/>
              </w:rPr>
              <w:t>年</w:t>
            </w:r>
            <w:r>
              <w:rPr>
                <w:rFonts w:hint="eastAsia"/>
                <w:kern w:val="0"/>
                <w:sz w:val="24"/>
                <w:lang w:val="en-US" w:eastAsia="zh-CN"/>
              </w:rPr>
              <w:t>4</w:t>
            </w:r>
            <w:r>
              <w:rPr>
                <w:rFonts w:hint="eastAsia"/>
                <w:kern w:val="0"/>
                <w:sz w:val="24"/>
              </w:rPr>
              <w:t>月</w:t>
            </w:r>
            <w:r>
              <w:rPr>
                <w:rFonts w:hint="eastAsia"/>
                <w:kern w:val="0"/>
                <w:sz w:val="24"/>
                <w:lang w:val="en-US" w:eastAsia="zh-CN"/>
              </w:rPr>
              <w:t>7</w:t>
            </w:r>
            <w:r>
              <w:rPr>
                <w:rFonts w:hint="eastAsia"/>
                <w:kern w:val="0"/>
                <w:sz w:val="24"/>
              </w:rPr>
              <w:t>日-</w:t>
            </w:r>
            <w:r>
              <w:rPr>
                <w:rFonts w:hint="eastAsia"/>
                <w:kern w:val="0"/>
                <w:sz w:val="24"/>
                <w:lang w:val="en-US" w:eastAsia="zh-CN"/>
              </w:rPr>
              <w:t>13</w:t>
            </w:r>
            <w:r>
              <w:rPr>
                <w:rFonts w:hint="eastAsia"/>
                <w:kern w:val="0"/>
                <w:sz w:val="24"/>
              </w:rPr>
              <w:t>日</w:t>
            </w:r>
            <w:r>
              <w:rPr>
                <w:rFonts w:hint="eastAsia"/>
                <w:sz w:val="24"/>
                <w:szCs w:val="22"/>
              </w:rPr>
              <w:t>。引用监测数据满足周边5km范围内近3年的要求。</w:t>
            </w:r>
          </w:p>
          <w:p w14:paraId="52624296">
            <w:pPr>
              <w:spacing w:line="500" w:lineRule="exact"/>
              <w:ind w:firstLine="480" w:firstLineChars="200"/>
              <w:rPr>
                <w:sz w:val="24"/>
                <w:szCs w:val="22"/>
                <w:highlight w:val="none"/>
              </w:rPr>
            </w:pPr>
            <w:r>
              <w:rPr>
                <w:rFonts w:hint="eastAsia"/>
                <w:sz w:val="24"/>
                <w:szCs w:val="22"/>
                <w:highlight w:val="none"/>
              </w:rPr>
              <w:t>NOx</w:t>
            </w:r>
            <w:r>
              <w:rPr>
                <w:rFonts w:hint="eastAsia"/>
                <w:sz w:val="24"/>
                <w:szCs w:val="22"/>
                <w:highlight w:val="none"/>
                <w:lang w:eastAsia="zh-CN"/>
              </w:rPr>
              <w:t>委托宝鸡市文理检测技术有限公司于</w:t>
            </w:r>
            <w:r>
              <w:rPr>
                <w:rFonts w:hint="eastAsia"/>
                <w:sz w:val="24"/>
                <w:szCs w:val="22"/>
                <w:highlight w:val="none"/>
                <w:lang w:val="en-US" w:eastAsia="zh-CN"/>
              </w:rPr>
              <w:t>2025年5月20日-5月26日在靖源科技厂址下风向补充监测，</w:t>
            </w:r>
            <w:r>
              <w:rPr>
                <w:sz w:val="24"/>
                <w:szCs w:val="22"/>
                <w:highlight w:val="none"/>
              </w:rPr>
              <w:t>监测点位及监测结果见下表。</w:t>
            </w:r>
          </w:p>
          <w:p w14:paraId="2AC95AC1">
            <w:pPr>
              <w:spacing w:line="500" w:lineRule="exact"/>
              <w:jc w:val="center"/>
              <w:rPr>
                <w:sz w:val="24"/>
                <w:highlight w:val="none"/>
              </w:rPr>
            </w:pPr>
            <w:r>
              <w:rPr>
                <w:sz w:val="24"/>
                <w:highlight w:val="none"/>
              </w:rPr>
              <w:t xml:space="preserve">表3-2  </w:t>
            </w:r>
            <w:r>
              <w:rPr>
                <w:rFonts w:hint="eastAsia"/>
                <w:sz w:val="24"/>
                <w:highlight w:val="none"/>
              </w:rPr>
              <w:t>其他污染物补充监测点位基本信息</w:t>
            </w:r>
          </w:p>
          <w:tbl>
            <w:tblPr>
              <w:tblStyle w:val="1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736"/>
              <w:gridCol w:w="846"/>
              <w:gridCol w:w="2386"/>
              <w:gridCol w:w="850"/>
              <w:gridCol w:w="1308"/>
            </w:tblGrid>
            <w:tr w14:paraId="7BB6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2" w:hRule="exact"/>
                <w:tblHeader/>
                <w:jc w:val="center"/>
              </w:trPr>
              <w:tc>
                <w:tcPr>
                  <w:tcW w:w="1009" w:type="pct"/>
                  <w:shd w:val="clear" w:color="auto" w:fill="auto"/>
                  <w:noWrap/>
                  <w:vAlign w:val="center"/>
                </w:tcPr>
                <w:p w14:paraId="65CF7D31">
                  <w:pPr>
                    <w:adjustRightInd w:val="0"/>
                    <w:snapToGrid w:val="0"/>
                    <w:ind w:left="-105" w:leftChars="-50" w:right="-105" w:rightChars="-50"/>
                    <w:jc w:val="center"/>
                    <w:rPr>
                      <w:sz w:val="21"/>
                      <w:szCs w:val="21"/>
                      <w:highlight w:val="none"/>
                    </w:rPr>
                  </w:pPr>
                  <w:r>
                    <w:rPr>
                      <w:rFonts w:hint="eastAsia"/>
                      <w:sz w:val="21"/>
                      <w:szCs w:val="21"/>
                      <w:highlight w:val="none"/>
                    </w:rPr>
                    <w:t>监测点位</w:t>
                  </w:r>
                </w:p>
              </w:tc>
              <w:tc>
                <w:tcPr>
                  <w:tcW w:w="644" w:type="pct"/>
                  <w:shd w:val="clear" w:color="auto" w:fill="auto"/>
                  <w:noWrap/>
                  <w:vAlign w:val="center"/>
                </w:tcPr>
                <w:p w14:paraId="3F1FA195">
                  <w:pPr>
                    <w:adjustRightInd w:val="0"/>
                    <w:snapToGrid w:val="0"/>
                    <w:ind w:left="-105" w:leftChars="-50" w:right="-105" w:rightChars="-50"/>
                    <w:jc w:val="center"/>
                    <w:rPr>
                      <w:sz w:val="21"/>
                      <w:szCs w:val="21"/>
                      <w:highlight w:val="none"/>
                    </w:rPr>
                  </w:pPr>
                  <w:r>
                    <w:rPr>
                      <w:rFonts w:hint="eastAsia"/>
                      <w:sz w:val="21"/>
                      <w:szCs w:val="21"/>
                      <w:highlight w:val="none"/>
                    </w:rPr>
                    <w:t>监测因子</w:t>
                  </w:r>
                </w:p>
              </w:tc>
              <w:tc>
                <w:tcPr>
                  <w:tcW w:w="1557" w:type="pct"/>
                  <w:shd w:val="clear" w:color="auto" w:fill="auto"/>
                  <w:noWrap/>
                  <w:vAlign w:val="center"/>
                </w:tcPr>
                <w:p w14:paraId="2A16AB34">
                  <w:pPr>
                    <w:widowControl/>
                    <w:ind w:left="-103" w:leftChars="-49" w:right="-107" w:rightChars="-51"/>
                    <w:jc w:val="center"/>
                    <w:rPr>
                      <w:sz w:val="21"/>
                      <w:szCs w:val="21"/>
                      <w:highlight w:val="none"/>
                    </w:rPr>
                  </w:pPr>
                  <w:r>
                    <w:rPr>
                      <w:rFonts w:hint="eastAsia"/>
                      <w:sz w:val="21"/>
                      <w:szCs w:val="21"/>
                      <w:highlight w:val="none"/>
                    </w:rPr>
                    <w:t>监测时段</w:t>
                  </w:r>
                </w:p>
              </w:tc>
              <w:tc>
                <w:tcPr>
                  <w:tcW w:w="816" w:type="pct"/>
                  <w:shd w:val="clear" w:color="auto" w:fill="auto"/>
                  <w:noWrap/>
                  <w:vAlign w:val="center"/>
                </w:tcPr>
                <w:p w14:paraId="634BB327">
                  <w:pPr>
                    <w:widowControl/>
                    <w:ind w:left="-103" w:leftChars="-49" w:right="-107" w:rightChars="-51"/>
                    <w:jc w:val="center"/>
                    <w:rPr>
                      <w:rFonts w:hint="eastAsia"/>
                      <w:sz w:val="21"/>
                      <w:szCs w:val="21"/>
                      <w:highlight w:val="none"/>
                    </w:rPr>
                  </w:pPr>
                  <w:r>
                    <w:rPr>
                      <w:rFonts w:hint="eastAsia"/>
                      <w:sz w:val="21"/>
                      <w:szCs w:val="21"/>
                      <w:highlight w:val="none"/>
                    </w:rPr>
                    <w:t>与本项目</w:t>
                  </w:r>
                </w:p>
                <w:p w14:paraId="30DE97F3">
                  <w:pPr>
                    <w:widowControl/>
                    <w:ind w:left="-103" w:leftChars="-49" w:right="-107" w:rightChars="-51"/>
                    <w:jc w:val="center"/>
                    <w:rPr>
                      <w:sz w:val="21"/>
                      <w:szCs w:val="21"/>
                      <w:highlight w:val="none"/>
                    </w:rPr>
                  </w:pPr>
                  <w:r>
                    <w:rPr>
                      <w:rFonts w:hint="eastAsia"/>
                      <w:sz w:val="21"/>
                      <w:szCs w:val="21"/>
                      <w:highlight w:val="none"/>
                    </w:rPr>
                    <w:t>厂界方位</w:t>
                  </w:r>
                </w:p>
              </w:tc>
              <w:tc>
                <w:tcPr>
                  <w:tcW w:w="973" w:type="pct"/>
                  <w:shd w:val="clear" w:color="auto" w:fill="auto"/>
                  <w:noWrap/>
                  <w:vAlign w:val="center"/>
                </w:tcPr>
                <w:p w14:paraId="5F328ECC">
                  <w:pPr>
                    <w:widowControl/>
                    <w:ind w:left="-101" w:leftChars="-48" w:right="-107" w:rightChars="-51"/>
                    <w:jc w:val="center"/>
                    <w:rPr>
                      <w:sz w:val="21"/>
                      <w:szCs w:val="21"/>
                      <w:highlight w:val="none"/>
                    </w:rPr>
                  </w:pPr>
                  <w:r>
                    <w:rPr>
                      <w:rFonts w:hint="eastAsia"/>
                      <w:sz w:val="21"/>
                      <w:szCs w:val="21"/>
                      <w:highlight w:val="none"/>
                    </w:rPr>
                    <w:t>相对厂界距离</w:t>
                  </w:r>
                </w:p>
              </w:tc>
            </w:tr>
            <w:tr w14:paraId="5A19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shd w:val="clear" w:color="auto" w:fill="auto"/>
                  <w:noWrap/>
                  <w:vAlign w:val="center"/>
                </w:tcPr>
                <w:p w14:paraId="1C96E471">
                  <w:pPr>
                    <w:adjustRightInd w:val="0"/>
                    <w:snapToGrid w:val="0"/>
                    <w:jc w:val="center"/>
                    <w:rPr>
                      <w:sz w:val="21"/>
                      <w:szCs w:val="21"/>
                      <w:highlight w:val="none"/>
                    </w:rPr>
                  </w:pPr>
                  <w:r>
                    <w:rPr>
                      <w:rFonts w:hint="eastAsia" w:ascii="Times New Roman" w:hAnsi="Times New Roman" w:eastAsia="宋体" w:cs="Times New Roman"/>
                      <w:sz w:val="21"/>
                      <w:szCs w:val="21"/>
                      <w:highlight w:val="none"/>
                    </w:rPr>
                    <w:t>宝鸡缔都医药化工有限公司</w:t>
                  </w:r>
                </w:p>
              </w:tc>
              <w:tc>
                <w:tcPr>
                  <w:tcW w:w="644" w:type="pct"/>
                  <w:shd w:val="clear" w:color="auto" w:fill="auto"/>
                  <w:noWrap/>
                  <w:vAlign w:val="center"/>
                </w:tcPr>
                <w:p w14:paraId="4B55FCFC">
                  <w:pPr>
                    <w:adjustRightInd w:val="0"/>
                    <w:snapToGrid w:val="0"/>
                    <w:jc w:val="center"/>
                    <w:rPr>
                      <w:sz w:val="21"/>
                      <w:szCs w:val="21"/>
                      <w:highlight w:val="none"/>
                    </w:rPr>
                  </w:pPr>
                  <w:r>
                    <w:rPr>
                      <w:rFonts w:hint="eastAsia"/>
                      <w:sz w:val="21"/>
                      <w:szCs w:val="21"/>
                      <w:highlight w:val="none"/>
                    </w:rPr>
                    <w:t>TSP</w:t>
                  </w:r>
                </w:p>
              </w:tc>
              <w:tc>
                <w:tcPr>
                  <w:tcW w:w="1557" w:type="pct"/>
                  <w:shd w:val="clear" w:color="auto" w:fill="auto"/>
                  <w:noWrap/>
                  <w:vAlign w:val="center"/>
                </w:tcPr>
                <w:p w14:paraId="0E47DD95">
                  <w:pPr>
                    <w:adjustRightInd w:val="0"/>
                    <w:snapToGrid w:val="0"/>
                    <w:jc w:val="center"/>
                    <w:rPr>
                      <w:sz w:val="21"/>
                      <w:szCs w:val="21"/>
                      <w:highlight w:val="none"/>
                    </w:rPr>
                  </w:pPr>
                  <w:r>
                    <w:rPr>
                      <w:rFonts w:hint="eastAsia"/>
                      <w:kern w:val="0"/>
                      <w:sz w:val="21"/>
                      <w:szCs w:val="21"/>
                      <w:highlight w:val="none"/>
                    </w:rPr>
                    <w:t>202</w:t>
                  </w:r>
                  <w:r>
                    <w:rPr>
                      <w:rFonts w:hint="eastAsia"/>
                      <w:kern w:val="0"/>
                      <w:sz w:val="21"/>
                      <w:szCs w:val="21"/>
                      <w:highlight w:val="none"/>
                      <w:lang w:val="en-US" w:eastAsia="zh-CN"/>
                    </w:rPr>
                    <w:t>4</w:t>
                  </w:r>
                  <w:r>
                    <w:rPr>
                      <w:rFonts w:hint="eastAsia"/>
                      <w:kern w:val="0"/>
                      <w:sz w:val="21"/>
                      <w:szCs w:val="21"/>
                      <w:highlight w:val="none"/>
                    </w:rPr>
                    <w:t>年</w:t>
                  </w:r>
                  <w:r>
                    <w:rPr>
                      <w:rFonts w:hint="eastAsia"/>
                      <w:kern w:val="0"/>
                      <w:sz w:val="21"/>
                      <w:szCs w:val="21"/>
                      <w:highlight w:val="none"/>
                      <w:lang w:val="en-US" w:eastAsia="zh-CN"/>
                    </w:rPr>
                    <w:t>4</w:t>
                  </w:r>
                  <w:r>
                    <w:rPr>
                      <w:rFonts w:hint="eastAsia"/>
                      <w:kern w:val="0"/>
                      <w:sz w:val="21"/>
                      <w:szCs w:val="21"/>
                      <w:highlight w:val="none"/>
                    </w:rPr>
                    <w:t>月</w:t>
                  </w:r>
                  <w:r>
                    <w:rPr>
                      <w:rFonts w:hint="eastAsia"/>
                      <w:kern w:val="0"/>
                      <w:sz w:val="21"/>
                      <w:szCs w:val="21"/>
                      <w:highlight w:val="none"/>
                      <w:lang w:val="en-US" w:eastAsia="zh-CN"/>
                    </w:rPr>
                    <w:t>7</w:t>
                  </w:r>
                  <w:r>
                    <w:rPr>
                      <w:rFonts w:hint="eastAsia"/>
                      <w:kern w:val="0"/>
                      <w:sz w:val="21"/>
                      <w:szCs w:val="21"/>
                      <w:highlight w:val="none"/>
                    </w:rPr>
                    <w:t>日-</w:t>
                  </w:r>
                  <w:r>
                    <w:rPr>
                      <w:rFonts w:hint="eastAsia"/>
                      <w:kern w:val="0"/>
                      <w:sz w:val="21"/>
                      <w:szCs w:val="21"/>
                      <w:highlight w:val="none"/>
                      <w:lang w:val="en-US" w:eastAsia="zh-CN"/>
                    </w:rPr>
                    <w:t>13</w:t>
                  </w:r>
                  <w:r>
                    <w:rPr>
                      <w:rFonts w:hint="eastAsia"/>
                      <w:kern w:val="0"/>
                      <w:sz w:val="21"/>
                      <w:szCs w:val="21"/>
                      <w:highlight w:val="none"/>
                    </w:rPr>
                    <w:t>日</w:t>
                  </w:r>
                </w:p>
              </w:tc>
              <w:tc>
                <w:tcPr>
                  <w:tcW w:w="816" w:type="pct"/>
                  <w:shd w:val="clear" w:color="auto" w:fill="auto"/>
                  <w:noWrap/>
                  <w:vAlign w:val="center"/>
                </w:tcPr>
                <w:p w14:paraId="1C6E7C46">
                  <w:pPr>
                    <w:adjustRightInd w:val="0"/>
                    <w:snapToGrid w:val="0"/>
                    <w:jc w:val="center"/>
                    <w:rPr>
                      <w:rFonts w:hint="eastAsia" w:eastAsia="宋体"/>
                      <w:sz w:val="21"/>
                      <w:szCs w:val="21"/>
                      <w:highlight w:val="none"/>
                      <w:lang w:eastAsia="zh-CN"/>
                    </w:rPr>
                  </w:pPr>
                  <w:r>
                    <w:rPr>
                      <w:rFonts w:hint="eastAsia"/>
                      <w:sz w:val="21"/>
                      <w:szCs w:val="21"/>
                      <w:highlight w:val="none"/>
                      <w:lang w:eastAsia="zh-CN"/>
                    </w:rPr>
                    <w:t>北</w:t>
                  </w:r>
                </w:p>
              </w:tc>
              <w:tc>
                <w:tcPr>
                  <w:tcW w:w="973" w:type="pct"/>
                  <w:shd w:val="clear" w:color="auto" w:fill="auto"/>
                  <w:noWrap/>
                  <w:vAlign w:val="center"/>
                </w:tcPr>
                <w:p w14:paraId="333E1718">
                  <w:pPr>
                    <w:adjustRightInd w:val="0"/>
                    <w:snapToGrid w:val="0"/>
                    <w:jc w:val="center"/>
                    <w:rPr>
                      <w:sz w:val="21"/>
                      <w:szCs w:val="21"/>
                      <w:highlight w:val="none"/>
                    </w:rPr>
                  </w:pPr>
                  <w:r>
                    <w:rPr>
                      <w:rFonts w:hint="eastAsia"/>
                      <w:sz w:val="21"/>
                      <w:szCs w:val="21"/>
                      <w:highlight w:val="none"/>
                      <w:lang w:val="en-US" w:eastAsia="zh-CN"/>
                    </w:rPr>
                    <w:t>127m</w:t>
                  </w:r>
                </w:p>
              </w:tc>
            </w:tr>
            <w:tr w14:paraId="2C3A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shd w:val="clear" w:color="auto" w:fill="auto"/>
                  <w:noWrap/>
                  <w:vAlign w:val="center"/>
                </w:tcPr>
                <w:p w14:paraId="4F978B72">
                  <w:pPr>
                    <w:adjustRightInd w:val="0"/>
                    <w:snapToGrid w:val="0"/>
                    <w:jc w:val="center"/>
                    <w:rPr>
                      <w:rFonts w:hint="eastAsia" w:eastAsia="宋体"/>
                      <w:sz w:val="21"/>
                      <w:szCs w:val="21"/>
                      <w:highlight w:val="none"/>
                      <w:lang w:eastAsia="zh-CN"/>
                    </w:rPr>
                  </w:pPr>
                  <w:r>
                    <w:rPr>
                      <w:rFonts w:hint="eastAsia"/>
                      <w:sz w:val="21"/>
                      <w:szCs w:val="21"/>
                      <w:highlight w:val="none"/>
                      <w:lang w:eastAsia="zh-CN"/>
                    </w:rPr>
                    <w:t>厂址</w:t>
                  </w:r>
                </w:p>
              </w:tc>
              <w:tc>
                <w:tcPr>
                  <w:tcW w:w="644" w:type="pct"/>
                  <w:shd w:val="clear" w:color="auto" w:fill="auto"/>
                  <w:noWrap/>
                  <w:vAlign w:val="center"/>
                </w:tcPr>
                <w:p w14:paraId="7894C54D">
                  <w:pPr>
                    <w:adjustRightInd w:val="0"/>
                    <w:snapToGrid w:val="0"/>
                    <w:jc w:val="center"/>
                    <w:rPr>
                      <w:rFonts w:hint="eastAsia"/>
                      <w:sz w:val="21"/>
                      <w:szCs w:val="21"/>
                      <w:highlight w:val="none"/>
                    </w:rPr>
                  </w:pPr>
                  <w:r>
                    <w:rPr>
                      <w:rFonts w:hint="eastAsia"/>
                      <w:sz w:val="21"/>
                      <w:szCs w:val="21"/>
                      <w:highlight w:val="none"/>
                    </w:rPr>
                    <w:t>NO</w:t>
                  </w:r>
                  <w:r>
                    <w:rPr>
                      <w:rFonts w:hint="eastAsia"/>
                      <w:sz w:val="21"/>
                      <w:szCs w:val="21"/>
                      <w:highlight w:val="none"/>
                      <w:vertAlign w:val="subscript"/>
                    </w:rPr>
                    <w:t>x</w:t>
                  </w:r>
                </w:p>
              </w:tc>
              <w:tc>
                <w:tcPr>
                  <w:tcW w:w="1557" w:type="pct"/>
                  <w:shd w:val="clear" w:color="auto" w:fill="auto"/>
                  <w:noWrap/>
                  <w:vAlign w:val="center"/>
                </w:tcPr>
                <w:p w14:paraId="02B2D732">
                  <w:pPr>
                    <w:adjustRightInd w:val="0"/>
                    <w:snapToGrid w:val="0"/>
                    <w:jc w:val="center"/>
                    <w:rPr>
                      <w:rFonts w:hint="eastAsia"/>
                      <w:sz w:val="21"/>
                      <w:szCs w:val="21"/>
                      <w:highlight w:val="none"/>
                    </w:rPr>
                  </w:pPr>
                  <w:r>
                    <w:rPr>
                      <w:rFonts w:hint="eastAsia"/>
                      <w:kern w:val="0"/>
                      <w:sz w:val="21"/>
                      <w:szCs w:val="21"/>
                      <w:highlight w:val="none"/>
                    </w:rPr>
                    <w:t>202</w:t>
                  </w:r>
                  <w:r>
                    <w:rPr>
                      <w:rFonts w:hint="eastAsia"/>
                      <w:kern w:val="0"/>
                      <w:sz w:val="21"/>
                      <w:szCs w:val="21"/>
                      <w:highlight w:val="none"/>
                      <w:lang w:val="en-US" w:eastAsia="zh-CN"/>
                    </w:rPr>
                    <w:t>5</w:t>
                  </w:r>
                  <w:r>
                    <w:rPr>
                      <w:rFonts w:hint="eastAsia"/>
                      <w:kern w:val="0"/>
                      <w:sz w:val="21"/>
                      <w:szCs w:val="21"/>
                      <w:highlight w:val="none"/>
                    </w:rPr>
                    <w:t>年</w:t>
                  </w:r>
                  <w:r>
                    <w:rPr>
                      <w:rFonts w:hint="eastAsia"/>
                      <w:kern w:val="0"/>
                      <w:sz w:val="21"/>
                      <w:szCs w:val="21"/>
                      <w:highlight w:val="none"/>
                      <w:lang w:val="en-US" w:eastAsia="zh-CN"/>
                    </w:rPr>
                    <w:t>5</w:t>
                  </w:r>
                  <w:r>
                    <w:rPr>
                      <w:rFonts w:hint="eastAsia"/>
                      <w:kern w:val="0"/>
                      <w:sz w:val="21"/>
                      <w:szCs w:val="21"/>
                      <w:highlight w:val="none"/>
                    </w:rPr>
                    <w:t>月20日-2</w:t>
                  </w:r>
                  <w:r>
                    <w:rPr>
                      <w:rFonts w:hint="eastAsia"/>
                      <w:kern w:val="0"/>
                      <w:sz w:val="21"/>
                      <w:szCs w:val="21"/>
                      <w:highlight w:val="none"/>
                      <w:lang w:val="en-US" w:eastAsia="zh-CN"/>
                    </w:rPr>
                    <w:t>6</w:t>
                  </w:r>
                  <w:r>
                    <w:rPr>
                      <w:rFonts w:hint="eastAsia"/>
                      <w:kern w:val="0"/>
                      <w:sz w:val="21"/>
                      <w:szCs w:val="21"/>
                      <w:highlight w:val="none"/>
                    </w:rPr>
                    <w:t>日</w:t>
                  </w:r>
                </w:p>
              </w:tc>
              <w:tc>
                <w:tcPr>
                  <w:tcW w:w="816" w:type="pct"/>
                  <w:shd w:val="clear" w:color="auto" w:fill="auto"/>
                  <w:noWrap/>
                  <w:vAlign w:val="center"/>
                </w:tcPr>
                <w:p w14:paraId="5BBF5D1E">
                  <w:pPr>
                    <w:adjustRightInd w:val="0"/>
                    <w:snapToGrid w:val="0"/>
                    <w:jc w:val="center"/>
                    <w:rPr>
                      <w:rFonts w:hint="eastAsia" w:eastAsia="宋体"/>
                      <w:sz w:val="21"/>
                      <w:szCs w:val="21"/>
                      <w:highlight w:val="none"/>
                      <w:lang w:eastAsia="zh-CN"/>
                    </w:rPr>
                  </w:pPr>
                  <w:r>
                    <w:rPr>
                      <w:rFonts w:hint="eastAsia"/>
                      <w:sz w:val="21"/>
                      <w:szCs w:val="21"/>
                      <w:highlight w:val="none"/>
                      <w:lang w:eastAsia="zh-CN"/>
                    </w:rPr>
                    <w:t>东</w:t>
                  </w:r>
                </w:p>
              </w:tc>
              <w:tc>
                <w:tcPr>
                  <w:tcW w:w="973" w:type="pct"/>
                  <w:shd w:val="clear" w:color="auto" w:fill="auto"/>
                  <w:noWrap/>
                  <w:vAlign w:val="center"/>
                </w:tcPr>
                <w:p w14:paraId="60AB0771">
                  <w:pPr>
                    <w:adjustRightInd w:val="0"/>
                    <w:snapToGrid w:val="0"/>
                    <w:jc w:val="center"/>
                    <w:rPr>
                      <w:rFonts w:hint="eastAsia" w:eastAsia="宋体"/>
                      <w:sz w:val="21"/>
                      <w:szCs w:val="21"/>
                      <w:highlight w:val="none"/>
                      <w:lang w:eastAsia="zh-CN"/>
                    </w:rPr>
                  </w:pPr>
                  <w:r>
                    <w:rPr>
                      <w:rFonts w:hint="eastAsia"/>
                      <w:sz w:val="21"/>
                      <w:szCs w:val="21"/>
                      <w:highlight w:val="none"/>
                      <w:lang w:eastAsia="zh-CN"/>
                    </w:rPr>
                    <w:t>紧邻</w:t>
                  </w:r>
                </w:p>
              </w:tc>
            </w:tr>
          </w:tbl>
          <w:p w14:paraId="1439E187">
            <w:pPr>
              <w:spacing w:line="500" w:lineRule="exact"/>
              <w:jc w:val="center"/>
              <w:rPr>
                <w:sz w:val="24"/>
                <w:highlight w:val="none"/>
              </w:rPr>
            </w:pPr>
            <w:r>
              <w:rPr>
                <w:sz w:val="24"/>
                <w:highlight w:val="none"/>
              </w:rPr>
              <w:t>表3-</w:t>
            </w:r>
            <w:r>
              <w:rPr>
                <w:rFonts w:hint="eastAsia"/>
                <w:sz w:val="24"/>
                <w:highlight w:val="none"/>
              </w:rPr>
              <w:t>3</w:t>
            </w:r>
            <w:r>
              <w:rPr>
                <w:sz w:val="24"/>
                <w:highlight w:val="none"/>
              </w:rPr>
              <w:t xml:space="preserve">  </w:t>
            </w:r>
            <w:r>
              <w:rPr>
                <w:rFonts w:hint="eastAsia"/>
                <w:sz w:val="24"/>
                <w:highlight w:val="none"/>
              </w:rPr>
              <w:t>其他污染物补充监测结果</w:t>
            </w:r>
          </w:p>
          <w:tbl>
            <w:tblPr>
              <w:tblStyle w:val="1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58"/>
              <w:gridCol w:w="1491"/>
              <w:gridCol w:w="1744"/>
              <w:gridCol w:w="1421"/>
              <w:gridCol w:w="1029"/>
              <w:gridCol w:w="1083"/>
            </w:tblGrid>
            <w:tr w14:paraId="15DA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jc w:val="center"/>
              </w:trPr>
              <w:tc>
                <w:tcPr>
                  <w:tcW w:w="835" w:type="pct"/>
                  <w:shd w:val="clear" w:color="auto" w:fill="auto"/>
                  <w:noWrap/>
                  <w:vAlign w:val="center"/>
                </w:tcPr>
                <w:p w14:paraId="2912332E">
                  <w:pPr>
                    <w:widowControl/>
                    <w:ind w:left="-103" w:leftChars="-49"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监测因子</w:t>
                  </w:r>
                </w:p>
              </w:tc>
              <w:tc>
                <w:tcPr>
                  <w:tcW w:w="1990" w:type="pct"/>
                  <w:gridSpan w:val="2"/>
                  <w:shd w:val="clear" w:color="auto" w:fill="auto"/>
                  <w:noWrap/>
                  <w:vAlign w:val="center"/>
                </w:tcPr>
                <w:p w14:paraId="6161BCC2">
                  <w:pPr>
                    <w:widowControl/>
                    <w:ind w:left="-103" w:leftChars="-49"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评价标准</w:t>
                  </w:r>
                </w:p>
                <w:p w14:paraId="699FC093">
                  <w:pPr>
                    <w:widowControl/>
                    <w:ind w:left="-103" w:leftChars="-49"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874" w:type="pct"/>
                  <w:shd w:val="clear" w:color="auto" w:fill="auto"/>
                  <w:noWrap/>
                  <w:vAlign w:val="center"/>
                </w:tcPr>
                <w:p w14:paraId="1B15E6EC">
                  <w:pPr>
                    <w:widowControl/>
                    <w:ind w:left="-103" w:leftChars="-49"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监测浓度范围</w:t>
                  </w:r>
                </w:p>
                <w:p w14:paraId="2B1BBCF6">
                  <w:pPr>
                    <w:widowControl/>
                    <w:ind w:left="-103" w:leftChars="-49"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633" w:type="pct"/>
                  <w:shd w:val="clear" w:color="auto" w:fill="auto"/>
                  <w:noWrap/>
                  <w:vAlign w:val="center"/>
                </w:tcPr>
                <w:p w14:paraId="273464F9">
                  <w:pPr>
                    <w:widowControl/>
                    <w:ind w:left="-101" w:leftChars="-48"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最大浓度</w:t>
                  </w:r>
                </w:p>
                <w:p w14:paraId="431EEE4A">
                  <w:pPr>
                    <w:widowControl/>
                    <w:ind w:left="-101" w:leftChars="-48"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占标率</w:t>
                  </w:r>
                </w:p>
              </w:tc>
              <w:tc>
                <w:tcPr>
                  <w:tcW w:w="666" w:type="pct"/>
                  <w:shd w:val="clear" w:color="auto" w:fill="auto"/>
                  <w:noWrap/>
                  <w:vAlign w:val="center"/>
                </w:tcPr>
                <w:p w14:paraId="112A9782">
                  <w:pPr>
                    <w:widowControl/>
                    <w:ind w:left="-101" w:leftChars="-48" w:right="-107" w:rightChars="-5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达标情况</w:t>
                  </w:r>
                </w:p>
              </w:tc>
            </w:tr>
            <w:tr w14:paraId="732F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shd w:val="clear" w:color="auto" w:fill="auto"/>
                  <w:noWrap/>
                  <w:vAlign w:val="center"/>
                </w:tcPr>
                <w:p w14:paraId="5FA03EA3">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TSP</w:t>
                  </w:r>
                </w:p>
              </w:tc>
              <w:tc>
                <w:tcPr>
                  <w:tcW w:w="917" w:type="pct"/>
                  <w:shd w:val="clear" w:color="auto" w:fill="auto"/>
                  <w:noWrap/>
                  <w:vAlign w:val="center"/>
                </w:tcPr>
                <w:p w14:paraId="770E7880">
                  <w:pPr>
                    <w:widowControl/>
                    <w:ind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24</w:t>
                  </w:r>
                  <w:r>
                    <w:rPr>
                      <w:rFonts w:hint="default" w:ascii="Times New Roman" w:hAnsi="Times New Roman" w:cs="Times New Roman"/>
                      <w:sz w:val="21"/>
                      <w:szCs w:val="21"/>
                      <w:highlight w:val="none"/>
                    </w:rPr>
                    <w:t>小时平均</w:t>
                  </w:r>
                </w:p>
              </w:tc>
              <w:tc>
                <w:tcPr>
                  <w:tcW w:w="1072" w:type="pct"/>
                  <w:shd w:val="clear" w:color="auto" w:fill="auto"/>
                  <w:noWrap/>
                  <w:vAlign w:val="center"/>
                </w:tcPr>
                <w:p w14:paraId="2B44CB71">
                  <w:pPr>
                    <w:widowControl/>
                    <w:ind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w:t>
                  </w:r>
                </w:p>
              </w:tc>
              <w:tc>
                <w:tcPr>
                  <w:tcW w:w="874" w:type="pct"/>
                  <w:shd w:val="clear" w:color="auto" w:fill="auto"/>
                  <w:noWrap/>
                  <w:vAlign w:val="center"/>
                </w:tcPr>
                <w:p w14:paraId="323E5288">
                  <w:pPr>
                    <w:widowControl/>
                    <w:ind w:left="-78" w:leftChars="-37"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en-US"/>
                    </w:rPr>
                    <w:t>0.142-0.160</w:t>
                  </w:r>
                </w:p>
              </w:tc>
              <w:tc>
                <w:tcPr>
                  <w:tcW w:w="633" w:type="pct"/>
                  <w:shd w:val="clear" w:color="auto" w:fill="auto"/>
                  <w:noWrap/>
                  <w:vAlign w:val="center"/>
                </w:tcPr>
                <w:p w14:paraId="3802CA4D">
                  <w:pPr>
                    <w:widowControl/>
                    <w:ind w:left="-78" w:leftChars="-37"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53.3%</w:t>
                  </w:r>
                </w:p>
              </w:tc>
              <w:tc>
                <w:tcPr>
                  <w:tcW w:w="666" w:type="pct"/>
                  <w:shd w:val="clear" w:color="auto" w:fill="auto"/>
                  <w:noWrap/>
                  <w:vAlign w:val="center"/>
                </w:tcPr>
                <w:p w14:paraId="4898E062">
                  <w:pPr>
                    <w:widowControl/>
                    <w:ind w:left="-78" w:leftChars="-37"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w:t>
                  </w:r>
                </w:p>
              </w:tc>
            </w:tr>
            <w:tr w14:paraId="6E28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vMerge w:val="restart"/>
                  <w:shd w:val="clear" w:color="auto" w:fill="auto"/>
                  <w:noWrap/>
                  <w:vAlign w:val="center"/>
                </w:tcPr>
                <w:p w14:paraId="014A1A2D">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x</w:t>
                  </w:r>
                </w:p>
              </w:tc>
              <w:tc>
                <w:tcPr>
                  <w:tcW w:w="917" w:type="pct"/>
                  <w:shd w:val="clear" w:color="auto" w:fill="auto"/>
                  <w:noWrap/>
                  <w:vAlign w:val="center"/>
                </w:tcPr>
                <w:p w14:paraId="273BBB77">
                  <w:pPr>
                    <w:widowControl/>
                    <w:ind w:left="-78" w:leftChars="-37"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小时平均</w:t>
                  </w:r>
                </w:p>
              </w:tc>
              <w:tc>
                <w:tcPr>
                  <w:tcW w:w="1072" w:type="pct"/>
                  <w:shd w:val="clear" w:color="auto" w:fill="auto"/>
                  <w:noWrap/>
                  <w:vAlign w:val="center"/>
                </w:tcPr>
                <w:p w14:paraId="79364962">
                  <w:pPr>
                    <w:widowControl/>
                    <w:ind w:left="-78" w:leftChars="-37" w:right="-103" w:rightChars="-49"/>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0.25</w:t>
                  </w:r>
                </w:p>
              </w:tc>
              <w:tc>
                <w:tcPr>
                  <w:tcW w:w="874" w:type="pct"/>
                  <w:shd w:val="clear" w:color="auto" w:fill="auto"/>
                  <w:noWrap/>
                  <w:vAlign w:val="center"/>
                </w:tcPr>
                <w:p w14:paraId="18B2BB61">
                  <w:pPr>
                    <w:widowControl/>
                    <w:ind w:left="-78" w:leftChars="-37" w:right="-103" w:rightChars="-49"/>
                    <w:jc w:val="center"/>
                    <w:rPr>
                      <w:rFonts w:hint="default" w:ascii="Times New Roman" w:hAnsi="Times New Roman" w:eastAsia="宋体" w:cs="Times New Roman"/>
                      <w:sz w:val="21"/>
                      <w:szCs w:val="21"/>
                      <w:highlight w:val="none"/>
                      <w:lang w:val="en-US" w:eastAsia="zh-CN" w:bidi="en-US"/>
                    </w:rPr>
                  </w:pPr>
                  <w:r>
                    <w:rPr>
                      <w:rFonts w:hint="default" w:ascii="Times New Roman" w:hAnsi="Times New Roman" w:cs="Times New Roman"/>
                      <w:sz w:val="21"/>
                      <w:szCs w:val="21"/>
                      <w:highlight w:val="none"/>
                      <w:lang w:bidi="en-US"/>
                    </w:rPr>
                    <w:t>0.0</w:t>
                  </w:r>
                  <w:r>
                    <w:rPr>
                      <w:rFonts w:hint="eastAsia" w:cs="Times New Roman"/>
                      <w:sz w:val="21"/>
                      <w:szCs w:val="21"/>
                      <w:highlight w:val="none"/>
                      <w:lang w:val="en-US" w:eastAsia="zh-CN" w:bidi="en-US"/>
                    </w:rPr>
                    <w:t>33</w:t>
                  </w:r>
                  <w:r>
                    <w:rPr>
                      <w:rFonts w:hint="default" w:ascii="Times New Roman" w:hAnsi="Times New Roman" w:cs="Times New Roman"/>
                      <w:sz w:val="21"/>
                      <w:szCs w:val="21"/>
                      <w:highlight w:val="none"/>
                      <w:lang w:bidi="en-US"/>
                    </w:rPr>
                    <w:t>-0.0</w:t>
                  </w:r>
                  <w:r>
                    <w:rPr>
                      <w:rFonts w:hint="eastAsia" w:cs="Times New Roman"/>
                      <w:sz w:val="21"/>
                      <w:szCs w:val="21"/>
                      <w:highlight w:val="none"/>
                      <w:lang w:val="en-US" w:eastAsia="zh-CN" w:bidi="en-US"/>
                    </w:rPr>
                    <w:t>61</w:t>
                  </w:r>
                </w:p>
              </w:tc>
              <w:tc>
                <w:tcPr>
                  <w:tcW w:w="633" w:type="pct"/>
                  <w:shd w:val="clear" w:color="auto" w:fill="auto"/>
                  <w:noWrap/>
                  <w:vAlign w:val="center"/>
                </w:tcPr>
                <w:p w14:paraId="7A8F853A">
                  <w:pPr>
                    <w:widowControl/>
                    <w:ind w:left="-78" w:leftChars="-37" w:right="-103" w:rightChars="-49"/>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24.4</w:t>
                  </w:r>
                  <w:r>
                    <w:rPr>
                      <w:rFonts w:hint="default" w:ascii="Times New Roman" w:hAnsi="Times New Roman" w:cs="Times New Roman"/>
                      <w:sz w:val="21"/>
                      <w:szCs w:val="21"/>
                      <w:highlight w:val="none"/>
                    </w:rPr>
                    <w:t>%</w:t>
                  </w:r>
                </w:p>
              </w:tc>
              <w:tc>
                <w:tcPr>
                  <w:tcW w:w="666" w:type="pct"/>
                  <w:shd w:val="clear" w:color="auto" w:fill="auto"/>
                  <w:noWrap/>
                  <w:vAlign w:val="center"/>
                </w:tcPr>
                <w:p w14:paraId="3FB47163">
                  <w:pPr>
                    <w:widowControl/>
                    <w:ind w:left="-78" w:leftChars="-37"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w:t>
                  </w:r>
                </w:p>
              </w:tc>
            </w:tr>
            <w:tr w14:paraId="0CA4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vMerge w:val="continue"/>
                  <w:shd w:val="clear" w:color="auto" w:fill="auto"/>
                  <w:noWrap/>
                  <w:vAlign w:val="center"/>
                </w:tcPr>
                <w:p w14:paraId="061CAA04">
                  <w:pPr>
                    <w:adjustRightInd w:val="0"/>
                    <w:snapToGrid w:val="0"/>
                    <w:jc w:val="center"/>
                    <w:rPr>
                      <w:rFonts w:hint="default" w:ascii="Times New Roman" w:hAnsi="Times New Roman" w:cs="Times New Roman"/>
                      <w:sz w:val="21"/>
                      <w:szCs w:val="21"/>
                      <w:highlight w:val="none"/>
                    </w:rPr>
                  </w:pPr>
                </w:p>
              </w:tc>
              <w:tc>
                <w:tcPr>
                  <w:tcW w:w="917" w:type="pct"/>
                  <w:shd w:val="clear" w:color="auto" w:fill="auto"/>
                  <w:noWrap/>
                  <w:vAlign w:val="center"/>
                </w:tcPr>
                <w:p w14:paraId="316676E7">
                  <w:pPr>
                    <w:widowControl/>
                    <w:ind w:left="-78" w:leftChars="-37" w:right="-103" w:rightChars="-49"/>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24</w:t>
                  </w:r>
                  <w:r>
                    <w:rPr>
                      <w:rFonts w:hint="default" w:ascii="Times New Roman" w:hAnsi="Times New Roman" w:cs="Times New Roman"/>
                      <w:sz w:val="21"/>
                      <w:szCs w:val="21"/>
                      <w:highlight w:val="none"/>
                    </w:rPr>
                    <w:t>小时平均</w:t>
                  </w:r>
                </w:p>
              </w:tc>
              <w:tc>
                <w:tcPr>
                  <w:tcW w:w="1072" w:type="pct"/>
                  <w:shd w:val="clear" w:color="auto" w:fill="auto"/>
                  <w:noWrap/>
                  <w:vAlign w:val="center"/>
                </w:tcPr>
                <w:p w14:paraId="7654077A">
                  <w:pPr>
                    <w:widowControl/>
                    <w:ind w:left="-78" w:leftChars="-37" w:right="-103" w:rightChars="-49"/>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w:t>
                  </w:r>
                </w:p>
              </w:tc>
              <w:tc>
                <w:tcPr>
                  <w:tcW w:w="874" w:type="pct"/>
                  <w:shd w:val="clear" w:color="auto" w:fill="auto"/>
                  <w:noWrap/>
                  <w:vAlign w:val="center"/>
                </w:tcPr>
                <w:p w14:paraId="7BFC7487">
                  <w:pPr>
                    <w:widowControl/>
                    <w:ind w:left="-78" w:leftChars="-37" w:right="-103" w:rightChars="-49"/>
                    <w:jc w:val="center"/>
                    <w:rPr>
                      <w:rFonts w:hint="default" w:ascii="Times New Roman" w:hAnsi="Times New Roman" w:eastAsia="宋体" w:cs="Times New Roman"/>
                      <w:sz w:val="21"/>
                      <w:szCs w:val="21"/>
                      <w:highlight w:val="none"/>
                      <w:lang w:val="en-US" w:eastAsia="zh-CN" w:bidi="en-US"/>
                    </w:rPr>
                  </w:pPr>
                  <w:r>
                    <w:rPr>
                      <w:rFonts w:hint="eastAsia" w:cs="Times New Roman"/>
                      <w:sz w:val="21"/>
                      <w:szCs w:val="21"/>
                      <w:highlight w:val="none"/>
                      <w:lang w:val="en-US" w:eastAsia="zh-CN" w:bidi="en-US"/>
                    </w:rPr>
                    <w:t>0.035-0.041</w:t>
                  </w:r>
                </w:p>
              </w:tc>
              <w:tc>
                <w:tcPr>
                  <w:tcW w:w="633" w:type="pct"/>
                  <w:shd w:val="clear" w:color="auto" w:fill="auto"/>
                  <w:noWrap/>
                  <w:vAlign w:val="center"/>
                </w:tcPr>
                <w:p w14:paraId="70FA126A">
                  <w:pPr>
                    <w:widowControl/>
                    <w:ind w:left="-78" w:leftChars="-37" w:right="-103" w:rightChars="-49"/>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41</w:t>
                  </w:r>
                  <w:r>
                    <w:rPr>
                      <w:rFonts w:hint="default" w:ascii="Times New Roman" w:hAnsi="Times New Roman" w:cs="Times New Roman"/>
                      <w:sz w:val="21"/>
                      <w:szCs w:val="21"/>
                      <w:highlight w:val="none"/>
                    </w:rPr>
                    <w:t>%</w:t>
                  </w:r>
                </w:p>
              </w:tc>
              <w:tc>
                <w:tcPr>
                  <w:tcW w:w="666" w:type="pct"/>
                  <w:shd w:val="clear" w:color="auto" w:fill="auto"/>
                  <w:noWrap/>
                  <w:vAlign w:val="center"/>
                </w:tcPr>
                <w:p w14:paraId="76D99DDB">
                  <w:pPr>
                    <w:widowControl/>
                    <w:ind w:left="-78" w:leftChars="-37" w:right="-103" w:rightChars="-4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w:t>
                  </w:r>
                </w:p>
              </w:tc>
            </w:tr>
          </w:tbl>
          <w:p w14:paraId="579E95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highlight w:val="none"/>
              </w:rPr>
            </w:pPr>
            <w:r>
              <w:rPr>
                <w:sz w:val="24"/>
                <w:szCs w:val="22"/>
                <w:highlight w:val="none"/>
              </w:rPr>
              <w:t>由上表</w:t>
            </w:r>
            <w:r>
              <w:rPr>
                <w:rFonts w:hint="eastAsia"/>
                <w:sz w:val="24"/>
                <w:szCs w:val="22"/>
                <w:highlight w:val="none"/>
              </w:rPr>
              <w:t>监测数据</w:t>
            </w:r>
            <w:r>
              <w:rPr>
                <w:sz w:val="24"/>
                <w:szCs w:val="22"/>
                <w:highlight w:val="none"/>
              </w:rPr>
              <w:t>可知，环境空气</w:t>
            </w:r>
            <w:r>
              <w:rPr>
                <w:rFonts w:hint="eastAsia"/>
                <w:sz w:val="24"/>
                <w:szCs w:val="22"/>
                <w:highlight w:val="none"/>
              </w:rPr>
              <w:t>中</w:t>
            </w:r>
            <w:r>
              <w:rPr>
                <w:sz w:val="24"/>
                <w:szCs w:val="22"/>
                <w:highlight w:val="none"/>
              </w:rPr>
              <w:t>TSP、</w:t>
            </w:r>
            <w:r>
              <w:rPr>
                <w:rFonts w:hint="eastAsia"/>
                <w:sz w:val="24"/>
                <w:szCs w:val="22"/>
                <w:highlight w:val="none"/>
              </w:rPr>
              <w:t>NO</w:t>
            </w:r>
            <w:r>
              <w:rPr>
                <w:rFonts w:hint="eastAsia"/>
                <w:sz w:val="24"/>
                <w:szCs w:val="22"/>
                <w:highlight w:val="none"/>
                <w:vertAlign w:val="subscript"/>
              </w:rPr>
              <w:t>x</w:t>
            </w:r>
            <w:r>
              <w:rPr>
                <w:sz w:val="24"/>
                <w:szCs w:val="22"/>
                <w:highlight w:val="none"/>
              </w:rPr>
              <w:t>满足《环境空气质量标准》（GB3095-2012）中的二级标准要求。</w:t>
            </w:r>
          </w:p>
          <w:p w14:paraId="5F2676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1"/>
              <w:rPr>
                <w:b/>
                <w:sz w:val="24"/>
                <w:highlight w:val="none"/>
              </w:rPr>
            </w:pPr>
            <w:r>
              <w:rPr>
                <w:rFonts w:hint="eastAsia"/>
                <w:b/>
                <w:sz w:val="24"/>
                <w:highlight w:val="none"/>
              </w:rPr>
              <w:t>2</w:t>
            </w:r>
            <w:r>
              <w:rPr>
                <w:rFonts w:hint="eastAsia"/>
                <w:b/>
                <w:sz w:val="24"/>
                <w:highlight w:val="none"/>
                <w:lang w:val="en-US" w:eastAsia="zh-CN"/>
              </w:rPr>
              <w:t>.</w:t>
            </w:r>
            <w:r>
              <w:rPr>
                <w:rFonts w:hint="eastAsia"/>
                <w:b/>
                <w:sz w:val="24"/>
                <w:highlight w:val="none"/>
              </w:rPr>
              <w:t>地表水环境质量现状</w:t>
            </w:r>
          </w:p>
          <w:p w14:paraId="01064254">
            <w:pPr>
              <w:keepNext w:val="0"/>
              <w:keepLines w:val="0"/>
              <w:pageBreakBefore w:val="0"/>
              <w:widowControl w:val="0"/>
              <w:tabs>
                <w:tab w:val="left" w:pos="4057"/>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bCs/>
                <w:color w:val="000000"/>
                <w:sz w:val="24"/>
                <w:szCs w:val="20"/>
              </w:rPr>
            </w:pPr>
            <w:r>
              <w:rPr>
                <w:rFonts w:ascii="Times New Roman" w:hAnsi="Times New Roman"/>
                <w:bCs/>
                <w:color w:val="000000"/>
                <w:sz w:val="24"/>
                <w:szCs w:val="20"/>
              </w:rPr>
              <w:t>本次评价引用宝鸡市生态环境局发布的</w:t>
            </w:r>
            <w:r>
              <w:rPr>
                <w:rFonts w:hint="eastAsia" w:ascii="Times New Roman" w:hAnsi="Times New Roman"/>
                <w:bCs/>
                <w:color w:val="000000"/>
                <w:sz w:val="24"/>
                <w:szCs w:val="20"/>
              </w:rPr>
              <w:t>202</w:t>
            </w:r>
            <w:r>
              <w:rPr>
                <w:rFonts w:hint="eastAsia" w:ascii="Times New Roman" w:hAnsi="Times New Roman"/>
                <w:bCs/>
                <w:color w:val="000000"/>
                <w:sz w:val="24"/>
                <w:szCs w:val="20"/>
                <w:lang w:val="en-US" w:eastAsia="zh-CN"/>
              </w:rPr>
              <w:t>3</w:t>
            </w:r>
            <w:r>
              <w:rPr>
                <w:rFonts w:hint="eastAsia" w:ascii="Times New Roman" w:hAnsi="Times New Roman"/>
                <w:bCs/>
                <w:color w:val="000000"/>
                <w:sz w:val="24"/>
                <w:szCs w:val="20"/>
              </w:rPr>
              <w:t>年宝鸡市环境质量公报</w:t>
            </w:r>
            <w:r>
              <w:rPr>
                <w:rFonts w:ascii="Times New Roman" w:hAnsi="Times New Roman"/>
                <w:bCs/>
                <w:color w:val="000000"/>
                <w:sz w:val="24"/>
                <w:szCs w:val="20"/>
              </w:rPr>
              <w:t>中</w:t>
            </w:r>
            <w:r>
              <w:rPr>
                <w:rFonts w:hint="eastAsia" w:ascii="Times New Roman" w:hAnsi="Times New Roman"/>
                <w:bCs/>
                <w:color w:val="000000"/>
                <w:sz w:val="24"/>
                <w:szCs w:val="20"/>
              </w:rPr>
              <w:t>202</w:t>
            </w:r>
            <w:r>
              <w:rPr>
                <w:rFonts w:hint="eastAsia" w:ascii="Times New Roman" w:hAnsi="Times New Roman"/>
                <w:bCs/>
                <w:color w:val="000000"/>
                <w:sz w:val="24"/>
                <w:szCs w:val="20"/>
                <w:lang w:val="en-US" w:eastAsia="zh-CN"/>
              </w:rPr>
              <w:t>3</w:t>
            </w:r>
            <w:r>
              <w:rPr>
                <w:rFonts w:hint="eastAsia" w:ascii="Times New Roman" w:hAnsi="Times New Roman"/>
                <w:bCs/>
                <w:color w:val="000000"/>
                <w:sz w:val="24"/>
                <w:szCs w:val="20"/>
              </w:rPr>
              <w:t>年凤翔区</w:t>
            </w:r>
            <w:r>
              <w:rPr>
                <w:rFonts w:ascii="Times New Roman" w:hAnsi="Times New Roman"/>
                <w:bCs/>
                <w:color w:val="000000"/>
                <w:sz w:val="24"/>
              </w:rPr>
              <w:t>上游</w:t>
            </w:r>
            <w:r>
              <w:rPr>
                <w:rFonts w:hint="eastAsia" w:ascii="Times New Roman" w:hAnsi="Times New Roman"/>
                <w:bCs/>
                <w:color w:val="000000"/>
                <w:sz w:val="24"/>
              </w:rPr>
              <w:t>千</w:t>
            </w:r>
            <w:r>
              <w:rPr>
                <w:rFonts w:hint="eastAsia" w:ascii="Times New Roman" w:hAnsi="Times New Roman"/>
                <w:bCs/>
                <w:color w:val="000000"/>
                <w:sz w:val="24"/>
                <w:lang w:val="en-US" w:eastAsia="zh-CN"/>
              </w:rPr>
              <w:t>河</w:t>
            </w:r>
            <w:r>
              <w:rPr>
                <w:rFonts w:hint="eastAsia" w:ascii="Times New Roman" w:hAnsi="Times New Roman"/>
                <w:bCs/>
                <w:color w:val="000000"/>
                <w:sz w:val="24"/>
              </w:rPr>
              <w:t>公路桥</w:t>
            </w:r>
            <w:r>
              <w:rPr>
                <w:rFonts w:ascii="Times New Roman" w:hAnsi="Times New Roman"/>
                <w:bCs/>
                <w:color w:val="000000"/>
                <w:sz w:val="24"/>
                <w:szCs w:val="20"/>
              </w:rPr>
              <w:t>断面</w:t>
            </w:r>
            <w:r>
              <w:rPr>
                <w:rFonts w:ascii="Times New Roman" w:hAnsi="Times New Roman"/>
                <w:bCs/>
                <w:color w:val="000000"/>
                <w:sz w:val="24"/>
              </w:rPr>
              <w:t>和下游</w:t>
            </w:r>
            <w:r>
              <w:rPr>
                <w:rFonts w:hint="eastAsia" w:ascii="Times New Roman" w:hAnsi="Times New Roman"/>
                <w:bCs/>
                <w:color w:val="000000"/>
                <w:sz w:val="24"/>
              </w:rPr>
              <w:t>千河入渭口</w:t>
            </w:r>
            <w:r>
              <w:rPr>
                <w:rFonts w:ascii="Times New Roman" w:hAnsi="Times New Roman"/>
                <w:bCs/>
                <w:color w:val="000000"/>
                <w:sz w:val="24"/>
                <w:szCs w:val="20"/>
              </w:rPr>
              <w:t>断面的</w:t>
            </w:r>
            <w:r>
              <w:rPr>
                <w:rFonts w:hint="eastAsia" w:ascii="Times New Roman" w:hAnsi="Times New Roman"/>
                <w:bCs/>
                <w:color w:val="000000"/>
                <w:sz w:val="24"/>
                <w:szCs w:val="20"/>
              </w:rPr>
              <w:t>水质状况</w:t>
            </w:r>
            <w:r>
              <w:rPr>
                <w:rFonts w:ascii="Times New Roman" w:hAnsi="Times New Roman"/>
                <w:bCs/>
                <w:color w:val="000000"/>
                <w:sz w:val="24"/>
                <w:szCs w:val="20"/>
              </w:rPr>
              <w:t>。本次引用水</w:t>
            </w:r>
            <w:r>
              <w:rPr>
                <w:rFonts w:hint="eastAsia" w:ascii="Times New Roman" w:hAnsi="Times New Roman"/>
                <w:bCs/>
                <w:color w:val="000000"/>
                <w:sz w:val="24"/>
                <w:szCs w:val="20"/>
              </w:rPr>
              <w:t>质状况</w:t>
            </w:r>
            <w:r>
              <w:rPr>
                <w:rFonts w:ascii="Times New Roman" w:hAnsi="Times New Roman"/>
                <w:bCs/>
                <w:color w:val="000000"/>
                <w:sz w:val="24"/>
                <w:szCs w:val="20"/>
              </w:rPr>
              <w:t>的时间为202</w:t>
            </w:r>
            <w:r>
              <w:rPr>
                <w:rFonts w:hint="eastAsia" w:ascii="Times New Roman" w:hAnsi="Times New Roman"/>
                <w:bCs/>
                <w:color w:val="000000"/>
                <w:sz w:val="24"/>
                <w:szCs w:val="20"/>
                <w:lang w:val="en-US" w:eastAsia="zh-CN"/>
              </w:rPr>
              <w:t>3</w:t>
            </w:r>
            <w:r>
              <w:rPr>
                <w:rFonts w:ascii="Times New Roman" w:hAnsi="Times New Roman"/>
                <w:bCs/>
                <w:color w:val="000000"/>
                <w:sz w:val="24"/>
                <w:szCs w:val="20"/>
              </w:rPr>
              <w:t>年，监测断面位于本项目区域主要水体</w:t>
            </w:r>
            <w:r>
              <w:rPr>
                <w:rFonts w:hint="eastAsia" w:ascii="Times New Roman" w:hAnsi="Times New Roman"/>
                <w:bCs/>
                <w:color w:val="000000"/>
                <w:sz w:val="24"/>
                <w:szCs w:val="20"/>
              </w:rPr>
              <w:t>千河</w:t>
            </w:r>
            <w:r>
              <w:rPr>
                <w:rFonts w:ascii="Times New Roman" w:hAnsi="Times New Roman"/>
                <w:bCs/>
                <w:color w:val="000000"/>
                <w:sz w:val="24"/>
                <w:szCs w:val="20"/>
              </w:rPr>
              <w:t>，因此本项目引用数据具有一定的代表性、有效性。</w:t>
            </w:r>
            <w:r>
              <w:rPr>
                <w:rFonts w:hint="eastAsia" w:ascii="Times New Roman" w:hAnsi="Times New Roman"/>
                <w:bCs/>
                <w:color w:val="000000"/>
                <w:sz w:val="24"/>
                <w:szCs w:val="20"/>
              </w:rPr>
              <w:t>地表水环境质量状况</w:t>
            </w:r>
            <w:r>
              <w:rPr>
                <w:rFonts w:ascii="Times New Roman" w:hAnsi="Times New Roman"/>
                <w:bCs/>
                <w:color w:val="000000"/>
                <w:sz w:val="24"/>
                <w:szCs w:val="20"/>
              </w:rPr>
              <w:t>见表3-</w:t>
            </w:r>
            <w:r>
              <w:rPr>
                <w:rFonts w:hint="eastAsia" w:ascii="Times New Roman" w:hAnsi="Times New Roman"/>
                <w:bCs/>
                <w:color w:val="000000"/>
                <w:sz w:val="24"/>
                <w:szCs w:val="20"/>
                <w:lang w:val="en-US" w:eastAsia="zh-CN"/>
              </w:rPr>
              <w:t>4</w:t>
            </w:r>
            <w:r>
              <w:rPr>
                <w:rFonts w:ascii="Times New Roman" w:hAnsi="Times New Roman"/>
                <w:bCs/>
                <w:color w:val="000000"/>
                <w:sz w:val="24"/>
                <w:szCs w:val="20"/>
              </w:rPr>
              <w:t>。</w:t>
            </w:r>
          </w:p>
          <w:p w14:paraId="215A24F0">
            <w:pPr>
              <w:jc w:val="center"/>
              <w:rPr>
                <w:rFonts w:ascii="Times New Roman" w:hAnsi="Times New Roman"/>
                <w:b w:val="0"/>
                <w:bCs w:val="0"/>
                <w:color w:val="000000"/>
                <w:sz w:val="24"/>
              </w:rPr>
            </w:pPr>
            <w:r>
              <w:rPr>
                <w:rFonts w:ascii="Times New Roman" w:hAnsi="Times New Roman"/>
                <w:b w:val="0"/>
                <w:bCs w:val="0"/>
                <w:color w:val="000000"/>
                <w:sz w:val="24"/>
              </w:rPr>
              <w:t>表3-</w:t>
            </w:r>
            <w:r>
              <w:rPr>
                <w:rFonts w:hint="eastAsia" w:ascii="Times New Roman" w:hAnsi="Times New Roman"/>
                <w:b w:val="0"/>
                <w:bCs w:val="0"/>
                <w:color w:val="000000"/>
                <w:sz w:val="24"/>
                <w:lang w:val="en-US" w:eastAsia="zh-CN"/>
              </w:rPr>
              <w:t>4</w:t>
            </w:r>
            <w:r>
              <w:rPr>
                <w:rFonts w:ascii="Times New Roman" w:hAnsi="Times New Roman"/>
                <w:b w:val="0"/>
                <w:bCs w:val="0"/>
                <w:color w:val="000000"/>
                <w:sz w:val="24"/>
              </w:rPr>
              <w:t xml:space="preserve">  </w:t>
            </w:r>
            <w:r>
              <w:rPr>
                <w:rFonts w:hint="eastAsia" w:ascii="Times New Roman" w:hAnsi="Times New Roman"/>
                <w:b w:val="0"/>
                <w:bCs w:val="0"/>
                <w:color w:val="000000"/>
                <w:sz w:val="24"/>
              </w:rPr>
              <w:t>宝鸡市2022年1-12月份地表水环境质量状况</w:t>
            </w:r>
          </w:p>
          <w:tbl>
            <w:tblPr>
              <w:tblStyle w:val="11"/>
              <w:tblW w:w="8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53"/>
              <w:gridCol w:w="1431"/>
              <w:gridCol w:w="2192"/>
              <w:gridCol w:w="1628"/>
              <w:gridCol w:w="1629"/>
            </w:tblGrid>
            <w:tr w14:paraId="2A66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53" w:type="dxa"/>
                  <w:vMerge w:val="restart"/>
                  <w:shd w:val="clear" w:color="auto" w:fill="auto"/>
                  <w:noWrap w:val="0"/>
                  <w:vAlign w:val="center"/>
                </w:tcPr>
                <w:p w14:paraId="7C1FEA83">
                  <w:pPr>
                    <w:jc w:val="center"/>
                    <w:rPr>
                      <w:rFonts w:ascii="Times New Roman" w:hAnsi="Times New Roman"/>
                      <w:bCs/>
                      <w:color w:val="000000"/>
                      <w:szCs w:val="21"/>
                    </w:rPr>
                  </w:pPr>
                  <w:r>
                    <w:rPr>
                      <w:rFonts w:ascii="Times New Roman" w:hAnsi="Times New Roman"/>
                      <w:bCs/>
                      <w:color w:val="000000"/>
                      <w:szCs w:val="21"/>
                    </w:rPr>
                    <w:t>河流名称</w:t>
                  </w:r>
                </w:p>
              </w:tc>
              <w:tc>
                <w:tcPr>
                  <w:tcW w:w="1431" w:type="dxa"/>
                  <w:vMerge w:val="restart"/>
                  <w:shd w:val="clear" w:color="auto" w:fill="auto"/>
                  <w:noWrap w:val="0"/>
                  <w:vAlign w:val="center"/>
                </w:tcPr>
                <w:p w14:paraId="4D9EC22C">
                  <w:pPr>
                    <w:jc w:val="center"/>
                    <w:rPr>
                      <w:rFonts w:ascii="Times New Roman" w:hAnsi="Times New Roman"/>
                      <w:bCs/>
                      <w:color w:val="000000"/>
                      <w:szCs w:val="21"/>
                    </w:rPr>
                  </w:pPr>
                  <w:r>
                    <w:rPr>
                      <w:rFonts w:ascii="Times New Roman" w:hAnsi="Times New Roman"/>
                      <w:bCs/>
                      <w:color w:val="000000"/>
                      <w:szCs w:val="21"/>
                    </w:rPr>
                    <w:t>断面名称</w:t>
                  </w:r>
                </w:p>
              </w:tc>
              <w:tc>
                <w:tcPr>
                  <w:tcW w:w="2192" w:type="dxa"/>
                  <w:vMerge w:val="restart"/>
                  <w:shd w:val="clear" w:color="auto" w:fill="auto"/>
                  <w:noWrap w:val="0"/>
                  <w:vAlign w:val="center"/>
                </w:tcPr>
                <w:p w14:paraId="05347995">
                  <w:pPr>
                    <w:jc w:val="center"/>
                    <w:rPr>
                      <w:rFonts w:ascii="Times New Roman" w:hAnsi="Times New Roman"/>
                      <w:bCs/>
                      <w:color w:val="000000"/>
                      <w:szCs w:val="21"/>
                    </w:rPr>
                  </w:pPr>
                  <w:r>
                    <w:rPr>
                      <w:rFonts w:ascii="Times New Roman" w:hAnsi="Times New Roman"/>
                      <w:bCs/>
                      <w:color w:val="000000"/>
                      <w:szCs w:val="21"/>
                    </w:rPr>
                    <w:t>水质</w:t>
                  </w:r>
                  <w:r>
                    <w:rPr>
                      <w:rFonts w:hint="eastAsia" w:ascii="Times New Roman" w:hAnsi="Times New Roman"/>
                      <w:bCs/>
                      <w:color w:val="000000"/>
                      <w:szCs w:val="21"/>
                    </w:rPr>
                    <w:t>功能区断面类别</w:t>
                  </w:r>
                </w:p>
              </w:tc>
              <w:tc>
                <w:tcPr>
                  <w:tcW w:w="3257" w:type="dxa"/>
                  <w:gridSpan w:val="2"/>
                  <w:shd w:val="clear" w:color="auto" w:fill="auto"/>
                  <w:noWrap w:val="0"/>
                  <w:vAlign w:val="center"/>
                </w:tcPr>
                <w:p w14:paraId="3FD0EB65">
                  <w:pPr>
                    <w:jc w:val="center"/>
                    <w:rPr>
                      <w:rFonts w:ascii="Times New Roman" w:hAnsi="Times New Roman"/>
                      <w:bCs/>
                      <w:color w:val="000000"/>
                      <w:szCs w:val="21"/>
                    </w:rPr>
                  </w:pPr>
                  <w:r>
                    <w:rPr>
                      <w:rFonts w:ascii="Times New Roman" w:hAnsi="Times New Roman"/>
                      <w:bCs/>
                      <w:color w:val="000000"/>
                      <w:szCs w:val="21"/>
                    </w:rPr>
                    <w:t>1-12月均值</w:t>
                  </w:r>
                </w:p>
              </w:tc>
            </w:tr>
            <w:tr w14:paraId="3714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Merge w:val="continue"/>
                  <w:shd w:val="clear" w:color="auto" w:fill="auto"/>
                  <w:noWrap w:val="0"/>
                  <w:vAlign w:val="center"/>
                </w:tcPr>
                <w:p w14:paraId="0AFF1A5F">
                  <w:pPr>
                    <w:jc w:val="center"/>
                    <w:rPr>
                      <w:rFonts w:ascii="Times New Roman" w:hAnsi="Times New Roman"/>
                      <w:bCs/>
                      <w:color w:val="000000"/>
                      <w:szCs w:val="21"/>
                    </w:rPr>
                  </w:pPr>
                </w:p>
              </w:tc>
              <w:tc>
                <w:tcPr>
                  <w:tcW w:w="1431" w:type="dxa"/>
                  <w:vMerge w:val="continue"/>
                  <w:shd w:val="clear" w:color="auto" w:fill="auto"/>
                  <w:noWrap w:val="0"/>
                  <w:vAlign w:val="center"/>
                </w:tcPr>
                <w:p w14:paraId="085B425E">
                  <w:pPr>
                    <w:jc w:val="center"/>
                    <w:rPr>
                      <w:rFonts w:ascii="Times New Roman" w:hAnsi="Times New Roman"/>
                      <w:bCs/>
                      <w:color w:val="000000"/>
                      <w:szCs w:val="21"/>
                    </w:rPr>
                  </w:pPr>
                </w:p>
              </w:tc>
              <w:tc>
                <w:tcPr>
                  <w:tcW w:w="2192" w:type="dxa"/>
                  <w:vMerge w:val="continue"/>
                  <w:shd w:val="clear" w:color="auto" w:fill="auto"/>
                  <w:noWrap w:val="0"/>
                  <w:vAlign w:val="center"/>
                </w:tcPr>
                <w:p w14:paraId="6B2ABC87">
                  <w:pPr>
                    <w:jc w:val="center"/>
                    <w:rPr>
                      <w:rFonts w:ascii="Times New Roman" w:hAnsi="Times New Roman"/>
                      <w:bCs/>
                      <w:color w:val="000000"/>
                      <w:szCs w:val="21"/>
                    </w:rPr>
                  </w:pPr>
                </w:p>
              </w:tc>
              <w:tc>
                <w:tcPr>
                  <w:tcW w:w="3257" w:type="dxa"/>
                  <w:gridSpan w:val="2"/>
                  <w:shd w:val="clear" w:color="auto" w:fill="auto"/>
                  <w:noWrap w:val="0"/>
                  <w:vAlign w:val="center"/>
                </w:tcPr>
                <w:p w14:paraId="6435DF18">
                  <w:pPr>
                    <w:jc w:val="center"/>
                    <w:rPr>
                      <w:rFonts w:ascii="Times New Roman" w:hAnsi="Times New Roman"/>
                      <w:bCs/>
                      <w:color w:val="000000"/>
                      <w:szCs w:val="21"/>
                    </w:rPr>
                  </w:pPr>
                  <w:r>
                    <w:rPr>
                      <w:rFonts w:ascii="Times New Roman" w:hAnsi="Times New Roman"/>
                      <w:bCs/>
                      <w:color w:val="000000"/>
                      <w:szCs w:val="21"/>
                    </w:rPr>
                    <w:t>水质状况</w:t>
                  </w:r>
                </w:p>
              </w:tc>
            </w:tr>
            <w:tr w14:paraId="772E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noWrap w:val="0"/>
                  <w:vAlign w:val="center"/>
                </w:tcPr>
                <w:p w14:paraId="5CF00184">
                  <w:pPr>
                    <w:jc w:val="center"/>
                    <w:rPr>
                      <w:rFonts w:ascii="Times New Roman" w:hAnsi="Times New Roman"/>
                      <w:bCs/>
                      <w:color w:val="000000"/>
                      <w:szCs w:val="21"/>
                    </w:rPr>
                  </w:pPr>
                  <w:r>
                    <w:rPr>
                      <w:rFonts w:ascii="Times New Roman" w:hAnsi="Times New Roman"/>
                      <w:bCs/>
                      <w:color w:val="000000"/>
                      <w:szCs w:val="21"/>
                    </w:rPr>
                    <w:t>渭河</w:t>
                  </w:r>
                </w:p>
              </w:tc>
              <w:tc>
                <w:tcPr>
                  <w:tcW w:w="1431" w:type="dxa"/>
                  <w:shd w:val="clear" w:color="auto" w:fill="auto"/>
                  <w:noWrap w:val="0"/>
                  <w:vAlign w:val="center"/>
                </w:tcPr>
                <w:p w14:paraId="1EC630FC">
                  <w:pPr>
                    <w:jc w:val="center"/>
                    <w:rPr>
                      <w:rFonts w:ascii="Times New Roman" w:hAnsi="Times New Roman"/>
                      <w:bCs/>
                      <w:color w:val="000000"/>
                      <w:szCs w:val="21"/>
                    </w:rPr>
                  </w:pPr>
                  <w:r>
                    <w:rPr>
                      <w:rFonts w:hint="eastAsia" w:ascii="Times New Roman" w:hAnsi="Times New Roman"/>
                      <w:bCs/>
                      <w:color w:val="000000"/>
                      <w:szCs w:val="21"/>
                    </w:rPr>
                    <w:t>千</w:t>
                  </w:r>
                  <w:r>
                    <w:rPr>
                      <w:rFonts w:hint="eastAsia" w:ascii="Times New Roman" w:hAnsi="Times New Roman"/>
                      <w:bCs/>
                      <w:color w:val="000000"/>
                      <w:szCs w:val="21"/>
                      <w:lang w:val="en-US" w:eastAsia="zh-CN"/>
                    </w:rPr>
                    <w:t>河</w:t>
                  </w:r>
                  <w:r>
                    <w:rPr>
                      <w:rFonts w:ascii="Times New Roman" w:hAnsi="Times New Roman"/>
                      <w:bCs/>
                      <w:color w:val="000000"/>
                      <w:szCs w:val="21"/>
                    </w:rPr>
                    <w:t>公路桥</w:t>
                  </w:r>
                </w:p>
              </w:tc>
              <w:tc>
                <w:tcPr>
                  <w:tcW w:w="2192" w:type="dxa"/>
                  <w:shd w:val="clear" w:color="auto" w:fill="auto"/>
                  <w:noWrap w:val="0"/>
                  <w:vAlign w:val="center"/>
                </w:tcPr>
                <w:p w14:paraId="4E7DABBA">
                  <w:pPr>
                    <w:jc w:val="center"/>
                    <w:rPr>
                      <w:rFonts w:ascii="Times New Roman" w:hAnsi="Times New Roman"/>
                      <w:bCs/>
                      <w:color w:val="000000"/>
                      <w:szCs w:val="21"/>
                    </w:rPr>
                  </w:pPr>
                  <w:r>
                    <w:rPr>
                      <w:rFonts w:ascii="Times New Roman" w:hAnsi="Times New Roman"/>
                      <w:bCs/>
                      <w:color w:val="000000"/>
                      <w:szCs w:val="21"/>
                    </w:rPr>
                    <w:t>Ⅲ类</w:t>
                  </w:r>
                </w:p>
              </w:tc>
              <w:tc>
                <w:tcPr>
                  <w:tcW w:w="1628" w:type="dxa"/>
                  <w:shd w:val="clear" w:color="auto" w:fill="auto"/>
                  <w:noWrap w:val="0"/>
                  <w:vAlign w:val="center"/>
                </w:tcPr>
                <w:p w14:paraId="6B9B9E39">
                  <w:pPr>
                    <w:jc w:val="center"/>
                    <w:rPr>
                      <w:rFonts w:ascii="Times New Roman" w:hAnsi="Times New Roman"/>
                      <w:bCs/>
                      <w:color w:val="000000"/>
                      <w:szCs w:val="21"/>
                    </w:rPr>
                  </w:pPr>
                  <w:r>
                    <w:rPr>
                      <w:rFonts w:ascii="Times New Roman" w:hAnsi="Times New Roman"/>
                      <w:bCs/>
                      <w:color w:val="000000"/>
                      <w:szCs w:val="21"/>
                    </w:rPr>
                    <w:t>Ⅱ类</w:t>
                  </w:r>
                </w:p>
              </w:tc>
              <w:tc>
                <w:tcPr>
                  <w:tcW w:w="1629" w:type="dxa"/>
                  <w:shd w:val="clear" w:color="auto" w:fill="auto"/>
                  <w:noWrap w:val="0"/>
                  <w:vAlign w:val="center"/>
                </w:tcPr>
                <w:p w14:paraId="4D8AF7C6">
                  <w:pPr>
                    <w:jc w:val="center"/>
                    <w:rPr>
                      <w:rFonts w:hint="eastAsia" w:ascii="Times New Roman" w:hAnsi="Times New Roman" w:eastAsia="宋体"/>
                      <w:bCs/>
                      <w:color w:val="000000"/>
                      <w:szCs w:val="21"/>
                      <w:lang w:eastAsia="zh-CN"/>
                    </w:rPr>
                  </w:pPr>
                  <w:r>
                    <w:rPr>
                      <w:rFonts w:hint="eastAsia" w:ascii="Times New Roman" w:hAnsi="Times New Roman"/>
                      <w:bCs/>
                      <w:color w:val="000000"/>
                      <w:szCs w:val="21"/>
                      <w:lang w:val="en-US" w:eastAsia="zh-CN"/>
                    </w:rPr>
                    <w:t>优</w:t>
                  </w:r>
                </w:p>
              </w:tc>
            </w:tr>
            <w:tr w14:paraId="57AB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53" w:type="dxa"/>
                  <w:shd w:val="clear" w:color="auto" w:fill="auto"/>
                  <w:noWrap w:val="0"/>
                  <w:vAlign w:val="center"/>
                </w:tcPr>
                <w:p w14:paraId="1C7A2382">
                  <w:pPr>
                    <w:jc w:val="center"/>
                    <w:rPr>
                      <w:rFonts w:ascii="Times New Roman" w:hAnsi="Times New Roman"/>
                      <w:bCs/>
                      <w:color w:val="000000"/>
                      <w:szCs w:val="21"/>
                    </w:rPr>
                  </w:pPr>
                  <w:r>
                    <w:rPr>
                      <w:rFonts w:ascii="Times New Roman" w:hAnsi="Times New Roman"/>
                      <w:bCs/>
                      <w:color w:val="000000"/>
                      <w:szCs w:val="21"/>
                    </w:rPr>
                    <w:t>渭河</w:t>
                  </w:r>
                </w:p>
              </w:tc>
              <w:tc>
                <w:tcPr>
                  <w:tcW w:w="1431" w:type="dxa"/>
                  <w:shd w:val="clear" w:color="auto" w:fill="auto"/>
                  <w:noWrap w:val="0"/>
                  <w:vAlign w:val="center"/>
                </w:tcPr>
                <w:p w14:paraId="70FF7B5C">
                  <w:pPr>
                    <w:jc w:val="center"/>
                    <w:rPr>
                      <w:rFonts w:ascii="Times New Roman" w:hAnsi="Times New Roman"/>
                      <w:bCs/>
                      <w:color w:val="000000"/>
                      <w:szCs w:val="21"/>
                    </w:rPr>
                  </w:pPr>
                  <w:r>
                    <w:rPr>
                      <w:rFonts w:ascii="Times New Roman" w:hAnsi="Times New Roman"/>
                      <w:bCs/>
                      <w:color w:val="000000"/>
                      <w:szCs w:val="21"/>
                    </w:rPr>
                    <w:t>千河入渭口</w:t>
                  </w:r>
                </w:p>
              </w:tc>
              <w:tc>
                <w:tcPr>
                  <w:tcW w:w="2192" w:type="dxa"/>
                  <w:shd w:val="clear" w:color="auto" w:fill="auto"/>
                  <w:noWrap w:val="0"/>
                  <w:vAlign w:val="center"/>
                </w:tcPr>
                <w:p w14:paraId="79948C33">
                  <w:pPr>
                    <w:jc w:val="center"/>
                    <w:rPr>
                      <w:rFonts w:ascii="Times New Roman" w:hAnsi="Times New Roman"/>
                      <w:bCs/>
                      <w:color w:val="000000"/>
                      <w:szCs w:val="21"/>
                    </w:rPr>
                  </w:pPr>
                  <w:r>
                    <w:rPr>
                      <w:rFonts w:ascii="Times New Roman" w:hAnsi="Times New Roman"/>
                      <w:bCs/>
                      <w:color w:val="000000"/>
                      <w:szCs w:val="21"/>
                    </w:rPr>
                    <w:t>Ⅲ类</w:t>
                  </w:r>
                </w:p>
              </w:tc>
              <w:tc>
                <w:tcPr>
                  <w:tcW w:w="1628" w:type="dxa"/>
                  <w:shd w:val="clear" w:color="auto" w:fill="auto"/>
                  <w:noWrap w:val="0"/>
                  <w:vAlign w:val="center"/>
                </w:tcPr>
                <w:p w14:paraId="1212BF8B">
                  <w:pPr>
                    <w:jc w:val="center"/>
                    <w:rPr>
                      <w:rFonts w:ascii="Times New Roman" w:hAnsi="Times New Roman"/>
                      <w:bCs/>
                      <w:color w:val="000000"/>
                      <w:szCs w:val="21"/>
                    </w:rPr>
                  </w:pPr>
                  <w:r>
                    <w:rPr>
                      <w:rFonts w:ascii="Times New Roman" w:hAnsi="Times New Roman"/>
                      <w:bCs/>
                      <w:color w:val="000000"/>
                      <w:szCs w:val="21"/>
                    </w:rPr>
                    <w:t>Ⅱ类</w:t>
                  </w:r>
                </w:p>
              </w:tc>
              <w:tc>
                <w:tcPr>
                  <w:tcW w:w="1629" w:type="dxa"/>
                  <w:shd w:val="clear" w:color="auto" w:fill="auto"/>
                  <w:noWrap w:val="0"/>
                  <w:vAlign w:val="center"/>
                </w:tcPr>
                <w:p w14:paraId="28317309">
                  <w:pPr>
                    <w:jc w:val="center"/>
                    <w:rPr>
                      <w:rFonts w:ascii="Times New Roman" w:hAnsi="Times New Roman"/>
                      <w:bCs/>
                      <w:color w:val="000000"/>
                      <w:szCs w:val="21"/>
                    </w:rPr>
                  </w:pPr>
                  <w:r>
                    <w:rPr>
                      <w:rFonts w:hint="eastAsia" w:ascii="Times New Roman" w:hAnsi="Times New Roman"/>
                      <w:bCs/>
                      <w:color w:val="000000"/>
                      <w:szCs w:val="21"/>
                      <w:lang w:val="en-US" w:eastAsia="zh-CN"/>
                    </w:rPr>
                    <w:t>优</w:t>
                  </w:r>
                </w:p>
              </w:tc>
            </w:tr>
          </w:tbl>
          <w:p w14:paraId="67A964FC">
            <w:pPr>
              <w:keepNext w:val="0"/>
              <w:keepLines w:val="0"/>
              <w:pageBreakBefore w:val="0"/>
              <w:widowControl w:val="0"/>
              <w:tabs>
                <w:tab w:val="left" w:pos="4057"/>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bCs/>
                <w:color w:val="000000"/>
                <w:sz w:val="24"/>
                <w:szCs w:val="20"/>
              </w:rPr>
            </w:pPr>
            <w:r>
              <w:rPr>
                <w:rFonts w:ascii="Times New Roman" w:hAnsi="Times New Roman"/>
                <w:bCs/>
                <w:color w:val="000000"/>
                <w:sz w:val="24"/>
                <w:szCs w:val="20"/>
              </w:rPr>
              <w:t>由表3-</w:t>
            </w:r>
            <w:r>
              <w:rPr>
                <w:rFonts w:hint="eastAsia" w:ascii="Times New Roman" w:hAnsi="Times New Roman"/>
                <w:bCs/>
                <w:color w:val="000000"/>
                <w:sz w:val="24"/>
                <w:szCs w:val="20"/>
              </w:rPr>
              <w:t>2</w:t>
            </w:r>
            <w:r>
              <w:rPr>
                <w:rFonts w:ascii="Times New Roman" w:hAnsi="Times New Roman"/>
                <w:bCs/>
                <w:color w:val="000000"/>
                <w:sz w:val="24"/>
                <w:szCs w:val="20"/>
              </w:rPr>
              <w:t>可知，</w:t>
            </w:r>
            <w:r>
              <w:rPr>
                <w:rFonts w:ascii="Times New Roman" w:hAnsi="Times New Roman"/>
                <w:bCs/>
                <w:color w:val="000000"/>
                <w:sz w:val="24"/>
              </w:rPr>
              <w:t>上游</w:t>
            </w:r>
            <w:r>
              <w:rPr>
                <w:rFonts w:hint="eastAsia" w:ascii="Times New Roman" w:hAnsi="Times New Roman"/>
                <w:bCs/>
                <w:color w:val="000000"/>
                <w:sz w:val="24"/>
                <w:lang w:val="en-US" w:eastAsia="zh-CN"/>
              </w:rPr>
              <w:t>千河</w:t>
            </w:r>
            <w:r>
              <w:rPr>
                <w:rFonts w:hint="eastAsia" w:ascii="Times New Roman" w:hAnsi="Times New Roman"/>
                <w:bCs/>
                <w:color w:val="000000"/>
                <w:sz w:val="24"/>
              </w:rPr>
              <w:t>公路桥</w:t>
            </w:r>
            <w:r>
              <w:rPr>
                <w:rFonts w:ascii="Times New Roman" w:hAnsi="Times New Roman"/>
                <w:bCs/>
                <w:color w:val="000000"/>
                <w:sz w:val="24"/>
                <w:szCs w:val="20"/>
              </w:rPr>
              <w:t>断</w:t>
            </w:r>
            <w:r>
              <w:rPr>
                <w:rFonts w:hint="eastAsia" w:ascii="Times New Roman" w:hAnsi="Times New Roman"/>
                <w:bCs/>
                <w:color w:val="000000"/>
                <w:sz w:val="24"/>
              </w:rPr>
              <w:t>面和下游千河入渭口断面河流水质状况均能满足所在区域水质功能区断面类别《地表水环境质量标准》（GB 3838-2002）</w:t>
            </w:r>
            <w:r>
              <w:rPr>
                <w:rFonts w:ascii="Times New Roman" w:hAnsi="Times New Roman"/>
                <w:bCs/>
                <w:color w:val="000000"/>
                <w:sz w:val="24"/>
              </w:rPr>
              <w:t>Ⅲ</w:t>
            </w:r>
            <w:r>
              <w:rPr>
                <w:rFonts w:hint="eastAsia" w:ascii="Times New Roman" w:hAnsi="Times New Roman"/>
                <w:bCs/>
                <w:color w:val="000000"/>
                <w:sz w:val="24"/>
              </w:rPr>
              <w:t>类标</w:t>
            </w:r>
            <w:r>
              <w:rPr>
                <w:rFonts w:ascii="Times New Roman" w:hAnsi="Times New Roman"/>
                <w:bCs/>
                <w:color w:val="000000"/>
                <w:sz w:val="24"/>
                <w:szCs w:val="20"/>
              </w:rPr>
              <w:t>准要求</w:t>
            </w:r>
            <w:r>
              <w:rPr>
                <w:rFonts w:hint="eastAsia" w:ascii="Times New Roman" w:hAnsi="Times New Roman"/>
                <w:bCs/>
                <w:color w:val="000000"/>
                <w:sz w:val="24"/>
                <w:szCs w:val="20"/>
              </w:rPr>
              <w:t>。</w:t>
            </w:r>
          </w:p>
          <w:p w14:paraId="4436418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1"/>
              <w:rPr>
                <w:b/>
                <w:sz w:val="24"/>
              </w:rPr>
            </w:pPr>
            <w:r>
              <w:rPr>
                <w:b/>
                <w:sz w:val="24"/>
              </w:rPr>
              <w:t>3</w:t>
            </w:r>
            <w:r>
              <w:rPr>
                <w:rFonts w:hint="eastAsia"/>
                <w:b/>
                <w:sz w:val="24"/>
                <w:lang w:val="en-US" w:eastAsia="zh-CN"/>
              </w:rPr>
              <w:t>.</w:t>
            </w:r>
            <w:r>
              <w:rPr>
                <w:b/>
                <w:sz w:val="24"/>
              </w:rPr>
              <w:t>声环境质量现状</w:t>
            </w:r>
          </w:p>
          <w:p w14:paraId="59BAC708">
            <w:pPr>
              <w:keepNext w:val="0"/>
              <w:keepLines w:val="0"/>
              <w:pageBreakBefore w:val="0"/>
              <w:widowControl w:val="0"/>
              <w:tabs>
                <w:tab w:val="left" w:pos="4266"/>
              </w:tabs>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本项目</w:t>
            </w:r>
            <w:r>
              <w:rPr>
                <w:sz w:val="24"/>
              </w:rPr>
              <w:t>周边50</w:t>
            </w:r>
            <w:r>
              <w:rPr>
                <w:rFonts w:hint="eastAsia"/>
                <w:sz w:val="24"/>
              </w:rPr>
              <w:t>m</w:t>
            </w:r>
            <w:r>
              <w:rPr>
                <w:sz w:val="24"/>
              </w:rPr>
              <w:t>范围内无环境敏感点，不进行质量现状监测。</w:t>
            </w:r>
          </w:p>
          <w:p w14:paraId="311D8F3E">
            <w:pPr>
              <w:keepNext w:val="0"/>
              <w:keepLines w:val="0"/>
              <w:pageBreakBefore w:val="0"/>
              <w:widowControl w:val="0"/>
              <w:tabs>
                <w:tab w:val="left" w:pos="4266"/>
              </w:tabs>
              <w:kinsoku/>
              <w:wordWrap/>
              <w:overflowPunct/>
              <w:topLinePunct w:val="0"/>
              <w:autoSpaceDE/>
              <w:autoSpaceDN/>
              <w:bidi w:val="0"/>
              <w:adjustRightInd w:val="0"/>
              <w:snapToGrid w:val="0"/>
              <w:spacing w:line="360" w:lineRule="auto"/>
              <w:ind w:firstLine="482" w:firstLineChars="200"/>
              <w:textAlignment w:val="auto"/>
              <w:rPr>
                <w:b/>
                <w:sz w:val="24"/>
              </w:rPr>
            </w:pPr>
            <w:r>
              <w:rPr>
                <w:b/>
                <w:sz w:val="24"/>
              </w:rPr>
              <w:t>4</w:t>
            </w:r>
            <w:r>
              <w:rPr>
                <w:rFonts w:hint="eastAsia"/>
                <w:b/>
                <w:sz w:val="24"/>
                <w:lang w:val="en-US" w:eastAsia="zh-CN"/>
              </w:rPr>
              <w:t>.</w:t>
            </w:r>
            <w:r>
              <w:rPr>
                <w:b/>
                <w:sz w:val="24"/>
              </w:rPr>
              <w:t>地下水环境质量现状</w:t>
            </w:r>
          </w:p>
          <w:p w14:paraId="2071F6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hAnsi="宋体"/>
                <w:sz w:val="24"/>
              </w:rPr>
              <w:t>经调查本项目</w:t>
            </w:r>
            <w:r>
              <w:rPr>
                <w:rFonts w:hAnsi="宋体"/>
                <w:sz w:val="24"/>
              </w:rPr>
              <w:t>500m范围内无地下水集中式饮用水水源、矿泉水以及温泉等特殊地下水资源。结合项目实际情况，</w:t>
            </w:r>
            <w:r>
              <w:rPr>
                <w:rFonts w:hint="eastAsia" w:hAnsi="宋体"/>
                <w:sz w:val="24"/>
              </w:rPr>
              <w:t>生产废水不外排，项目厂区及生产车间地面均进行硬化防渗，</w:t>
            </w:r>
            <w:r>
              <w:rPr>
                <w:rFonts w:hint="eastAsia"/>
                <w:bCs/>
                <w:sz w:val="24"/>
              </w:rPr>
              <w:t>正常生产过程中</w:t>
            </w:r>
            <w:r>
              <w:rPr>
                <w:rFonts w:hAnsi="宋体"/>
                <w:sz w:val="24"/>
              </w:rPr>
              <w:t>无地下水污染途径，不开展地下水环境质量现状调查。</w:t>
            </w:r>
          </w:p>
          <w:p w14:paraId="7FD7C586">
            <w:pPr>
              <w:keepNext w:val="0"/>
              <w:keepLines w:val="0"/>
              <w:pageBreakBefore w:val="0"/>
              <w:widowControl w:val="0"/>
              <w:numPr>
                <w:ilvl w:val="0"/>
                <w:numId w:val="0"/>
              </w:numPr>
              <w:tabs>
                <w:tab w:val="left" w:pos="4266"/>
              </w:tabs>
              <w:kinsoku/>
              <w:wordWrap/>
              <w:overflowPunct/>
              <w:topLinePunct w:val="0"/>
              <w:autoSpaceDE/>
              <w:autoSpaceDN/>
              <w:bidi w:val="0"/>
              <w:adjustRightInd w:val="0"/>
              <w:snapToGrid w:val="0"/>
              <w:spacing w:line="360" w:lineRule="auto"/>
              <w:ind w:left="630" w:leftChars="0"/>
              <w:textAlignment w:val="auto"/>
              <w:rPr>
                <w:b/>
                <w:sz w:val="24"/>
              </w:rPr>
            </w:pPr>
            <w:r>
              <w:rPr>
                <w:rFonts w:hint="eastAsia"/>
                <w:b/>
                <w:sz w:val="24"/>
                <w:lang w:val="en-US" w:eastAsia="zh-CN"/>
              </w:rPr>
              <w:t>5.</w:t>
            </w:r>
            <w:r>
              <w:rPr>
                <w:rFonts w:hint="eastAsia"/>
                <w:b/>
                <w:sz w:val="24"/>
              </w:rPr>
              <w:t>土壤环境</w:t>
            </w:r>
            <w:r>
              <w:rPr>
                <w:b/>
                <w:sz w:val="24"/>
              </w:rPr>
              <w:t>质量现状</w:t>
            </w:r>
          </w:p>
          <w:p w14:paraId="40CE50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kern w:val="0"/>
                <w:szCs w:val="21"/>
              </w:rPr>
            </w:pPr>
            <w:r>
              <w:rPr>
                <w:rFonts w:hint="eastAsia"/>
                <w:bCs/>
                <w:sz w:val="24"/>
              </w:rPr>
              <w:t>根据项目生产工艺特点，本次环评结合项目污染源分布情况，项目所在区域地面以及生产厂房地面均采取了分区防渗及拦挡措施，本项目正常生产过程中无土壤环境污染途径，因此本次环评不进行土壤环境质量现状背景值监测。</w:t>
            </w:r>
          </w:p>
        </w:tc>
      </w:tr>
      <w:tr w14:paraId="22D7A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800" w:type="dxa"/>
            <w:shd w:val="clear" w:color="auto" w:fill="auto"/>
            <w:noWrap w:val="0"/>
            <w:vAlign w:val="center"/>
          </w:tcPr>
          <w:p w14:paraId="4551128B">
            <w:pPr>
              <w:adjustRightInd w:val="0"/>
              <w:snapToGrid w:val="0"/>
              <w:jc w:val="center"/>
              <w:rPr>
                <w:rFonts w:ascii="宋体" w:hAnsi="宋体" w:cs="宋体"/>
                <w:kern w:val="0"/>
                <w:szCs w:val="21"/>
              </w:rPr>
            </w:pPr>
            <w:r>
              <w:rPr>
                <w:rFonts w:hint="eastAsia" w:ascii="宋体" w:hAnsi="宋体" w:cs="宋体"/>
                <w:kern w:val="0"/>
                <w:szCs w:val="21"/>
              </w:rPr>
              <w:t>环境</w:t>
            </w:r>
          </w:p>
          <w:p w14:paraId="069F827A">
            <w:pPr>
              <w:adjustRightInd w:val="0"/>
              <w:snapToGrid w:val="0"/>
              <w:jc w:val="center"/>
              <w:rPr>
                <w:rFonts w:ascii="宋体" w:hAnsi="宋体" w:cs="宋体"/>
                <w:kern w:val="0"/>
                <w:szCs w:val="21"/>
              </w:rPr>
            </w:pPr>
            <w:r>
              <w:rPr>
                <w:rFonts w:hint="eastAsia" w:ascii="宋体" w:hAnsi="宋体" w:cs="宋体"/>
                <w:kern w:val="0"/>
                <w:szCs w:val="21"/>
              </w:rPr>
              <w:t>保护</w:t>
            </w:r>
          </w:p>
          <w:p w14:paraId="396B0FCB">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shd w:val="clear" w:color="auto" w:fill="auto"/>
            <w:noWrap w:val="0"/>
            <w:vAlign w:val="center"/>
          </w:tcPr>
          <w:p w14:paraId="0C79268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hAnsi="宋体"/>
                <w:b/>
                <w:kern w:val="0"/>
                <w:sz w:val="24"/>
              </w:rPr>
            </w:pPr>
            <w:r>
              <w:rPr>
                <w:b/>
                <w:kern w:val="0"/>
                <w:sz w:val="24"/>
              </w:rPr>
              <w:t>1</w:t>
            </w:r>
            <w:r>
              <w:rPr>
                <w:rFonts w:hint="eastAsia" w:hAnsi="宋体"/>
                <w:b/>
                <w:kern w:val="0"/>
                <w:sz w:val="24"/>
                <w:lang w:val="en-US" w:eastAsia="zh-CN"/>
              </w:rPr>
              <w:t>.</w:t>
            </w:r>
            <w:r>
              <w:rPr>
                <w:rFonts w:hAnsi="宋体"/>
                <w:b/>
                <w:kern w:val="0"/>
                <w:sz w:val="24"/>
              </w:rPr>
              <w:t>大气环境</w:t>
            </w:r>
          </w:p>
          <w:p w14:paraId="3005A7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olor w:val="000000"/>
                <w:kern w:val="0"/>
                <w:sz w:val="24"/>
              </w:rPr>
            </w:pPr>
            <w:r>
              <w:rPr>
                <w:rFonts w:hint="eastAsia" w:ascii="Times New Roman" w:hAnsi="Times New Roman"/>
                <w:color w:val="000000"/>
                <w:kern w:val="0"/>
                <w:sz w:val="24"/>
              </w:rPr>
              <w:t>本项目厂界外500m范围内无大气环境保护目标。</w:t>
            </w:r>
          </w:p>
          <w:p w14:paraId="444F67F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b/>
                <w:kern w:val="0"/>
                <w:sz w:val="24"/>
              </w:rPr>
              <w:t>2</w:t>
            </w:r>
            <w:r>
              <w:rPr>
                <w:rFonts w:hint="eastAsia"/>
                <w:b/>
                <w:kern w:val="0"/>
                <w:sz w:val="24"/>
                <w:lang w:val="en-US" w:eastAsia="zh-CN"/>
              </w:rPr>
              <w:t>.</w:t>
            </w:r>
            <w:r>
              <w:rPr>
                <w:rFonts w:hAnsi="宋体"/>
                <w:b/>
                <w:kern w:val="0"/>
                <w:sz w:val="24"/>
              </w:rPr>
              <w:t>声环境</w:t>
            </w:r>
          </w:p>
          <w:p w14:paraId="7D9781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r>
              <w:rPr>
                <w:rFonts w:hAnsi="宋体"/>
                <w:kern w:val="0"/>
                <w:sz w:val="24"/>
              </w:rPr>
              <w:t>本项目厂界外50</w:t>
            </w:r>
            <w:r>
              <w:rPr>
                <w:rFonts w:hint="eastAsia" w:hAnsi="宋体"/>
                <w:kern w:val="0"/>
                <w:sz w:val="24"/>
              </w:rPr>
              <w:t>m</w:t>
            </w:r>
            <w:r>
              <w:rPr>
                <w:rFonts w:hAnsi="宋体"/>
                <w:kern w:val="0"/>
                <w:sz w:val="24"/>
              </w:rPr>
              <w:t>范围内无声环境保护目标。</w:t>
            </w:r>
          </w:p>
          <w:p w14:paraId="5785E44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rFonts w:hint="eastAsia"/>
                <w:b/>
                <w:kern w:val="0"/>
                <w:sz w:val="24"/>
              </w:rPr>
              <w:t>3</w:t>
            </w:r>
            <w:r>
              <w:rPr>
                <w:rFonts w:hint="eastAsia"/>
                <w:b/>
                <w:kern w:val="0"/>
                <w:sz w:val="24"/>
                <w:lang w:val="en-US" w:eastAsia="zh-CN"/>
              </w:rPr>
              <w:t>.</w:t>
            </w:r>
            <w:r>
              <w:rPr>
                <w:rFonts w:hint="eastAsia"/>
                <w:b/>
                <w:kern w:val="0"/>
                <w:sz w:val="24"/>
              </w:rPr>
              <w:t>地下水环境</w:t>
            </w:r>
          </w:p>
          <w:p w14:paraId="782FE5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sz w:val="24"/>
              </w:rPr>
            </w:pPr>
            <w:r>
              <w:rPr>
                <w:rFonts w:hint="eastAsia"/>
                <w:kern w:val="0"/>
                <w:sz w:val="24"/>
              </w:rPr>
              <w:t>本项目厂界外500m范围内无地下水集中式饮用水水源和热水、矿泉水、温泉等特殊地下水资源。</w:t>
            </w:r>
          </w:p>
          <w:p w14:paraId="775F29A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rFonts w:hint="eastAsia"/>
                <w:b/>
                <w:kern w:val="0"/>
                <w:sz w:val="24"/>
              </w:rPr>
              <w:t>4</w:t>
            </w:r>
            <w:r>
              <w:rPr>
                <w:rFonts w:hint="eastAsia"/>
                <w:b/>
                <w:kern w:val="0"/>
                <w:sz w:val="24"/>
                <w:lang w:val="en-US" w:eastAsia="zh-CN"/>
              </w:rPr>
              <w:t>.</w:t>
            </w:r>
            <w:r>
              <w:rPr>
                <w:rFonts w:hint="eastAsia"/>
                <w:b/>
                <w:kern w:val="0"/>
                <w:sz w:val="24"/>
              </w:rPr>
              <w:t>生态环境</w:t>
            </w:r>
          </w:p>
          <w:p w14:paraId="78DC2E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kern w:val="0"/>
                <w:sz w:val="24"/>
              </w:rPr>
            </w:pPr>
            <w:r>
              <w:rPr>
                <w:rFonts w:hint="eastAsia"/>
                <w:kern w:val="0"/>
                <w:sz w:val="24"/>
              </w:rPr>
              <w:t>本项目位于工业园区内且无新增用地，无生态环境保护目标。</w:t>
            </w:r>
          </w:p>
        </w:tc>
      </w:tr>
      <w:tr w14:paraId="66FD1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shd w:val="clear" w:color="auto" w:fill="auto"/>
            <w:noWrap w:val="0"/>
            <w:tcMar>
              <w:top w:w="0" w:type="dxa"/>
              <w:left w:w="28" w:type="dxa"/>
              <w:bottom w:w="0" w:type="dxa"/>
              <w:right w:w="28" w:type="dxa"/>
            </w:tcMar>
            <w:vAlign w:val="center"/>
          </w:tcPr>
          <w:p w14:paraId="70A5E1C3">
            <w:pPr>
              <w:adjustRightInd w:val="0"/>
              <w:snapToGrid w:val="0"/>
              <w:jc w:val="center"/>
              <w:rPr>
                <w:rFonts w:ascii="宋体" w:hAnsi="宋体" w:cs="宋体"/>
                <w:kern w:val="0"/>
                <w:szCs w:val="21"/>
              </w:rPr>
            </w:pPr>
            <w:r>
              <w:rPr>
                <w:rFonts w:hint="eastAsia" w:ascii="宋体" w:hAnsi="宋体" w:cs="宋体"/>
                <w:kern w:val="0"/>
                <w:szCs w:val="21"/>
              </w:rPr>
              <w:t>污染</w:t>
            </w:r>
          </w:p>
          <w:p w14:paraId="4BE97F46">
            <w:pPr>
              <w:adjustRightInd w:val="0"/>
              <w:snapToGrid w:val="0"/>
              <w:jc w:val="center"/>
              <w:rPr>
                <w:rFonts w:ascii="宋体" w:hAnsi="宋体" w:cs="宋体"/>
                <w:kern w:val="0"/>
                <w:szCs w:val="21"/>
              </w:rPr>
            </w:pPr>
            <w:r>
              <w:rPr>
                <w:rFonts w:hint="eastAsia" w:ascii="宋体" w:hAnsi="宋体" w:cs="宋体"/>
                <w:kern w:val="0"/>
                <w:szCs w:val="21"/>
              </w:rPr>
              <w:t>物排</w:t>
            </w:r>
          </w:p>
          <w:p w14:paraId="4BED1E3C">
            <w:pPr>
              <w:adjustRightInd w:val="0"/>
              <w:snapToGrid w:val="0"/>
              <w:jc w:val="center"/>
              <w:rPr>
                <w:rFonts w:ascii="宋体" w:hAnsi="宋体" w:cs="宋体"/>
                <w:kern w:val="0"/>
                <w:szCs w:val="21"/>
              </w:rPr>
            </w:pPr>
            <w:r>
              <w:rPr>
                <w:rFonts w:hint="eastAsia" w:ascii="宋体" w:hAnsi="宋体" w:cs="宋体"/>
                <w:kern w:val="0"/>
                <w:szCs w:val="21"/>
              </w:rPr>
              <w:t>放控</w:t>
            </w:r>
          </w:p>
          <w:p w14:paraId="26F45FCC">
            <w:pPr>
              <w:adjustRightInd w:val="0"/>
              <w:snapToGrid w:val="0"/>
              <w:jc w:val="center"/>
              <w:rPr>
                <w:rFonts w:ascii="宋体" w:hAnsi="宋体" w:cs="宋体"/>
                <w:kern w:val="0"/>
                <w:szCs w:val="21"/>
              </w:rPr>
            </w:pPr>
            <w:r>
              <w:rPr>
                <w:rFonts w:hint="eastAsia" w:ascii="宋体" w:hAnsi="宋体" w:cs="宋体"/>
                <w:kern w:val="0"/>
                <w:szCs w:val="21"/>
              </w:rPr>
              <w:t>制标</w:t>
            </w:r>
          </w:p>
          <w:p w14:paraId="085FB441">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shd w:val="clear" w:color="auto" w:fill="auto"/>
            <w:noWrap w:val="0"/>
            <w:vAlign w:val="center"/>
          </w:tcPr>
          <w:p w14:paraId="360E7CEF">
            <w:pPr>
              <w:keepNext w:val="0"/>
              <w:keepLines w:val="0"/>
              <w:pageBreakBefore w:val="0"/>
              <w:widowControl w:val="0"/>
              <w:kinsoku/>
              <w:wordWrap/>
              <w:topLinePunct w:val="0"/>
              <w:bidi w:val="0"/>
              <w:adjustRightInd w:val="0"/>
              <w:snapToGrid w:val="0"/>
              <w:spacing w:line="360" w:lineRule="auto"/>
              <w:ind w:firstLine="482" w:firstLineChars="200"/>
              <w:textAlignment w:val="auto"/>
              <w:rPr>
                <w:b/>
                <w:sz w:val="24"/>
              </w:rPr>
            </w:pPr>
            <w:r>
              <w:rPr>
                <w:b/>
                <w:sz w:val="24"/>
              </w:rPr>
              <w:t>1</w:t>
            </w:r>
            <w:r>
              <w:rPr>
                <w:rFonts w:hint="eastAsia"/>
                <w:b/>
                <w:sz w:val="24"/>
                <w:lang w:val="en-US" w:eastAsia="zh-CN"/>
              </w:rPr>
              <w:t>.</w:t>
            </w:r>
            <w:r>
              <w:rPr>
                <w:b/>
                <w:sz w:val="24"/>
              </w:rPr>
              <w:t>废气</w:t>
            </w:r>
          </w:p>
          <w:p w14:paraId="0CCB1297">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default" w:eastAsia="宋体"/>
                <w:sz w:val="24"/>
                <w:szCs w:val="21"/>
                <w:lang w:val="en-US" w:eastAsia="zh-CN"/>
              </w:rPr>
            </w:pPr>
            <w:r>
              <w:rPr>
                <w:rFonts w:hint="eastAsia"/>
                <w:sz w:val="24"/>
                <w:szCs w:val="21"/>
              </w:rPr>
              <w:t>本项目运营期</w:t>
            </w:r>
            <w:r>
              <w:rPr>
                <w:rFonts w:hint="eastAsia"/>
                <w:sz w:val="24"/>
                <w:szCs w:val="21"/>
                <w:lang w:eastAsia="zh-CN"/>
              </w:rPr>
              <w:t>热风炉燃烧尾气按照主行业及现有的环评报告书及其批复文件可知，</w:t>
            </w:r>
            <w:r>
              <w:rPr>
                <w:rFonts w:hint="eastAsia"/>
                <w:sz w:val="24"/>
                <w:szCs w:val="21"/>
              </w:rPr>
              <w:t>运营期</w:t>
            </w:r>
            <w:r>
              <w:rPr>
                <w:rFonts w:hint="eastAsia"/>
                <w:sz w:val="24"/>
                <w:szCs w:val="21"/>
                <w:lang w:eastAsia="zh-CN"/>
              </w:rPr>
              <w:t>热风炉燃烧尾气有组织</w:t>
            </w:r>
            <w:r>
              <w:rPr>
                <w:rFonts w:hint="eastAsia"/>
                <w:sz w:val="24"/>
                <w:szCs w:val="21"/>
              </w:rPr>
              <w:t>执行</w:t>
            </w:r>
            <w:r>
              <w:rPr>
                <w:rFonts w:hint="eastAsia"/>
                <w:sz w:val="24"/>
                <w:szCs w:val="21"/>
                <w:lang w:eastAsia="zh-CN"/>
              </w:rPr>
              <w:t>《石油化学工业污染物排放标准》（</w:t>
            </w:r>
            <w:r>
              <w:rPr>
                <w:rFonts w:hint="eastAsia"/>
                <w:sz w:val="24"/>
                <w:szCs w:val="21"/>
                <w:lang w:val="en-US" w:eastAsia="zh-CN"/>
              </w:rPr>
              <w:t>GB31571-2015</w:t>
            </w:r>
            <w:r>
              <w:rPr>
                <w:rFonts w:hint="eastAsia"/>
                <w:sz w:val="24"/>
                <w:szCs w:val="21"/>
                <w:lang w:eastAsia="zh-CN"/>
              </w:rPr>
              <w:t>）相关要求，干燥塔废气中颗粒物、甲醛有组织执行《石油化学工业污染物排放标准》（</w:t>
            </w:r>
            <w:r>
              <w:rPr>
                <w:rFonts w:hint="eastAsia"/>
                <w:sz w:val="24"/>
                <w:szCs w:val="21"/>
                <w:lang w:val="en-US" w:eastAsia="zh-CN"/>
              </w:rPr>
              <w:t>GB31571-</w:t>
            </w:r>
            <w:r>
              <w:rPr>
                <w:rFonts w:hint="eastAsia" w:ascii="Times New Roman" w:hAnsi="Times New Roman" w:eastAsia="宋体" w:cs="Times New Roman"/>
                <w:sz w:val="24"/>
                <w:szCs w:val="21"/>
                <w:lang w:val="en-US" w:eastAsia="zh-CN"/>
              </w:rPr>
              <w:t>2015</w:t>
            </w:r>
            <w:r>
              <w:rPr>
                <w:rFonts w:hint="eastAsia" w:ascii="Times New Roman" w:hAnsi="Times New Roman" w:eastAsia="宋体" w:cs="Times New Roman"/>
                <w:sz w:val="24"/>
                <w:szCs w:val="21"/>
                <w:lang w:eastAsia="zh-CN"/>
              </w:rPr>
              <w:t>）相关要求，无组织参照执行《大气污染物综合排放标准》（</w:t>
            </w:r>
            <w:r>
              <w:rPr>
                <w:rFonts w:hint="eastAsia" w:ascii="Times New Roman" w:hAnsi="Times New Roman" w:eastAsia="宋体" w:cs="Times New Roman"/>
                <w:sz w:val="24"/>
                <w:szCs w:val="21"/>
                <w:lang w:val="en-US" w:eastAsia="zh-CN"/>
              </w:rPr>
              <w:t>GB16297-1996</w:t>
            </w:r>
            <w:r>
              <w:rPr>
                <w:rFonts w:hint="eastAsia" w:ascii="Times New Roman" w:hAnsi="Times New Roman" w:eastAsia="宋体" w:cs="Times New Roman"/>
                <w:sz w:val="24"/>
                <w:szCs w:val="21"/>
                <w:lang w:eastAsia="zh-CN"/>
              </w:rPr>
              <w:t>）相关要求</w:t>
            </w:r>
            <w:r>
              <w:rPr>
                <w:rFonts w:hint="eastAsia"/>
                <w:sz w:val="21"/>
                <w:szCs w:val="21"/>
                <w:lang w:eastAsia="zh-CN"/>
              </w:rPr>
              <w:t>，</w:t>
            </w:r>
            <w:r>
              <w:rPr>
                <w:rFonts w:hint="eastAsia"/>
                <w:sz w:val="24"/>
                <w:szCs w:val="21"/>
                <w:lang w:eastAsia="zh-CN"/>
              </w:rPr>
              <w:t>挥发性有机物参考非甲烷总烃排放限值，执行《大气污染物综合排放标准》（</w:t>
            </w:r>
            <w:r>
              <w:rPr>
                <w:rFonts w:hint="eastAsia"/>
                <w:sz w:val="24"/>
                <w:szCs w:val="21"/>
                <w:lang w:val="en-US" w:eastAsia="zh-CN"/>
              </w:rPr>
              <w:t>GB16297-1996</w:t>
            </w:r>
            <w:r>
              <w:rPr>
                <w:rFonts w:hint="eastAsia"/>
                <w:sz w:val="24"/>
                <w:szCs w:val="21"/>
                <w:lang w:eastAsia="zh-CN"/>
              </w:rPr>
              <w:t>）相关要求。</w:t>
            </w:r>
          </w:p>
          <w:p w14:paraId="03BDEF43">
            <w:pPr>
              <w:spacing w:line="500" w:lineRule="exact"/>
              <w:jc w:val="center"/>
              <w:rPr>
                <w:rFonts w:hint="eastAsia"/>
                <w:sz w:val="24"/>
              </w:rPr>
            </w:pPr>
          </w:p>
          <w:p w14:paraId="2E2821AD">
            <w:pPr>
              <w:spacing w:line="500" w:lineRule="exact"/>
              <w:jc w:val="center"/>
              <w:rPr>
                <w:rFonts w:hint="eastAsia"/>
                <w:sz w:val="24"/>
              </w:rPr>
            </w:pPr>
          </w:p>
          <w:p w14:paraId="54C00EAD">
            <w:pPr>
              <w:spacing w:line="500" w:lineRule="exact"/>
              <w:jc w:val="center"/>
              <w:rPr>
                <w:rFonts w:hint="eastAsia"/>
                <w:sz w:val="24"/>
              </w:rPr>
            </w:pPr>
          </w:p>
          <w:p w14:paraId="4AD77E80">
            <w:pPr>
              <w:spacing w:line="500" w:lineRule="exact"/>
              <w:jc w:val="center"/>
              <w:rPr>
                <w:szCs w:val="21"/>
              </w:rPr>
            </w:pPr>
            <w:r>
              <w:rPr>
                <w:rFonts w:hint="eastAsia"/>
                <w:sz w:val="24"/>
              </w:rPr>
              <w:t>表3-</w:t>
            </w:r>
            <w:r>
              <w:rPr>
                <w:rFonts w:hint="eastAsia"/>
                <w:sz w:val="24"/>
                <w:lang w:val="en-US" w:eastAsia="zh-CN"/>
              </w:rPr>
              <w:t>5</w:t>
            </w:r>
            <w:r>
              <w:rPr>
                <w:rFonts w:hint="eastAsia"/>
                <w:sz w:val="24"/>
              </w:rPr>
              <w:t xml:space="preserve">  运营期废气排放限值一览表</w:t>
            </w:r>
          </w:p>
          <w:tbl>
            <w:tblPr>
              <w:tblStyle w:val="11"/>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73"/>
              <w:gridCol w:w="863"/>
              <w:gridCol w:w="1195"/>
              <w:gridCol w:w="1169"/>
              <w:gridCol w:w="1389"/>
              <w:gridCol w:w="2190"/>
            </w:tblGrid>
            <w:tr w14:paraId="5EE7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273" w:type="dxa"/>
                  <w:shd w:val="clear" w:color="auto" w:fill="auto"/>
                  <w:noWrap w:val="0"/>
                  <w:vAlign w:val="center"/>
                </w:tcPr>
                <w:p w14:paraId="66AD5679">
                  <w:pPr>
                    <w:overflowPunct w:val="0"/>
                    <w:autoSpaceDE w:val="0"/>
                    <w:autoSpaceDN w:val="0"/>
                    <w:adjustRightInd w:val="0"/>
                    <w:snapToGrid w:val="0"/>
                    <w:jc w:val="center"/>
                    <w:rPr>
                      <w:rFonts w:hint="eastAsia" w:ascii="Times New Roman" w:hAnsi="Times New Roman"/>
                      <w:kern w:val="2"/>
                      <w:sz w:val="21"/>
                      <w:szCs w:val="21"/>
                      <w:lang w:val="en-US" w:eastAsia="zh-CN" w:bidi="ar-SA"/>
                    </w:rPr>
                  </w:pPr>
                  <w:r>
                    <w:rPr>
                      <w:rFonts w:hint="eastAsia"/>
                      <w:sz w:val="21"/>
                      <w:szCs w:val="21"/>
                    </w:rPr>
                    <w:t>污染物排放环节</w:t>
                  </w:r>
                </w:p>
              </w:tc>
              <w:tc>
                <w:tcPr>
                  <w:tcW w:w="863" w:type="dxa"/>
                  <w:shd w:val="clear" w:color="auto" w:fill="auto"/>
                  <w:noWrap w:val="0"/>
                  <w:vAlign w:val="center"/>
                </w:tcPr>
                <w:p w14:paraId="6060BCD5">
                  <w:pPr>
                    <w:overflowPunct w:val="0"/>
                    <w:autoSpaceDE w:val="0"/>
                    <w:autoSpaceDN w:val="0"/>
                    <w:adjustRightInd w:val="0"/>
                    <w:snapToGrid w:val="0"/>
                    <w:jc w:val="center"/>
                    <w:rPr>
                      <w:rFonts w:hint="eastAsia" w:eastAsia="宋体"/>
                      <w:sz w:val="21"/>
                      <w:szCs w:val="21"/>
                      <w:lang w:eastAsia="zh-CN"/>
                    </w:rPr>
                  </w:pPr>
                  <w:r>
                    <w:rPr>
                      <w:rFonts w:hint="eastAsia"/>
                      <w:sz w:val="21"/>
                      <w:szCs w:val="21"/>
                      <w:lang w:eastAsia="zh-CN"/>
                    </w:rPr>
                    <w:t>污染物名称</w:t>
                  </w:r>
                </w:p>
              </w:tc>
              <w:tc>
                <w:tcPr>
                  <w:tcW w:w="1195" w:type="dxa"/>
                  <w:shd w:val="clear" w:color="auto" w:fill="auto"/>
                  <w:noWrap w:val="0"/>
                  <w:vAlign w:val="center"/>
                </w:tcPr>
                <w:p w14:paraId="16FA4512">
                  <w:pPr>
                    <w:overflowPunct w:val="0"/>
                    <w:autoSpaceDE w:val="0"/>
                    <w:autoSpaceDN w:val="0"/>
                    <w:adjustRightInd w:val="0"/>
                    <w:snapToGrid w:val="0"/>
                    <w:jc w:val="center"/>
                    <w:rPr>
                      <w:sz w:val="21"/>
                      <w:szCs w:val="21"/>
                    </w:rPr>
                  </w:pPr>
                  <w:r>
                    <w:rPr>
                      <w:rFonts w:hint="eastAsia"/>
                      <w:sz w:val="21"/>
                      <w:szCs w:val="21"/>
                      <w:lang w:eastAsia="zh-CN"/>
                    </w:rPr>
                    <w:t>最高允许排放浓度</w:t>
                  </w:r>
                  <w:r>
                    <w:rPr>
                      <w:rFonts w:hint="eastAsia"/>
                      <w:sz w:val="21"/>
                      <w:szCs w:val="21"/>
                    </w:rPr>
                    <w:t>（mg/m</w:t>
                  </w:r>
                  <w:r>
                    <w:rPr>
                      <w:rFonts w:hint="eastAsia"/>
                      <w:sz w:val="21"/>
                      <w:szCs w:val="21"/>
                      <w:vertAlign w:val="superscript"/>
                    </w:rPr>
                    <w:t>3</w:t>
                  </w:r>
                  <w:r>
                    <w:rPr>
                      <w:rFonts w:hint="eastAsia"/>
                      <w:sz w:val="21"/>
                      <w:szCs w:val="21"/>
                    </w:rPr>
                    <w:t>）</w:t>
                  </w:r>
                </w:p>
              </w:tc>
              <w:tc>
                <w:tcPr>
                  <w:tcW w:w="1169" w:type="dxa"/>
                  <w:shd w:val="clear" w:color="auto" w:fill="auto"/>
                  <w:noWrap w:val="0"/>
                  <w:vAlign w:val="center"/>
                </w:tcPr>
                <w:p w14:paraId="62CB1E80">
                  <w:pPr>
                    <w:overflowPunct w:val="0"/>
                    <w:autoSpaceDE w:val="0"/>
                    <w:autoSpaceDN w:val="0"/>
                    <w:adjustRightInd w:val="0"/>
                    <w:snapToGrid w:val="0"/>
                    <w:jc w:val="center"/>
                    <w:rPr>
                      <w:rFonts w:hint="eastAsia" w:eastAsia="宋体"/>
                      <w:sz w:val="21"/>
                      <w:szCs w:val="21"/>
                      <w:lang w:eastAsia="zh-CN"/>
                    </w:rPr>
                  </w:pPr>
                  <w:r>
                    <w:rPr>
                      <w:rFonts w:hint="eastAsia"/>
                      <w:sz w:val="21"/>
                      <w:szCs w:val="21"/>
                      <w:lang w:eastAsia="zh-CN"/>
                    </w:rPr>
                    <w:t>最高允许排放速率（</w:t>
                  </w:r>
                  <w:r>
                    <w:rPr>
                      <w:rFonts w:hint="eastAsia"/>
                      <w:sz w:val="21"/>
                      <w:szCs w:val="21"/>
                      <w:lang w:val="en-US" w:eastAsia="zh-CN"/>
                    </w:rPr>
                    <w:t>kg/h</w:t>
                  </w:r>
                  <w:r>
                    <w:rPr>
                      <w:rFonts w:hint="eastAsia"/>
                      <w:sz w:val="21"/>
                      <w:szCs w:val="21"/>
                      <w:lang w:eastAsia="zh-CN"/>
                    </w:rPr>
                    <w:t>）</w:t>
                  </w:r>
                </w:p>
              </w:tc>
              <w:tc>
                <w:tcPr>
                  <w:tcW w:w="1389" w:type="dxa"/>
                  <w:shd w:val="clear" w:color="auto" w:fill="auto"/>
                  <w:noWrap w:val="0"/>
                  <w:vAlign w:val="center"/>
                </w:tcPr>
                <w:p w14:paraId="495899F7">
                  <w:pPr>
                    <w:overflowPunct w:val="0"/>
                    <w:autoSpaceDE w:val="0"/>
                    <w:autoSpaceDN w:val="0"/>
                    <w:adjustRightInd w:val="0"/>
                    <w:snapToGrid w:val="0"/>
                    <w:jc w:val="both"/>
                    <w:rPr>
                      <w:rFonts w:hint="default" w:eastAsia="宋体"/>
                      <w:sz w:val="21"/>
                      <w:szCs w:val="21"/>
                      <w:lang w:val="en-US" w:eastAsia="zh-CN"/>
                    </w:rPr>
                  </w:pPr>
                  <w:r>
                    <w:rPr>
                      <w:rFonts w:hint="eastAsia"/>
                      <w:sz w:val="21"/>
                      <w:szCs w:val="21"/>
                      <w:lang w:val="en-US" w:eastAsia="zh-CN"/>
                    </w:rPr>
                    <w:t>无组织排放监控浓度限值（mg/m</w:t>
                  </w:r>
                  <w:r>
                    <w:rPr>
                      <w:rFonts w:hint="eastAsia"/>
                      <w:sz w:val="21"/>
                      <w:szCs w:val="21"/>
                      <w:vertAlign w:val="superscript"/>
                      <w:lang w:val="en-US" w:eastAsia="zh-CN"/>
                    </w:rPr>
                    <w:t>3</w:t>
                  </w:r>
                  <w:r>
                    <w:rPr>
                      <w:rFonts w:hint="eastAsia"/>
                      <w:sz w:val="21"/>
                      <w:szCs w:val="21"/>
                      <w:lang w:val="en-US" w:eastAsia="zh-CN"/>
                    </w:rPr>
                    <w:t>）</w:t>
                  </w:r>
                </w:p>
              </w:tc>
              <w:tc>
                <w:tcPr>
                  <w:tcW w:w="2190" w:type="dxa"/>
                  <w:shd w:val="clear" w:color="auto" w:fill="auto"/>
                  <w:noWrap w:val="0"/>
                  <w:vAlign w:val="center"/>
                </w:tcPr>
                <w:p w14:paraId="128C28DF">
                  <w:pPr>
                    <w:overflowPunct w:val="0"/>
                    <w:autoSpaceDE w:val="0"/>
                    <w:autoSpaceDN w:val="0"/>
                    <w:adjustRightInd w:val="0"/>
                    <w:snapToGrid w:val="0"/>
                    <w:jc w:val="center"/>
                    <w:rPr>
                      <w:sz w:val="21"/>
                      <w:szCs w:val="21"/>
                    </w:rPr>
                  </w:pPr>
                  <w:r>
                    <w:rPr>
                      <w:rFonts w:hint="eastAsia"/>
                      <w:sz w:val="21"/>
                      <w:szCs w:val="21"/>
                      <w:lang w:eastAsia="zh-CN"/>
                    </w:rPr>
                    <w:t>无组织参照标准</w:t>
                  </w:r>
                </w:p>
              </w:tc>
            </w:tr>
            <w:tr w14:paraId="2D21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restart"/>
                  <w:shd w:val="clear" w:color="auto" w:fill="auto"/>
                  <w:noWrap w:val="0"/>
                  <w:vAlign w:val="center"/>
                </w:tcPr>
                <w:p w14:paraId="22E75EE5">
                  <w:pPr>
                    <w:overflowPunct w:val="0"/>
                    <w:autoSpaceDE w:val="0"/>
                    <w:autoSpaceDN w:val="0"/>
                    <w:adjustRightInd w:val="0"/>
                    <w:snapToGrid w:val="0"/>
                    <w:jc w:val="center"/>
                    <w:rPr>
                      <w:rFonts w:hint="eastAsia" w:ascii="Times New Roman" w:hAnsi="Times New Roman"/>
                      <w:kern w:val="2"/>
                      <w:sz w:val="21"/>
                      <w:szCs w:val="21"/>
                      <w:lang w:val="en-US" w:eastAsia="zh-CN" w:bidi="ar-SA"/>
                    </w:rPr>
                  </w:pPr>
                  <w:r>
                    <w:rPr>
                      <w:rFonts w:hint="eastAsia"/>
                      <w:sz w:val="21"/>
                      <w:szCs w:val="21"/>
                      <w:lang w:eastAsia="zh-CN"/>
                    </w:rPr>
                    <w:t>热风炉燃烧尾气</w:t>
                  </w:r>
                </w:p>
              </w:tc>
              <w:tc>
                <w:tcPr>
                  <w:tcW w:w="863" w:type="dxa"/>
                  <w:shd w:val="clear" w:color="auto" w:fill="auto"/>
                  <w:noWrap w:val="0"/>
                  <w:vAlign w:val="center"/>
                </w:tcPr>
                <w:p w14:paraId="044E911C">
                  <w:pPr>
                    <w:overflowPunct w:val="0"/>
                    <w:autoSpaceDE w:val="0"/>
                    <w:autoSpaceDN w:val="0"/>
                    <w:adjustRightInd w:val="0"/>
                    <w:snapToGrid w:val="0"/>
                    <w:jc w:val="center"/>
                    <w:rPr>
                      <w:rFonts w:hint="eastAsia" w:eastAsia="宋体"/>
                      <w:sz w:val="21"/>
                      <w:szCs w:val="21"/>
                      <w:lang w:eastAsia="zh-CN"/>
                    </w:rPr>
                  </w:pPr>
                  <w:r>
                    <w:rPr>
                      <w:rFonts w:hint="eastAsia"/>
                      <w:sz w:val="21"/>
                      <w:szCs w:val="21"/>
                    </w:rPr>
                    <w:t>NO</w:t>
                  </w:r>
                  <w:r>
                    <w:rPr>
                      <w:rFonts w:hint="eastAsia"/>
                      <w:sz w:val="21"/>
                      <w:szCs w:val="21"/>
                      <w:vertAlign w:val="subscript"/>
                      <w:lang w:val="en-US" w:eastAsia="zh-CN"/>
                    </w:rPr>
                    <w:t>x</w:t>
                  </w:r>
                </w:p>
              </w:tc>
              <w:tc>
                <w:tcPr>
                  <w:tcW w:w="1195" w:type="dxa"/>
                  <w:shd w:val="clear" w:color="auto" w:fill="auto"/>
                  <w:noWrap w:val="0"/>
                  <w:vAlign w:val="center"/>
                </w:tcPr>
                <w:p w14:paraId="197156FA">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100</w:t>
                  </w:r>
                </w:p>
              </w:tc>
              <w:tc>
                <w:tcPr>
                  <w:tcW w:w="1169" w:type="dxa"/>
                  <w:shd w:val="clear" w:color="auto" w:fill="auto"/>
                  <w:noWrap w:val="0"/>
                  <w:vAlign w:val="center"/>
                </w:tcPr>
                <w:p w14:paraId="013AE1BF">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1389" w:type="dxa"/>
                  <w:shd w:val="clear" w:color="auto" w:fill="auto"/>
                  <w:noWrap w:val="0"/>
                  <w:vAlign w:val="center"/>
                </w:tcPr>
                <w:p w14:paraId="03DE5B81">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0.12</w:t>
                  </w:r>
                </w:p>
              </w:tc>
              <w:tc>
                <w:tcPr>
                  <w:tcW w:w="2190" w:type="dxa"/>
                  <w:vMerge w:val="restart"/>
                  <w:shd w:val="clear" w:color="auto" w:fill="auto"/>
                  <w:noWrap w:val="0"/>
                  <w:vAlign w:val="center"/>
                </w:tcPr>
                <w:p w14:paraId="2611EB83">
                  <w:pPr>
                    <w:overflowPunct w:val="0"/>
                    <w:autoSpaceDE w:val="0"/>
                    <w:autoSpaceDN w:val="0"/>
                    <w:adjustRightInd w:val="0"/>
                    <w:snapToGrid w:val="0"/>
                    <w:jc w:val="center"/>
                    <w:rPr>
                      <w:rFonts w:hint="eastAsia"/>
                      <w:sz w:val="21"/>
                      <w:szCs w:val="21"/>
                    </w:rPr>
                  </w:pPr>
                  <w:r>
                    <w:rPr>
                      <w:rFonts w:hint="eastAsia"/>
                      <w:sz w:val="21"/>
                      <w:szCs w:val="21"/>
                      <w:lang w:eastAsia="zh-CN"/>
                    </w:rPr>
                    <w:t>《大气污染物综合排放标准》（</w:t>
                  </w:r>
                  <w:r>
                    <w:rPr>
                      <w:rFonts w:hint="eastAsia"/>
                      <w:sz w:val="21"/>
                      <w:szCs w:val="21"/>
                      <w:lang w:val="en-US" w:eastAsia="zh-CN"/>
                    </w:rPr>
                    <w:t>GB16297-1996</w:t>
                  </w:r>
                  <w:r>
                    <w:rPr>
                      <w:rFonts w:hint="eastAsia"/>
                      <w:sz w:val="21"/>
                      <w:szCs w:val="21"/>
                      <w:lang w:eastAsia="zh-CN"/>
                    </w:rPr>
                    <w:t>）</w:t>
                  </w:r>
                </w:p>
              </w:tc>
            </w:tr>
            <w:tr w14:paraId="1E6A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noWrap w:val="0"/>
                  <w:vAlign w:val="center"/>
                </w:tcPr>
                <w:p w14:paraId="03263447">
                  <w:pPr>
                    <w:overflowPunct w:val="0"/>
                    <w:autoSpaceDE w:val="0"/>
                    <w:autoSpaceDN w:val="0"/>
                    <w:adjustRightInd w:val="0"/>
                    <w:snapToGrid w:val="0"/>
                    <w:jc w:val="center"/>
                    <w:rPr>
                      <w:rFonts w:hint="eastAsia"/>
                      <w:sz w:val="21"/>
                      <w:szCs w:val="21"/>
                    </w:rPr>
                  </w:pPr>
                </w:p>
              </w:tc>
              <w:tc>
                <w:tcPr>
                  <w:tcW w:w="863" w:type="dxa"/>
                  <w:shd w:val="clear" w:color="auto" w:fill="auto"/>
                  <w:noWrap w:val="0"/>
                  <w:vAlign w:val="center"/>
                </w:tcPr>
                <w:p w14:paraId="467E652E">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甲醛</w:t>
                  </w:r>
                </w:p>
              </w:tc>
              <w:tc>
                <w:tcPr>
                  <w:tcW w:w="1195" w:type="dxa"/>
                  <w:shd w:val="clear" w:color="auto" w:fill="auto"/>
                  <w:noWrap w:val="0"/>
                  <w:vAlign w:val="center"/>
                </w:tcPr>
                <w:p w14:paraId="10E58775">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5.0</w:t>
                  </w:r>
                </w:p>
              </w:tc>
              <w:tc>
                <w:tcPr>
                  <w:tcW w:w="1169" w:type="dxa"/>
                  <w:shd w:val="clear" w:color="auto" w:fill="auto"/>
                  <w:noWrap w:val="0"/>
                  <w:vAlign w:val="center"/>
                </w:tcPr>
                <w:p w14:paraId="3A6BCFDF">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1389" w:type="dxa"/>
                  <w:shd w:val="clear" w:color="auto" w:fill="auto"/>
                  <w:noWrap w:val="0"/>
                  <w:vAlign w:val="center"/>
                </w:tcPr>
                <w:p w14:paraId="1747E03D">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0.20</w:t>
                  </w:r>
                </w:p>
              </w:tc>
              <w:tc>
                <w:tcPr>
                  <w:tcW w:w="2190" w:type="dxa"/>
                  <w:vMerge w:val="continue"/>
                  <w:shd w:val="clear" w:color="auto" w:fill="auto"/>
                  <w:noWrap w:val="0"/>
                  <w:vAlign w:val="center"/>
                </w:tcPr>
                <w:p w14:paraId="47FD1110">
                  <w:pPr>
                    <w:overflowPunct w:val="0"/>
                    <w:autoSpaceDE w:val="0"/>
                    <w:autoSpaceDN w:val="0"/>
                    <w:adjustRightInd w:val="0"/>
                    <w:snapToGrid w:val="0"/>
                    <w:jc w:val="center"/>
                    <w:rPr>
                      <w:rFonts w:hint="eastAsia"/>
                      <w:sz w:val="21"/>
                      <w:szCs w:val="21"/>
                    </w:rPr>
                  </w:pPr>
                </w:p>
              </w:tc>
            </w:tr>
            <w:tr w14:paraId="3055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noWrap w:val="0"/>
                  <w:vAlign w:val="center"/>
                </w:tcPr>
                <w:p w14:paraId="133C9F44">
                  <w:pPr>
                    <w:overflowPunct w:val="0"/>
                    <w:autoSpaceDE w:val="0"/>
                    <w:autoSpaceDN w:val="0"/>
                    <w:adjustRightInd w:val="0"/>
                    <w:snapToGrid w:val="0"/>
                    <w:jc w:val="center"/>
                    <w:rPr>
                      <w:rFonts w:hint="eastAsia"/>
                      <w:sz w:val="21"/>
                      <w:szCs w:val="21"/>
                    </w:rPr>
                  </w:pPr>
                </w:p>
              </w:tc>
              <w:tc>
                <w:tcPr>
                  <w:tcW w:w="863" w:type="dxa"/>
                  <w:shd w:val="clear" w:color="auto" w:fill="auto"/>
                  <w:noWrap w:val="0"/>
                  <w:vAlign w:val="center"/>
                </w:tcPr>
                <w:p w14:paraId="68CBEA53">
                  <w:pPr>
                    <w:overflowPunct w:val="0"/>
                    <w:autoSpaceDE w:val="0"/>
                    <w:autoSpaceDN w:val="0"/>
                    <w:adjustRightInd w:val="0"/>
                    <w:snapToGrid w:val="0"/>
                    <w:jc w:val="center"/>
                    <w:rPr>
                      <w:rFonts w:hint="eastAsia" w:ascii="Times New Roman" w:hAnsi="Times New Roman" w:eastAsia="宋体"/>
                      <w:kern w:val="2"/>
                      <w:sz w:val="21"/>
                      <w:szCs w:val="21"/>
                      <w:lang w:val="en-US" w:eastAsia="zh-CN" w:bidi="ar-SA"/>
                    </w:rPr>
                  </w:pPr>
                  <w:r>
                    <w:rPr>
                      <w:rFonts w:hint="eastAsia"/>
                      <w:sz w:val="21"/>
                      <w:szCs w:val="21"/>
                      <w:lang w:eastAsia="zh-CN"/>
                    </w:rPr>
                    <w:t>甲醇</w:t>
                  </w:r>
                </w:p>
              </w:tc>
              <w:tc>
                <w:tcPr>
                  <w:tcW w:w="1195" w:type="dxa"/>
                  <w:shd w:val="clear" w:color="auto" w:fill="auto"/>
                  <w:noWrap w:val="0"/>
                  <w:vAlign w:val="center"/>
                </w:tcPr>
                <w:p w14:paraId="5C4BB6F4">
                  <w:pPr>
                    <w:overflowPunct w:val="0"/>
                    <w:autoSpaceDE w:val="0"/>
                    <w:autoSpaceDN w:val="0"/>
                    <w:adjustRightInd w:val="0"/>
                    <w:snapToGrid w:val="0"/>
                    <w:jc w:val="center"/>
                    <w:rPr>
                      <w:rFonts w:hint="eastAsia" w:ascii="Times New Roman" w:hAnsi="Times New Roman" w:eastAsia="宋体"/>
                      <w:kern w:val="2"/>
                      <w:sz w:val="21"/>
                      <w:szCs w:val="21"/>
                      <w:lang w:val="en-US" w:eastAsia="zh-CN" w:bidi="ar-SA"/>
                    </w:rPr>
                  </w:pPr>
                  <w:r>
                    <w:rPr>
                      <w:rFonts w:hint="eastAsia"/>
                      <w:sz w:val="21"/>
                      <w:szCs w:val="21"/>
                      <w:lang w:val="en-US" w:eastAsia="zh-CN"/>
                    </w:rPr>
                    <w:t>50.0</w:t>
                  </w:r>
                </w:p>
              </w:tc>
              <w:tc>
                <w:tcPr>
                  <w:tcW w:w="1169" w:type="dxa"/>
                  <w:shd w:val="clear" w:color="auto" w:fill="auto"/>
                  <w:noWrap w:val="0"/>
                  <w:vAlign w:val="center"/>
                </w:tcPr>
                <w:p w14:paraId="4DDC79A2">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1389" w:type="dxa"/>
                  <w:shd w:val="clear" w:color="auto" w:fill="auto"/>
                  <w:noWrap w:val="0"/>
                  <w:vAlign w:val="center"/>
                </w:tcPr>
                <w:p w14:paraId="21DC60E4">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12</w:t>
                  </w:r>
                </w:p>
              </w:tc>
              <w:tc>
                <w:tcPr>
                  <w:tcW w:w="2190" w:type="dxa"/>
                  <w:vMerge w:val="continue"/>
                  <w:shd w:val="clear" w:color="auto" w:fill="auto"/>
                  <w:noWrap w:val="0"/>
                  <w:vAlign w:val="center"/>
                </w:tcPr>
                <w:p w14:paraId="0BD570AD">
                  <w:pPr>
                    <w:overflowPunct w:val="0"/>
                    <w:autoSpaceDE w:val="0"/>
                    <w:autoSpaceDN w:val="0"/>
                    <w:adjustRightInd w:val="0"/>
                    <w:snapToGrid w:val="0"/>
                    <w:jc w:val="center"/>
                    <w:rPr>
                      <w:rFonts w:hint="eastAsia"/>
                      <w:sz w:val="21"/>
                      <w:szCs w:val="21"/>
                    </w:rPr>
                  </w:pPr>
                </w:p>
              </w:tc>
            </w:tr>
            <w:tr w14:paraId="5DEC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noWrap w:val="0"/>
                  <w:vAlign w:val="center"/>
                </w:tcPr>
                <w:p w14:paraId="1BC049A3">
                  <w:pPr>
                    <w:overflowPunct w:val="0"/>
                    <w:autoSpaceDE w:val="0"/>
                    <w:autoSpaceDN w:val="0"/>
                    <w:adjustRightInd w:val="0"/>
                    <w:snapToGrid w:val="0"/>
                    <w:jc w:val="center"/>
                    <w:rPr>
                      <w:rFonts w:hint="eastAsia"/>
                      <w:sz w:val="21"/>
                      <w:szCs w:val="21"/>
                    </w:rPr>
                  </w:pPr>
                </w:p>
              </w:tc>
              <w:tc>
                <w:tcPr>
                  <w:tcW w:w="863" w:type="dxa"/>
                  <w:shd w:val="clear" w:color="auto" w:fill="auto"/>
                  <w:noWrap w:val="0"/>
                  <w:vAlign w:val="center"/>
                </w:tcPr>
                <w:p w14:paraId="7DA043E3">
                  <w:pPr>
                    <w:overflowPunct w:val="0"/>
                    <w:autoSpaceDE w:val="0"/>
                    <w:autoSpaceDN w:val="0"/>
                    <w:adjustRightInd w:val="0"/>
                    <w:snapToGrid w:val="0"/>
                    <w:jc w:val="center"/>
                    <w:rPr>
                      <w:rFonts w:hint="eastAsia" w:ascii="Times New Roman" w:hAnsi="Times New Roman" w:eastAsia="宋体"/>
                      <w:kern w:val="2"/>
                      <w:sz w:val="21"/>
                      <w:szCs w:val="21"/>
                      <w:lang w:val="en-US" w:eastAsia="zh-CN" w:bidi="ar-SA"/>
                    </w:rPr>
                  </w:pPr>
                  <w:r>
                    <w:rPr>
                      <w:rFonts w:hint="eastAsia"/>
                      <w:sz w:val="21"/>
                      <w:szCs w:val="21"/>
                      <w:lang w:val="en-US" w:eastAsia="zh-CN"/>
                    </w:rPr>
                    <w:t>TSP</w:t>
                  </w:r>
                </w:p>
              </w:tc>
              <w:tc>
                <w:tcPr>
                  <w:tcW w:w="1195" w:type="dxa"/>
                  <w:shd w:val="clear" w:color="auto" w:fill="auto"/>
                  <w:noWrap w:val="0"/>
                  <w:vAlign w:val="center"/>
                </w:tcPr>
                <w:p w14:paraId="43967FE7">
                  <w:pPr>
                    <w:overflowPunct w:val="0"/>
                    <w:autoSpaceDE w:val="0"/>
                    <w:autoSpaceDN w:val="0"/>
                    <w:adjustRightInd w:val="0"/>
                    <w:snapToGrid w:val="0"/>
                    <w:jc w:val="center"/>
                    <w:rPr>
                      <w:rFonts w:hint="eastAsia" w:ascii="Times New Roman" w:hAnsi="Times New Roman"/>
                      <w:kern w:val="2"/>
                      <w:sz w:val="21"/>
                      <w:szCs w:val="21"/>
                      <w:lang w:val="en-US" w:eastAsia="zh-CN" w:bidi="ar-SA"/>
                    </w:rPr>
                  </w:pPr>
                  <w:r>
                    <w:rPr>
                      <w:rFonts w:hint="eastAsia"/>
                      <w:sz w:val="21"/>
                      <w:szCs w:val="21"/>
                    </w:rPr>
                    <w:t>20</w:t>
                  </w:r>
                </w:p>
              </w:tc>
              <w:tc>
                <w:tcPr>
                  <w:tcW w:w="1169" w:type="dxa"/>
                  <w:shd w:val="clear" w:color="auto" w:fill="auto"/>
                  <w:noWrap w:val="0"/>
                  <w:vAlign w:val="center"/>
                </w:tcPr>
                <w:p w14:paraId="16B2419A">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1389" w:type="dxa"/>
                  <w:shd w:val="clear" w:color="auto" w:fill="auto"/>
                  <w:noWrap w:val="0"/>
                  <w:vAlign w:val="center"/>
                </w:tcPr>
                <w:p w14:paraId="7F0F15AA">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1.0</w:t>
                  </w:r>
                </w:p>
              </w:tc>
              <w:tc>
                <w:tcPr>
                  <w:tcW w:w="2190" w:type="dxa"/>
                  <w:shd w:val="clear" w:color="auto" w:fill="auto"/>
                  <w:noWrap w:val="0"/>
                  <w:vAlign w:val="center"/>
                </w:tcPr>
                <w:p w14:paraId="7AEFAE50">
                  <w:pPr>
                    <w:overflowPunct w:val="0"/>
                    <w:autoSpaceDE w:val="0"/>
                    <w:autoSpaceDN w:val="0"/>
                    <w:adjustRightInd w:val="0"/>
                    <w:snapToGrid w:val="0"/>
                    <w:jc w:val="center"/>
                    <w:rPr>
                      <w:rFonts w:hint="eastAsia"/>
                      <w:sz w:val="21"/>
                      <w:szCs w:val="21"/>
                    </w:rPr>
                  </w:pPr>
                  <w:r>
                    <w:rPr>
                      <w:rFonts w:hint="eastAsia"/>
                      <w:sz w:val="21"/>
                      <w:szCs w:val="21"/>
                      <w:lang w:eastAsia="zh-CN"/>
                    </w:rPr>
                    <w:t>《石油化学工业污染物排放标准》（</w:t>
                  </w:r>
                  <w:r>
                    <w:rPr>
                      <w:rFonts w:hint="eastAsia"/>
                      <w:sz w:val="21"/>
                      <w:szCs w:val="21"/>
                      <w:lang w:val="en-US" w:eastAsia="zh-CN"/>
                    </w:rPr>
                    <w:t>GB31571-2015</w:t>
                  </w:r>
                  <w:r>
                    <w:rPr>
                      <w:rFonts w:hint="eastAsia"/>
                      <w:sz w:val="21"/>
                      <w:szCs w:val="21"/>
                      <w:lang w:eastAsia="zh-CN"/>
                    </w:rPr>
                    <w:t>）</w:t>
                  </w:r>
                </w:p>
              </w:tc>
            </w:tr>
            <w:tr w14:paraId="2190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noWrap w:val="0"/>
                  <w:vAlign w:val="center"/>
                </w:tcPr>
                <w:p w14:paraId="51F650C2">
                  <w:pPr>
                    <w:overflowPunct w:val="0"/>
                    <w:autoSpaceDE w:val="0"/>
                    <w:autoSpaceDN w:val="0"/>
                    <w:adjustRightInd w:val="0"/>
                    <w:snapToGrid w:val="0"/>
                    <w:jc w:val="center"/>
                    <w:rPr>
                      <w:rFonts w:hint="eastAsia"/>
                      <w:sz w:val="21"/>
                      <w:szCs w:val="21"/>
                    </w:rPr>
                  </w:pPr>
                </w:p>
              </w:tc>
              <w:tc>
                <w:tcPr>
                  <w:tcW w:w="863" w:type="dxa"/>
                  <w:shd w:val="clear" w:color="auto" w:fill="auto"/>
                  <w:noWrap w:val="0"/>
                  <w:vAlign w:val="center"/>
                </w:tcPr>
                <w:p w14:paraId="1BFF295D">
                  <w:pPr>
                    <w:overflowPunct w:val="0"/>
                    <w:autoSpaceDE w:val="0"/>
                    <w:autoSpaceDN w:val="0"/>
                    <w:adjustRightInd w:val="0"/>
                    <w:snapToGrid w:val="0"/>
                    <w:jc w:val="center"/>
                    <w:rPr>
                      <w:rFonts w:hint="eastAsia" w:ascii="Times New Roman" w:hAnsi="Times New Roman"/>
                      <w:kern w:val="2"/>
                      <w:sz w:val="21"/>
                      <w:szCs w:val="21"/>
                      <w:lang w:val="en-US" w:eastAsia="zh-CN" w:bidi="ar-SA"/>
                    </w:rPr>
                  </w:pPr>
                  <w:r>
                    <w:rPr>
                      <w:rFonts w:hint="eastAsia"/>
                      <w:sz w:val="21"/>
                      <w:szCs w:val="21"/>
                      <w:lang w:eastAsia="zh-CN"/>
                    </w:rPr>
                    <w:t>非甲烷总烃</w:t>
                  </w:r>
                </w:p>
              </w:tc>
              <w:tc>
                <w:tcPr>
                  <w:tcW w:w="1195" w:type="dxa"/>
                  <w:shd w:val="clear" w:color="auto" w:fill="auto"/>
                  <w:noWrap w:val="0"/>
                  <w:vAlign w:val="center"/>
                </w:tcPr>
                <w:p w14:paraId="6423A060">
                  <w:pPr>
                    <w:overflowPunct w:val="0"/>
                    <w:autoSpaceDE w:val="0"/>
                    <w:autoSpaceDN w:val="0"/>
                    <w:adjustRightInd w:val="0"/>
                    <w:snapToGrid w:val="0"/>
                    <w:jc w:val="center"/>
                    <w:rPr>
                      <w:rFonts w:hint="default" w:ascii="Times New Roman" w:hAnsi="Times New Roman" w:eastAsia="宋体"/>
                      <w:kern w:val="2"/>
                      <w:sz w:val="21"/>
                      <w:szCs w:val="21"/>
                      <w:lang w:val="en-US" w:eastAsia="zh-CN" w:bidi="ar-SA"/>
                    </w:rPr>
                  </w:pPr>
                  <w:r>
                    <w:rPr>
                      <w:rFonts w:hint="eastAsia"/>
                      <w:sz w:val="21"/>
                      <w:szCs w:val="21"/>
                      <w:lang w:val="en-US" w:eastAsia="zh-CN"/>
                    </w:rPr>
                    <w:t>120</w:t>
                  </w:r>
                </w:p>
              </w:tc>
              <w:tc>
                <w:tcPr>
                  <w:tcW w:w="1169" w:type="dxa"/>
                  <w:shd w:val="clear" w:color="auto" w:fill="auto"/>
                  <w:noWrap w:val="0"/>
                  <w:vAlign w:val="center"/>
                </w:tcPr>
                <w:p w14:paraId="56938FA2">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19.6（24m排气筒折算）</w:t>
                  </w:r>
                </w:p>
              </w:tc>
              <w:tc>
                <w:tcPr>
                  <w:tcW w:w="1389" w:type="dxa"/>
                  <w:shd w:val="clear" w:color="auto" w:fill="auto"/>
                  <w:noWrap w:val="0"/>
                  <w:vAlign w:val="center"/>
                </w:tcPr>
                <w:p w14:paraId="10D5C180">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4.0</w:t>
                  </w:r>
                </w:p>
              </w:tc>
              <w:tc>
                <w:tcPr>
                  <w:tcW w:w="2190" w:type="dxa"/>
                  <w:shd w:val="clear" w:color="auto" w:fill="auto"/>
                  <w:noWrap w:val="0"/>
                  <w:vAlign w:val="center"/>
                </w:tcPr>
                <w:p w14:paraId="21CC78C1">
                  <w:pPr>
                    <w:overflowPunct w:val="0"/>
                    <w:autoSpaceDE w:val="0"/>
                    <w:autoSpaceDN w:val="0"/>
                    <w:adjustRightInd w:val="0"/>
                    <w:snapToGrid w:val="0"/>
                    <w:jc w:val="center"/>
                    <w:rPr>
                      <w:rFonts w:hint="eastAsia"/>
                      <w:sz w:val="21"/>
                      <w:szCs w:val="21"/>
                    </w:rPr>
                  </w:pPr>
                  <w:r>
                    <w:rPr>
                      <w:rFonts w:hint="eastAsia"/>
                      <w:sz w:val="21"/>
                      <w:szCs w:val="21"/>
                      <w:lang w:eastAsia="zh-CN"/>
                    </w:rPr>
                    <w:t>《大气污染物综合排放标准》（</w:t>
                  </w:r>
                  <w:r>
                    <w:rPr>
                      <w:rFonts w:hint="eastAsia"/>
                      <w:sz w:val="21"/>
                      <w:szCs w:val="21"/>
                      <w:lang w:val="en-US" w:eastAsia="zh-CN"/>
                    </w:rPr>
                    <w:t>GB16297-1996</w:t>
                  </w:r>
                  <w:r>
                    <w:rPr>
                      <w:rFonts w:hint="eastAsia"/>
                      <w:sz w:val="21"/>
                      <w:szCs w:val="21"/>
                      <w:lang w:eastAsia="zh-CN"/>
                    </w:rPr>
                    <w:t>）</w:t>
                  </w:r>
                </w:p>
              </w:tc>
            </w:tr>
            <w:tr w14:paraId="5123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restart"/>
                  <w:shd w:val="clear" w:color="auto" w:fill="auto"/>
                  <w:noWrap w:val="0"/>
                  <w:vAlign w:val="center"/>
                </w:tcPr>
                <w:p w14:paraId="18226218">
                  <w:pPr>
                    <w:overflowPunct w:val="0"/>
                    <w:autoSpaceDE w:val="0"/>
                    <w:autoSpaceDN w:val="0"/>
                    <w:adjustRightInd w:val="0"/>
                    <w:snapToGrid w:val="0"/>
                    <w:jc w:val="center"/>
                    <w:rPr>
                      <w:rFonts w:hint="eastAsia" w:ascii="Times New Roman" w:hAnsi="Times New Roman"/>
                      <w:kern w:val="2"/>
                      <w:sz w:val="21"/>
                      <w:szCs w:val="21"/>
                      <w:lang w:val="en-US" w:eastAsia="zh-CN" w:bidi="ar-SA"/>
                    </w:rPr>
                  </w:pPr>
                  <w:r>
                    <w:rPr>
                      <w:rFonts w:hint="eastAsia"/>
                      <w:sz w:val="21"/>
                      <w:szCs w:val="21"/>
                    </w:rPr>
                    <w:t>喷雾干燥塔</w:t>
                  </w:r>
                </w:p>
              </w:tc>
              <w:tc>
                <w:tcPr>
                  <w:tcW w:w="863" w:type="dxa"/>
                  <w:shd w:val="clear" w:color="auto" w:fill="auto"/>
                  <w:noWrap w:val="0"/>
                  <w:vAlign w:val="center"/>
                </w:tcPr>
                <w:p w14:paraId="6A997713">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TSP</w:t>
                  </w:r>
                </w:p>
              </w:tc>
              <w:tc>
                <w:tcPr>
                  <w:tcW w:w="1195" w:type="dxa"/>
                  <w:shd w:val="clear" w:color="auto" w:fill="auto"/>
                  <w:noWrap w:val="0"/>
                  <w:vAlign w:val="center"/>
                </w:tcPr>
                <w:p w14:paraId="4ED3AD0E">
                  <w:pPr>
                    <w:overflowPunct w:val="0"/>
                    <w:autoSpaceDE w:val="0"/>
                    <w:autoSpaceDN w:val="0"/>
                    <w:adjustRightInd w:val="0"/>
                    <w:snapToGrid w:val="0"/>
                    <w:jc w:val="center"/>
                    <w:rPr>
                      <w:sz w:val="21"/>
                      <w:szCs w:val="21"/>
                    </w:rPr>
                  </w:pPr>
                  <w:r>
                    <w:rPr>
                      <w:rFonts w:hint="eastAsia"/>
                      <w:sz w:val="21"/>
                      <w:szCs w:val="21"/>
                    </w:rPr>
                    <w:t>20</w:t>
                  </w:r>
                </w:p>
              </w:tc>
              <w:tc>
                <w:tcPr>
                  <w:tcW w:w="1169" w:type="dxa"/>
                  <w:shd w:val="clear" w:color="auto" w:fill="auto"/>
                  <w:noWrap w:val="0"/>
                  <w:vAlign w:val="center"/>
                </w:tcPr>
                <w:p w14:paraId="5ACB8603">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1389" w:type="dxa"/>
                  <w:shd w:val="clear" w:color="auto" w:fill="auto"/>
                  <w:noWrap w:val="0"/>
                  <w:vAlign w:val="center"/>
                </w:tcPr>
                <w:p w14:paraId="6A773581">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1.0</w:t>
                  </w:r>
                </w:p>
              </w:tc>
              <w:tc>
                <w:tcPr>
                  <w:tcW w:w="2190" w:type="dxa"/>
                  <w:shd w:val="clear" w:color="auto" w:fill="auto"/>
                  <w:noWrap w:val="0"/>
                  <w:vAlign w:val="center"/>
                </w:tcPr>
                <w:p w14:paraId="3F1AC4E1">
                  <w:pPr>
                    <w:overflowPunct w:val="0"/>
                    <w:autoSpaceDE w:val="0"/>
                    <w:autoSpaceDN w:val="0"/>
                    <w:adjustRightInd w:val="0"/>
                    <w:snapToGrid w:val="0"/>
                    <w:jc w:val="center"/>
                    <w:rPr>
                      <w:sz w:val="21"/>
                      <w:szCs w:val="21"/>
                    </w:rPr>
                  </w:pPr>
                  <w:r>
                    <w:rPr>
                      <w:rFonts w:hint="eastAsia"/>
                      <w:sz w:val="21"/>
                      <w:szCs w:val="21"/>
                      <w:lang w:eastAsia="zh-CN"/>
                    </w:rPr>
                    <w:t>《石油化学工业污染物排放标准》（</w:t>
                  </w:r>
                  <w:r>
                    <w:rPr>
                      <w:rFonts w:hint="eastAsia"/>
                      <w:sz w:val="21"/>
                      <w:szCs w:val="21"/>
                      <w:lang w:val="en-US" w:eastAsia="zh-CN"/>
                    </w:rPr>
                    <w:t>GB31571-2015</w:t>
                  </w:r>
                  <w:r>
                    <w:rPr>
                      <w:rFonts w:hint="eastAsia"/>
                      <w:sz w:val="21"/>
                      <w:szCs w:val="21"/>
                      <w:lang w:eastAsia="zh-CN"/>
                    </w:rPr>
                    <w:t>）</w:t>
                  </w:r>
                </w:p>
              </w:tc>
            </w:tr>
            <w:tr w14:paraId="0A69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noWrap w:val="0"/>
                  <w:vAlign w:val="center"/>
                </w:tcPr>
                <w:p w14:paraId="107CA189">
                  <w:pPr>
                    <w:overflowPunct w:val="0"/>
                    <w:autoSpaceDE w:val="0"/>
                    <w:autoSpaceDN w:val="0"/>
                    <w:adjustRightInd w:val="0"/>
                    <w:snapToGrid w:val="0"/>
                    <w:jc w:val="center"/>
                    <w:rPr>
                      <w:rFonts w:hint="eastAsia"/>
                      <w:sz w:val="21"/>
                      <w:szCs w:val="21"/>
                    </w:rPr>
                  </w:pPr>
                </w:p>
              </w:tc>
              <w:tc>
                <w:tcPr>
                  <w:tcW w:w="863" w:type="dxa"/>
                  <w:shd w:val="clear" w:color="auto" w:fill="auto"/>
                  <w:noWrap w:val="0"/>
                  <w:vAlign w:val="center"/>
                </w:tcPr>
                <w:p w14:paraId="7A5B80FE">
                  <w:pPr>
                    <w:overflowPunct w:val="0"/>
                    <w:autoSpaceDE w:val="0"/>
                    <w:autoSpaceDN w:val="0"/>
                    <w:adjustRightInd w:val="0"/>
                    <w:snapToGrid w:val="0"/>
                    <w:jc w:val="center"/>
                    <w:rPr>
                      <w:rFonts w:hint="eastAsia" w:eastAsia="宋体"/>
                      <w:sz w:val="21"/>
                      <w:szCs w:val="21"/>
                      <w:lang w:eastAsia="zh-CN"/>
                    </w:rPr>
                  </w:pPr>
                  <w:r>
                    <w:rPr>
                      <w:rFonts w:hint="eastAsia"/>
                      <w:sz w:val="21"/>
                      <w:szCs w:val="21"/>
                      <w:lang w:eastAsia="zh-CN"/>
                    </w:rPr>
                    <w:t>甲醛</w:t>
                  </w:r>
                </w:p>
              </w:tc>
              <w:tc>
                <w:tcPr>
                  <w:tcW w:w="1195" w:type="dxa"/>
                  <w:shd w:val="clear" w:color="auto" w:fill="auto"/>
                  <w:noWrap w:val="0"/>
                  <w:vAlign w:val="center"/>
                </w:tcPr>
                <w:p w14:paraId="3516048E">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5.0</w:t>
                  </w:r>
                </w:p>
              </w:tc>
              <w:tc>
                <w:tcPr>
                  <w:tcW w:w="1169" w:type="dxa"/>
                  <w:shd w:val="clear" w:color="auto" w:fill="auto"/>
                  <w:noWrap w:val="0"/>
                  <w:vAlign w:val="center"/>
                </w:tcPr>
                <w:p w14:paraId="11216764">
                  <w:pPr>
                    <w:overflowPunct w:val="0"/>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1389" w:type="dxa"/>
                  <w:shd w:val="clear" w:color="auto" w:fill="auto"/>
                  <w:noWrap w:val="0"/>
                  <w:vAlign w:val="center"/>
                </w:tcPr>
                <w:p w14:paraId="55A41592">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0.2</w:t>
                  </w:r>
                </w:p>
              </w:tc>
              <w:tc>
                <w:tcPr>
                  <w:tcW w:w="2190" w:type="dxa"/>
                  <w:shd w:val="clear" w:color="auto" w:fill="auto"/>
                  <w:noWrap w:val="0"/>
                  <w:vAlign w:val="center"/>
                </w:tcPr>
                <w:p w14:paraId="75535FC2">
                  <w:pPr>
                    <w:overflowPunct w:val="0"/>
                    <w:autoSpaceDE w:val="0"/>
                    <w:autoSpaceDN w:val="0"/>
                    <w:adjustRightInd w:val="0"/>
                    <w:snapToGrid w:val="0"/>
                    <w:jc w:val="center"/>
                    <w:rPr>
                      <w:sz w:val="21"/>
                      <w:szCs w:val="21"/>
                    </w:rPr>
                  </w:pPr>
                  <w:r>
                    <w:rPr>
                      <w:rFonts w:hint="eastAsia"/>
                      <w:sz w:val="21"/>
                      <w:szCs w:val="21"/>
                      <w:lang w:eastAsia="zh-CN"/>
                    </w:rPr>
                    <w:t>《大气污染物综合排放标准》（</w:t>
                  </w:r>
                  <w:r>
                    <w:rPr>
                      <w:rFonts w:hint="eastAsia"/>
                      <w:sz w:val="21"/>
                      <w:szCs w:val="21"/>
                      <w:lang w:val="en-US" w:eastAsia="zh-CN"/>
                    </w:rPr>
                    <w:t>GB16297-1996</w:t>
                  </w:r>
                  <w:r>
                    <w:rPr>
                      <w:rFonts w:hint="eastAsia"/>
                      <w:sz w:val="21"/>
                      <w:szCs w:val="21"/>
                      <w:lang w:eastAsia="zh-CN"/>
                    </w:rPr>
                    <w:t>）</w:t>
                  </w:r>
                </w:p>
              </w:tc>
            </w:tr>
            <w:tr w14:paraId="33CB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noWrap w:val="0"/>
                  <w:vAlign w:val="center"/>
                </w:tcPr>
                <w:p w14:paraId="499B555D">
                  <w:pPr>
                    <w:overflowPunct w:val="0"/>
                    <w:autoSpaceDE w:val="0"/>
                    <w:autoSpaceDN w:val="0"/>
                    <w:adjustRightInd w:val="0"/>
                    <w:snapToGrid w:val="0"/>
                    <w:jc w:val="center"/>
                    <w:rPr>
                      <w:rFonts w:hint="eastAsia"/>
                      <w:sz w:val="21"/>
                      <w:szCs w:val="21"/>
                    </w:rPr>
                  </w:pPr>
                </w:p>
              </w:tc>
              <w:tc>
                <w:tcPr>
                  <w:tcW w:w="863" w:type="dxa"/>
                  <w:shd w:val="clear" w:color="auto" w:fill="auto"/>
                  <w:noWrap w:val="0"/>
                  <w:vAlign w:val="center"/>
                </w:tcPr>
                <w:p w14:paraId="4167B32E">
                  <w:pPr>
                    <w:overflowPunct w:val="0"/>
                    <w:autoSpaceDE w:val="0"/>
                    <w:autoSpaceDN w:val="0"/>
                    <w:adjustRightInd w:val="0"/>
                    <w:snapToGrid w:val="0"/>
                    <w:jc w:val="center"/>
                    <w:rPr>
                      <w:rFonts w:hint="eastAsia"/>
                      <w:sz w:val="21"/>
                      <w:szCs w:val="21"/>
                    </w:rPr>
                  </w:pPr>
                  <w:r>
                    <w:rPr>
                      <w:rFonts w:hint="eastAsia"/>
                      <w:sz w:val="21"/>
                      <w:szCs w:val="21"/>
                      <w:lang w:eastAsia="zh-CN"/>
                    </w:rPr>
                    <w:t>萘（非甲烷总烃）</w:t>
                  </w:r>
                </w:p>
              </w:tc>
              <w:tc>
                <w:tcPr>
                  <w:tcW w:w="1195" w:type="dxa"/>
                  <w:shd w:val="clear" w:color="auto" w:fill="auto"/>
                  <w:noWrap w:val="0"/>
                  <w:vAlign w:val="center"/>
                </w:tcPr>
                <w:p w14:paraId="68D2EF19">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120</w:t>
                  </w:r>
                </w:p>
              </w:tc>
              <w:tc>
                <w:tcPr>
                  <w:tcW w:w="1169" w:type="dxa"/>
                  <w:shd w:val="clear" w:color="auto" w:fill="auto"/>
                  <w:noWrap w:val="0"/>
                  <w:vAlign w:val="center"/>
                </w:tcPr>
                <w:p w14:paraId="38D43DAC">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19.6</w:t>
                  </w:r>
                </w:p>
              </w:tc>
              <w:tc>
                <w:tcPr>
                  <w:tcW w:w="1389" w:type="dxa"/>
                  <w:shd w:val="clear" w:color="auto" w:fill="auto"/>
                  <w:noWrap w:val="0"/>
                  <w:vAlign w:val="center"/>
                </w:tcPr>
                <w:p w14:paraId="5687BF25">
                  <w:pPr>
                    <w:overflowPunct w:val="0"/>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4.0</w:t>
                  </w:r>
                </w:p>
              </w:tc>
              <w:tc>
                <w:tcPr>
                  <w:tcW w:w="2190" w:type="dxa"/>
                  <w:shd w:val="clear" w:color="auto" w:fill="auto"/>
                  <w:noWrap w:val="0"/>
                  <w:vAlign w:val="center"/>
                </w:tcPr>
                <w:p w14:paraId="5D1FC035">
                  <w:pPr>
                    <w:overflowPunct w:val="0"/>
                    <w:autoSpaceDE w:val="0"/>
                    <w:autoSpaceDN w:val="0"/>
                    <w:adjustRightInd w:val="0"/>
                    <w:snapToGrid w:val="0"/>
                    <w:jc w:val="center"/>
                    <w:rPr>
                      <w:sz w:val="21"/>
                      <w:szCs w:val="21"/>
                    </w:rPr>
                  </w:pPr>
                  <w:r>
                    <w:rPr>
                      <w:rFonts w:hint="eastAsia"/>
                      <w:sz w:val="21"/>
                      <w:szCs w:val="21"/>
                      <w:lang w:eastAsia="zh-CN"/>
                    </w:rPr>
                    <w:t>《大气污染物综合排放标准》（</w:t>
                  </w:r>
                  <w:r>
                    <w:rPr>
                      <w:rFonts w:hint="eastAsia"/>
                      <w:sz w:val="21"/>
                      <w:szCs w:val="21"/>
                      <w:lang w:val="en-US" w:eastAsia="zh-CN"/>
                    </w:rPr>
                    <w:t>GB16297-1996</w:t>
                  </w:r>
                  <w:r>
                    <w:rPr>
                      <w:rFonts w:hint="eastAsia"/>
                      <w:sz w:val="21"/>
                      <w:szCs w:val="21"/>
                      <w:lang w:eastAsia="zh-CN"/>
                    </w:rPr>
                    <w:t>）</w:t>
                  </w:r>
                </w:p>
              </w:tc>
            </w:tr>
          </w:tbl>
          <w:p w14:paraId="487C585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sz w:val="24"/>
              </w:rPr>
            </w:pPr>
            <w:r>
              <w:rPr>
                <w:rFonts w:hint="eastAsia"/>
                <w:b/>
                <w:bCs/>
                <w:sz w:val="24"/>
              </w:rPr>
              <w:t>2</w:t>
            </w:r>
            <w:r>
              <w:rPr>
                <w:rFonts w:hint="eastAsia"/>
                <w:b/>
                <w:bCs/>
                <w:sz w:val="24"/>
                <w:lang w:val="en-US" w:eastAsia="zh-CN"/>
              </w:rPr>
              <w:t>.</w:t>
            </w:r>
            <w:r>
              <w:rPr>
                <w:b/>
                <w:bCs/>
                <w:sz w:val="24"/>
              </w:rPr>
              <w:t>废水</w:t>
            </w:r>
          </w:p>
          <w:p w14:paraId="6FD6F6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szCs w:val="24"/>
                <w:lang w:eastAsia="zh-CN"/>
              </w:rPr>
            </w:pPr>
            <w:r>
              <w:rPr>
                <w:rFonts w:hint="eastAsia"/>
                <w:color w:val="auto"/>
                <w:sz w:val="24"/>
                <w:szCs w:val="24"/>
                <w:lang w:eastAsia="zh-CN"/>
              </w:rPr>
              <w:t>本项目废水均不外排，</w:t>
            </w:r>
            <w:r>
              <w:rPr>
                <w:rFonts w:hint="eastAsia" w:ascii="Times New Roman" w:hAnsi="宋体" w:eastAsia="宋体" w:cs="Times New Roman"/>
                <w:sz w:val="24"/>
                <w:lang w:eastAsia="zh-CN"/>
              </w:rPr>
              <w:t>离心雾化器冷却用水循环使用不外排，水膜除尘系统废水每个月</w:t>
            </w:r>
            <w:r>
              <w:rPr>
                <w:rFonts w:hint="eastAsia" w:ascii="宋体" w:hAnsi="宋体" w:eastAsia="宋体" w:cs="宋体"/>
                <w:sz w:val="24"/>
                <w:lang w:val="en-US" w:eastAsia="zh-CN"/>
              </w:rPr>
              <w:t>定期将水膜除尘水排入干燥塔蒸发处理一次，</w:t>
            </w:r>
            <w:r>
              <w:rPr>
                <w:rFonts w:hint="eastAsia" w:ascii="Times New Roman" w:hAnsi="宋体" w:eastAsia="宋体" w:cs="Times New Roman"/>
                <w:sz w:val="24"/>
                <w:lang w:eastAsia="zh-CN"/>
              </w:rPr>
              <w:t>项目不对外环境排放污水。</w:t>
            </w:r>
          </w:p>
          <w:p w14:paraId="0FCB8E4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hAnsi="宋体"/>
                <w:b/>
                <w:sz w:val="24"/>
              </w:rPr>
            </w:pPr>
            <w:r>
              <w:rPr>
                <w:rFonts w:hint="eastAsia" w:hAnsi="宋体"/>
                <w:b/>
                <w:sz w:val="24"/>
              </w:rPr>
              <w:t>3</w:t>
            </w:r>
            <w:r>
              <w:rPr>
                <w:rFonts w:hint="eastAsia" w:hAnsi="宋体"/>
                <w:b/>
                <w:sz w:val="24"/>
                <w:lang w:val="en-US" w:eastAsia="zh-CN"/>
              </w:rPr>
              <w:t>.</w:t>
            </w:r>
            <w:r>
              <w:rPr>
                <w:rFonts w:hint="eastAsia" w:hAnsi="宋体"/>
                <w:b/>
                <w:sz w:val="24"/>
              </w:rPr>
              <w:t>噪声</w:t>
            </w:r>
          </w:p>
          <w:p w14:paraId="67803E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hAnsi="宋体"/>
                <w:sz w:val="24"/>
              </w:rPr>
            </w:pPr>
            <w:r>
              <w:rPr>
                <w:rFonts w:hAnsi="宋体"/>
                <w:sz w:val="24"/>
              </w:rPr>
              <w:t>本项目</w:t>
            </w:r>
            <w:r>
              <w:rPr>
                <w:rFonts w:hint="eastAsia" w:ascii="Times New Roman" w:hAnsi="宋体" w:eastAsia="宋体" w:cs="Times New Roman"/>
                <w:sz w:val="24"/>
              </w:rPr>
              <w:t>位于</w:t>
            </w:r>
            <w:r>
              <w:rPr>
                <w:rFonts w:hint="eastAsia" w:ascii="Times New Roman" w:hAnsi="宋体" w:eastAsia="宋体" w:cs="Times New Roman"/>
                <w:sz w:val="24"/>
                <w:lang w:eastAsia="zh-CN"/>
              </w:rPr>
              <w:t>凤翔</w:t>
            </w:r>
            <w:r>
              <w:rPr>
                <w:rFonts w:hint="eastAsia" w:ascii="Times New Roman" w:hAnsi="宋体" w:eastAsia="宋体" w:cs="Times New Roman"/>
                <w:sz w:val="24"/>
              </w:rPr>
              <w:t>长青工业园</w:t>
            </w:r>
            <w:r>
              <w:rPr>
                <w:rFonts w:ascii="Times New Roman" w:hAnsi="宋体" w:eastAsia="宋体" w:cs="Times New Roman"/>
                <w:sz w:val="24"/>
              </w:rPr>
              <w:t>，</w:t>
            </w:r>
            <w:r>
              <w:rPr>
                <w:rFonts w:hAnsi="宋体"/>
                <w:sz w:val="24"/>
              </w:rPr>
              <w:t>运营期厂界噪声执行《工业企业厂界环境噪声排放标准》（GB12348-2008）的3类标准，详见下表。</w:t>
            </w:r>
          </w:p>
          <w:p w14:paraId="7C88D833">
            <w:pPr>
              <w:spacing w:line="500" w:lineRule="exact"/>
              <w:jc w:val="center"/>
              <w:rPr>
                <w:sz w:val="24"/>
              </w:rPr>
            </w:pPr>
            <w:r>
              <w:rPr>
                <w:sz w:val="24"/>
              </w:rPr>
              <w:t>表3-</w:t>
            </w:r>
            <w:r>
              <w:rPr>
                <w:rFonts w:hint="eastAsia"/>
                <w:sz w:val="24"/>
                <w:lang w:val="en-US" w:eastAsia="zh-CN"/>
              </w:rPr>
              <w:t>6</w:t>
            </w:r>
            <w:r>
              <w:rPr>
                <w:sz w:val="24"/>
              </w:rPr>
              <w:t xml:space="preserve">  厂界环境噪声排放标准</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183"/>
              <w:gridCol w:w="1592"/>
              <w:gridCol w:w="1592"/>
              <w:gridCol w:w="1592"/>
            </w:tblGrid>
            <w:tr w14:paraId="17F74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3183" w:type="dxa"/>
                  <w:vMerge w:val="restart"/>
                  <w:shd w:val="clear" w:color="auto" w:fill="auto"/>
                  <w:noWrap w:val="0"/>
                  <w:vAlign w:val="center"/>
                </w:tcPr>
                <w:p w14:paraId="796BE928">
                  <w:pPr>
                    <w:jc w:val="center"/>
                    <w:rPr>
                      <w:rFonts w:hint="eastAsia" w:hAnsi="宋体"/>
                      <w:szCs w:val="21"/>
                    </w:rPr>
                  </w:pPr>
                  <w:r>
                    <w:rPr>
                      <w:rFonts w:hint="eastAsia" w:hAnsi="宋体"/>
                      <w:szCs w:val="21"/>
                    </w:rPr>
                    <w:t>标准名称及类别</w:t>
                  </w:r>
                </w:p>
              </w:tc>
              <w:tc>
                <w:tcPr>
                  <w:tcW w:w="1592" w:type="dxa"/>
                  <w:vMerge w:val="restart"/>
                  <w:shd w:val="clear" w:color="auto" w:fill="auto"/>
                  <w:noWrap w:val="0"/>
                  <w:vAlign w:val="center"/>
                </w:tcPr>
                <w:p w14:paraId="74C33499">
                  <w:pPr>
                    <w:jc w:val="center"/>
                    <w:rPr>
                      <w:rFonts w:hint="eastAsia" w:hAnsi="宋体"/>
                      <w:szCs w:val="21"/>
                    </w:rPr>
                  </w:pPr>
                  <w:r>
                    <w:rPr>
                      <w:rFonts w:hint="eastAsia" w:hAnsi="宋体"/>
                      <w:szCs w:val="21"/>
                    </w:rPr>
                    <w:t>污染因子</w:t>
                  </w:r>
                </w:p>
              </w:tc>
              <w:tc>
                <w:tcPr>
                  <w:tcW w:w="3184" w:type="dxa"/>
                  <w:gridSpan w:val="2"/>
                  <w:shd w:val="clear" w:color="auto" w:fill="auto"/>
                  <w:noWrap w:val="0"/>
                  <w:vAlign w:val="center"/>
                </w:tcPr>
                <w:p w14:paraId="3A0FB384">
                  <w:pPr>
                    <w:jc w:val="center"/>
                    <w:rPr>
                      <w:rFonts w:hint="eastAsia" w:hAnsi="宋体"/>
                      <w:szCs w:val="21"/>
                    </w:rPr>
                  </w:pPr>
                  <w:r>
                    <w:rPr>
                      <w:rFonts w:hint="eastAsia" w:hAnsi="宋体"/>
                      <w:szCs w:val="21"/>
                    </w:rPr>
                    <w:t>标准值</w:t>
                  </w:r>
                </w:p>
              </w:tc>
            </w:tr>
            <w:tr w14:paraId="3896C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183" w:type="dxa"/>
                  <w:vMerge w:val="continue"/>
                  <w:shd w:val="clear" w:color="auto" w:fill="auto"/>
                  <w:noWrap w:val="0"/>
                  <w:vAlign w:val="center"/>
                </w:tcPr>
                <w:p w14:paraId="50346B7A">
                  <w:pPr>
                    <w:jc w:val="center"/>
                    <w:rPr>
                      <w:rFonts w:hint="eastAsia" w:hAnsi="宋体"/>
                      <w:szCs w:val="21"/>
                    </w:rPr>
                  </w:pPr>
                </w:p>
              </w:tc>
              <w:tc>
                <w:tcPr>
                  <w:tcW w:w="1592" w:type="dxa"/>
                  <w:vMerge w:val="continue"/>
                  <w:shd w:val="clear" w:color="auto" w:fill="auto"/>
                  <w:noWrap w:val="0"/>
                  <w:vAlign w:val="center"/>
                </w:tcPr>
                <w:p w14:paraId="1C56E82D">
                  <w:pPr>
                    <w:jc w:val="center"/>
                    <w:rPr>
                      <w:rFonts w:hint="eastAsia" w:hAnsi="宋体"/>
                      <w:szCs w:val="21"/>
                    </w:rPr>
                  </w:pPr>
                </w:p>
              </w:tc>
              <w:tc>
                <w:tcPr>
                  <w:tcW w:w="1592" w:type="dxa"/>
                  <w:shd w:val="clear" w:color="auto" w:fill="auto"/>
                  <w:noWrap w:val="0"/>
                  <w:vAlign w:val="center"/>
                </w:tcPr>
                <w:p w14:paraId="4CA9D808">
                  <w:pPr>
                    <w:jc w:val="center"/>
                    <w:rPr>
                      <w:rFonts w:hint="eastAsia" w:hAnsi="宋体"/>
                      <w:szCs w:val="21"/>
                    </w:rPr>
                  </w:pPr>
                  <w:r>
                    <w:rPr>
                      <w:rFonts w:hint="eastAsia" w:hAnsi="宋体"/>
                      <w:szCs w:val="21"/>
                    </w:rPr>
                    <w:t>类别</w:t>
                  </w:r>
                </w:p>
              </w:tc>
              <w:tc>
                <w:tcPr>
                  <w:tcW w:w="1592" w:type="dxa"/>
                  <w:shd w:val="clear" w:color="auto" w:fill="auto"/>
                  <w:noWrap w:val="0"/>
                  <w:vAlign w:val="center"/>
                </w:tcPr>
                <w:p w14:paraId="1625E2BB">
                  <w:pPr>
                    <w:jc w:val="center"/>
                    <w:rPr>
                      <w:rFonts w:hint="eastAsia" w:hAnsi="宋体"/>
                      <w:szCs w:val="21"/>
                    </w:rPr>
                  </w:pPr>
                  <w:r>
                    <w:rPr>
                      <w:rFonts w:hint="eastAsia" w:hAnsi="宋体"/>
                      <w:szCs w:val="21"/>
                    </w:rPr>
                    <w:t>数值</w:t>
                  </w:r>
                </w:p>
              </w:tc>
            </w:tr>
            <w:tr w14:paraId="7F844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183" w:type="dxa"/>
                  <w:vMerge w:val="restart"/>
                  <w:shd w:val="clear" w:color="auto" w:fill="auto"/>
                  <w:noWrap w:val="0"/>
                  <w:vAlign w:val="center"/>
                </w:tcPr>
                <w:p w14:paraId="56BEB3BD">
                  <w:pPr>
                    <w:jc w:val="center"/>
                    <w:rPr>
                      <w:rFonts w:hint="eastAsia" w:hAnsi="宋体"/>
                      <w:szCs w:val="21"/>
                    </w:rPr>
                  </w:pPr>
                  <w:r>
                    <w:rPr>
                      <w:rFonts w:hint="eastAsia" w:hAnsi="宋体"/>
                      <w:szCs w:val="21"/>
                    </w:rPr>
                    <w:t>《工业企业厂界环境噪声排放标准》（GB12348-2008）3类</w:t>
                  </w:r>
                </w:p>
              </w:tc>
              <w:tc>
                <w:tcPr>
                  <w:tcW w:w="1592" w:type="dxa"/>
                  <w:vMerge w:val="restart"/>
                  <w:shd w:val="clear" w:color="auto" w:fill="auto"/>
                  <w:noWrap w:val="0"/>
                  <w:vAlign w:val="center"/>
                </w:tcPr>
                <w:p w14:paraId="23AFAD27">
                  <w:pPr>
                    <w:jc w:val="center"/>
                    <w:rPr>
                      <w:rFonts w:hint="eastAsia" w:hAnsi="宋体"/>
                      <w:szCs w:val="21"/>
                    </w:rPr>
                  </w:pPr>
                  <w:r>
                    <w:rPr>
                      <w:rFonts w:hint="eastAsia" w:hAnsi="宋体"/>
                      <w:szCs w:val="21"/>
                    </w:rPr>
                    <w:t>噪声</w:t>
                  </w:r>
                </w:p>
              </w:tc>
              <w:tc>
                <w:tcPr>
                  <w:tcW w:w="1592" w:type="dxa"/>
                  <w:shd w:val="clear" w:color="auto" w:fill="auto"/>
                  <w:noWrap w:val="0"/>
                  <w:vAlign w:val="center"/>
                </w:tcPr>
                <w:p w14:paraId="5560E5A0">
                  <w:pPr>
                    <w:jc w:val="center"/>
                    <w:rPr>
                      <w:rFonts w:hint="eastAsia" w:hAnsi="宋体"/>
                      <w:szCs w:val="21"/>
                    </w:rPr>
                  </w:pPr>
                  <w:r>
                    <w:rPr>
                      <w:rFonts w:hint="eastAsia" w:hAnsi="宋体"/>
                      <w:szCs w:val="21"/>
                    </w:rPr>
                    <w:t>昼间</w:t>
                  </w:r>
                </w:p>
              </w:tc>
              <w:tc>
                <w:tcPr>
                  <w:tcW w:w="1592" w:type="dxa"/>
                  <w:shd w:val="clear" w:color="auto" w:fill="auto"/>
                  <w:noWrap w:val="0"/>
                  <w:vAlign w:val="center"/>
                </w:tcPr>
                <w:p w14:paraId="6DE71FFB">
                  <w:pPr>
                    <w:jc w:val="center"/>
                    <w:rPr>
                      <w:rFonts w:hint="eastAsia" w:hAnsi="宋体"/>
                      <w:szCs w:val="21"/>
                    </w:rPr>
                  </w:pPr>
                  <w:r>
                    <w:rPr>
                      <w:rFonts w:hint="eastAsia" w:hAnsi="宋体"/>
                      <w:szCs w:val="21"/>
                    </w:rPr>
                    <w:t>65 dB(A)</w:t>
                  </w:r>
                </w:p>
              </w:tc>
            </w:tr>
            <w:tr w14:paraId="06BC9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183" w:type="dxa"/>
                  <w:vMerge w:val="continue"/>
                  <w:shd w:val="clear" w:color="auto" w:fill="auto"/>
                  <w:noWrap w:val="0"/>
                  <w:vAlign w:val="center"/>
                </w:tcPr>
                <w:p w14:paraId="58405244">
                  <w:pPr>
                    <w:jc w:val="center"/>
                    <w:rPr>
                      <w:rFonts w:hint="eastAsia" w:hAnsi="宋体"/>
                      <w:szCs w:val="21"/>
                    </w:rPr>
                  </w:pPr>
                </w:p>
              </w:tc>
              <w:tc>
                <w:tcPr>
                  <w:tcW w:w="1592" w:type="dxa"/>
                  <w:vMerge w:val="continue"/>
                  <w:shd w:val="clear" w:color="auto" w:fill="auto"/>
                  <w:noWrap w:val="0"/>
                  <w:vAlign w:val="center"/>
                </w:tcPr>
                <w:p w14:paraId="430DA447">
                  <w:pPr>
                    <w:jc w:val="center"/>
                    <w:rPr>
                      <w:rFonts w:hint="eastAsia" w:hAnsi="宋体"/>
                      <w:szCs w:val="21"/>
                    </w:rPr>
                  </w:pPr>
                </w:p>
              </w:tc>
              <w:tc>
                <w:tcPr>
                  <w:tcW w:w="1592" w:type="dxa"/>
                  <w:shd w:val="clear" w:color="auto" w:fill="auto"/>
                  <w:noWrap w:val="0"/>
                  <w:vAlign w:val="center"/>
                </w:tcPr>
                <w:p w14:paraId="12251746">
                  <w:pPr>
                    <w:jc w:val="center"/>
                    <w:rPr>
                      <w:rFonts w:hint="eastAsia" w:hAnsi="宋体"/>
                      <w:szCs w:val="21"/>
                    </w:rPr>
                  </w:pPr>
                  <w:r>
                    <w:rPr>
                      <w:rFonts w:hint="eastAsia" w:hAnsi="宋体"/>
                      <w:szCs w:val="21"/>
                    </w:rPr>
                    <w:t>夜间</w:t>
                  </w:r>
                </w:p>
              </w:tc>
              <w:tc>
                <w:tcPr>
                  <w:tcW w:w="1592" w:type="dxa"/>
                  <w:shd w:val="clear" w:color="auto" w:fill="auto"/>
                  <w:noWrap w:val="0"/>
                  <w:vAlign w:val="center"/>
                </w:tcPr>
                <w:p w14:paraId="6E4A2DD4">
                  <w:pPr>
                    <w:jc w:val="center"/>
                    <w:rPr>
                      <w:rFonts w:hint="eastAsia" w:hAnsi="宋体"/>
                      <w:szCs w:val="21"/>
                    </w:rPr>
                  </w:pPr>
                  <w:r>
                    <w:rPr>
                      <w:rFonts w:hint="eastAsia" w:hAnsi="宋体"/>
                      <w:szCs w:val="21"/>
                    </w:rPr>
                    <w:t>55 dB(A)</w:t>
                  </w:r>
                </w:p>
              </w:tc>
            </w:tr>
          </w:tbl>
          <w:p w14:paraId="0905F007">
            <w:pPr>
              <w:spacing w:line="500" w:lineRule="exact"/>
              <w:ind w:firstLine="482" w:firstLineChars="200"/>
              <w:jc w:val="left"/>
              <w:rPr>
                <w:rFonts w:hint="eastAsia" w:hAnsi="宋体"/>
                <w:b/>
                <w:sz w:val="24"/>
              </w:rPr>
            </w:pPr>
            <w:r>
              <w:rPr>
                <w:rFonts w:hint="eastAsia" w:hAnsi="宋体"/>
                <w:b/>
                <w:sz w:val="24"/>
              </w:rPr>
              <w:t>4、固体废物</w:t>
            </w:r>
          </w:p>
          <w:p w14:paraId="010C06A0">
            <w:pPr>
              <w:spacing w:line="500" w:lineRule="exact"/>
              <w:ind w:firstLine="480" w:firstLineChars="200"/>
              <w:jc w:val="left"/>
              <w:rPr>
                <w:rFonts w:ascii="宋体" w:hAnsi="宋体" w:cs="宋体"/>
                <w:kern w:val="0"/>
                <w:sz w:val="24"/>
              </w:rPr>
            </w:pPr>
            <w:r>
              <w:rPr>
                <w:bCs/>
                <w:kern w:val="0"/>
                <w:sz w:val="24"/>
              </w:rPr>
              <w:t>危险废物贮存执行《危险废物贮存污染控制标准》（GB18597-2023）</w:t>
            </w:r>
            <w:r>
              <w:rPr>
                <w:rFonts w:hint="eastAsia"/>
                <w:bCs/>
                <w:sz w:val="24"/>
              </w:rPr>
              <w:t>及《危险废物识别标志设置技术规范》（HJ 1276-2022）</w:t>
            </w:r>
            <w:r>
              <w:rPr>
                <w:bCs/>
                <w:kern w:val="0"/>
                <w:sz w:val="24"/>
              </w:rPr>
              <w:t>中的有关规定。</w:t>
            </w:r>
          </w:p>
        </w:tc>
      </w:tr>
      <w:tr w14:paraId="31260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1" w:hRule="atLeast"/>
          <w:jc w:val="center"/>
        </w:trPr>
        <w:tc>
          <w:tcPr>
            <w:tcW w:w="800" w:type="dxa"/>
            <w:shd w:val="clear" w:color="auto" w:fill="auto"/>
            <w:noWrap w:val="0"/>
            <w:vAlign w:val="center"/>
          </w:tcPr>
          <w:p w14:paraId="195C7690">
            <w:pPr>
              <w:adjustRightInd w:val="0"/>
              <w:snapToGrid w:val="0"/>
              <w:jc w:val="center"/>
              <w:rPr>
                <w:rFonts w:ascii="宋体" w:hAnsi="宋体" w:cs="宋体"/>
                <w:kern w:val="0"/>
                <w:szCs w:val="21"/>
              </w:rPr>
            </w:pPr>
            <w:r>
              <w:rPr>
                <w:rFonts w:hint="eastAsia" w:ascii="宋体" w:hAnsi="宋体" w:cs="宋体"/>
                <w:kern w:val="0"/>
                <w:szCs w:val="21"/>
              </w:rPr>
              <w:t>总量</w:t>
            </w:r>
          </w:p>
          <w:p w14:paraId="150255BD">
            <w:pPr>
              <w:adjustRightInd w:val="0"/>
              <w:snapToGrid w:val="0"/>
              <w:jc w:val="center"/>
              <w:rPr>
                <w:rFonts w:ascii="宋体" w:hAnsi="宋体" w:cs="宋体"/>
                <w:kern w:val="0"/>
                <w:szCs w:val="21"/>
              </w:rPr>
            </w:pPr>
            <w:r>
              <w:rPr>
                <w:rFonts w:hint="eastAsia" w:ascii="宋体" w:hAnsi="宋体" w:cs="宋体"/>
                <w:kern w:val="0"/>
                <w:szCs w:val="21"/>
              </w:rPr>
              <w:t>控制</w:t>
            </w:r>
          </w:p>
          <w:p w14:paraId="3E9C2930">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shd w:val="clear" w:color="auto" w:fill="auto"/>
            <w:noWrap w:val="0"/>
            <w:vAlign w:val="center"/>
          </w:tcPr>
          <w:p w14:paraId="3B7405B8">
            <w:pPr>
              <w:adjustRightInd w:val="0"/>
              <w:snapToGrid w:val="0"/>
              <w:spacing w:line="360" w:lineRule="auto"/>
              <w:ind w:firstLine="480" w:firstLineChars="200"/>
              <w:jc w:val="left"/>
              <w:rPr>
                <w:rFonts w:hAnsi="宋体"/>
                <w:kern w:val="0"/>
                <w:sz w:val="24"/>
                <w:highlight w:val="none"/>
              </w:rPr>
            </w:pPr>
          </w:p>
          <w:p w14:paraId="1CE7F0EB">
            <w:pPr>
              <w:adjustRightInd w:val="0"/>
              <w:snapToGrid w:val="0"/>
              <w:spacing w:line="360" w:lineRule="auto"/>
              <w:ind w:firstLine="480" w:firstLineChars="200"/>
              <w:jc w:val="left"/>
              <w:rPr>
                <w:rFonts w:hAnsi="宋体"/>
                <w:kern w:val="0"/>
                <w:sz w:val="24"/>
                <w:highlight w:val="none"/>
              </w:rPr>
            </w:pPr>
          </w:p>
          <w:p w14:paraId="60560FB8">
            <w:pPr>
              <w:adjustRightInd w:val="0"/>
              <w:snapToGrid w:val="0"/>
              <w:spacing w:line="360" w:lineRule="auto"/>
              <w:ind w:firstLine="480" w:firstLineChars="200"/>
              <w:jc w:val="left"/>
              <w:rPr>
                <w:rFonts w:hAnsi="宋体"/>
                <w:kern w:val="0"/>
                <w:sz w:val="24"/>
                <w:highlight w:val="none"/>
              </w:rPr>
            </w:pPr>
          </w:p>
          <w:p w14:paraId="41CA92B7">
            <w:pPr>
              <w:adjustRightInd w:val="0"/>
              <w:snapToGrid w:val="0"/>
              <w:spacing w:line="360" w:lineRule="auto"/>
              <w:ind w:firstLine="480" w:firstLineChars="200"/>
              <w:jc w:val="left"/>
              <w:rPr>
                <w:rFonts w:hAnsi="宋体"/>
                <w:kern w:val="0"/>
                <w:sz w:val="24"/>
                <w:highlight w:val="none"/>
              </w:rPr>
            </w:pPr>
          </w:p>
          <w:p w14:paraId="10F8CF06">
            <w:pPr>
              <w:adjustRightInd w:val="0"/>
              <w:snapToGrid w:val="0"/>
              <w:spacing w:line="360" w:lineRule="auto"/>
              <w:ind w:firstLine="480" w:firstLineChars="200"/>
              <w:jc w:val="left"/>
              <w:rPr>
                <w:rFonts w:hAnsi="宋体"/>
                <w:kern w:val="0"/>
                <w:sz w:val="24"/>
                <w:highlight w:val="none"/>
              </w:rPr>
            </w:pPr>
          </w:p>
          <w:p w14:paraId="259449BA">
            <w:pPr>
              <w:adjustRightInd w:val="0"/>
              <w:snapToGrid w:val="0"/>
              <w:spacing w:line="360" w:lineRule="auto"/>
              <w:ind w:firstLine="480" w:firstLineChars="200"/>
              <w:jc w:val="left"/>
              <w:rPr>
                <w:rFonts w:hAnsi="宋体"/>
                <w:kern w:val="0"/>
                <w:sz w:val="24"/>
                <w:highlight w:val="none"/>
              </w:rPr>
            </w:pPr>
          </w:p>
          <w:p w14:paraId="302776E1">
            <w:pPr>
              <w:adjustRightInd w:val="0"/>
              <w:snapToGrid w:val="0"/>
              <w:spacing w:line="360" w:lineRule="auto"/>
              <w:ind w:firstLine="480" w:firstLineChars="200"/>
              <w:jc w:val="left"/>
              <w:rPr>
                <w:rFonts w:hAnsi="宋体"/>
                <w:kern w:val="0"/>
                <w:sz w:val="24"/>
                <w:highlight w:val="none"/>
              </w:rPr>
            </w:pPr>
          </w:p>
          <w:p w14:paraId="2C26B363">
            <w:pPr>
              <w:adjustRightInd w:val="0"/>
              <w:snapToGrid w:val="0"/>
              <w:spacing w:line="360" w:lineRule="auto"/>
              <w:ind w:firstLine="480" w:firstLineChars="200"/>
              <w:jc w:val="left"/>
              <w:rPr>
                <w:rFonts w:hAnsi="宋体"/>
                <w:kern w:val="0"/>
                <w:sz w:val="24"/>
                <w:highlight w:val="none"/>
              </w:rPr>
            </w:pPr>
          </w:p>
          <w:p w14:paraId="46E4941E">
            <w:pPr>
              <w:adjustRightInd w:val="0"/>
              <w:snapToGrid w:val="0"/>
              <w:spacing w:line="360" w:lineRule="auto"/>
              <w:ind w:firstLine="480" w:firstLineChars="200"/>
              <w:jc w:val="left"/>
              <w:rPr>
                <w:rFonts w:hAnsi="宋体"/>
                <w:kern w:val="0"/>
                <w:sz w:val="24"/>
                <w:highlight w:val="none"/>
              </w:rPr>
            </w:pPr>
          </w:p>
          <w:p w14:paraId="165F2219">
            <w:pPr>
              <w:adjustRightInd w:val="0"/>
              <w:snapToGrid w:val="0"/>
              <w:spacing w:line="360" w:lineRule="auto"/>
              <w:ind w:firstLine="480" w:firstLineChars="200"/>
              <w:jc w:val="left"/>
              <w:rPr>
                <w:rFonts w:hAnsi="宋体"/>
                <w:kern w:val="0"/>
                <w:sz w:val="24"/>
                <w:highlight w:val="none"/>
              </w:rPr>
            </w:pPr>
          </w:p>
          <w:p w14:paraId="4F257649">
            <w:pPr>
              <w:adjustRightInd w:val="0"/>
              <w:snapToGrid w:val="0"/>
              <w:spacing w:line="360" w:lineRule="auto"/>
              <w:ind w:firstLine="480" w:firstLineChars="200"/>
              <w:jc w:val="left"/>
              <w:rPr>
                <w:rFonts w:hAnsi="宋体"/>
                <w:kern w:val="0"/>
                <w:sz w:val="24"/>
                <w:highlight w:val="none"/>
              </w:rPr>
            </w:pPr>
          </w:p>
          <w:p w14:paraId="67EA6EB2">
            <w:pPr>
              <w:adjustRightInd w:val="0"/>
              <w:snapToGrid w:val="0"/>
              <w:spacing w:line="360" w:lineRule="auto"/>
              <w:ind w:firstLine="480" w:firstLineChars="200"/>
              <w:jc w:val="left"/>
              <w:rPr>
                <w:rFonts w:hint="eastAsia" w:hAnsi="宋体"/>
                <w:kern w:val="0"/>
                <w:sz w:val="24"/>
                <w:highlight w:val="none"/>
              </w:rPr>
            </w:pPr>
            <w:r>
              <w:rPr>
                <w:rFonts w:hAnsi="宋体"/>
                <w:kern w:val="0"/>
                <w:sz w:val="24"/>
                <w:highlight w:val="none"/>
              </w:rPr>
              <w:t>本项目实施后</w:t>
            </w:r>
            <w:r>
              <w:rPr>
                <w:rFonts w:hint="eastAsia" w:hAnsi="宋体"/>
                <w:kern w:val="0"/>
                <w:sz w:val="24"/>
                <w:highlight w:val="none"/>
              </w:rPr>
              <w:t>全厂排放量为</w:t>
            </w:r>
            <w:r>
              <w:rPr>
                <w:rFonts w:hAnsi="宋体"/>
                <w:kern w:val="0"/>
                <w:sz w:val="24"/>
                <w:highlight w:val="none"/>
              </w:rPr>
              <w:t>颗粒物</w:t>
            </w:r>
            <w:r>
              <w:rPr>
                <w:rFonts w:hint="eastAsia" w:hAnsi="宋体"/>
                <w:kern w:val="0"/>
                <w:sz w:val="24"/>
                <w:highlight w:val="none"/>
                <w:lang w:val="en-US" w:eastAsia="zh-CN"/>
              </w:rPr>
              <w:t>1.45</w:t>
            </w:r>
            <w:r>
              <w:rPr>
                <w:rFonts w:hint="eastAsia" w:hAnsi="宋体"/>
                <w:kern w:val="0"/>
                <w:sz w:val="24"/>
                <w:highlight w:val="none"/>
              </w:rPr>
              <w:t>t/a</w:t>
            </w:r>
            <w:r>
              <w:rPr>
                <w:rFonts w:hAnsi="宋体"/>
                <w:kern w:val="0"/>
                <w:sz w:val="24"/>
                <w:highlight w:val="none"/>
              </w:rPr>
              <w:t>、</w:t>
            </w:r>
            <w:r>
              <w:rPr>
                <w:rFonts w:hint="eastAsia" w:hAnsi="宋体"/>
                <w:kern w:val="0"/>
                <w:sz w:val="24"/>
                <w:highlight w:val="none"/>
                <w:lang w:eastAsia="zh-CN"/>
              </w:rPr>
              <w:t>甲醛</w:t>
            </w:r>
            <w:r>
              <w:rPr>
                <w:rFonts w:hint="eastAsia" w:hAnsi="宋体"/>
                <w:kern w:val="0"/>
                <w:sz w:val="24"/>
                <w:highlight w:val="none"/>
                <w:lang w:val="en-US" w:eastAsia="zh-CN"/>
              </w:rPr>
              <w:t>1.218</w:t>
            </w:r>
            <w:r>
              <w:rPr>
                <w:rFonts w:hint="eastAsia" w:hAnsi="宋体"/>
                <w:kern w:val="0"/>
                <w:sz w:val="24"/>
                <w:highlight w:val="none"/>
              </w:rPr>
              <w:t>t/a</w:t>
            </w:r>
            <w:r>
              <w:rPr>
                <w:rFonts w:hint="eastAsia" w:hAnsi="宋体"/>
                <w:kern w:val="0"/>
                <w:sz w:val="24"/>
                <w:highlight w:val="none"/>
                <w:lang w:eastAsia="zh-CN"/>
              </w:rPr>
              <w:t>、甲醇</w:t>
            </w:r>
            <w:r>
              <w:rPr>
                <w:rFonts w:hint="eastAsia" w:hAnsi="宋体"/>
                <w:kern w:val="0"/>
                <w:sz w:val="24"/>
                <w:highlight w:val="none"/>
                <w:lang w:val="en-US" w:eastAsia="zh-CN"/>
              </w:rPr>
              <w:t>0.8234t/a、</w:t>
            </w:r>
            <w:r>
              <w:rPr>
                <w:rFonts w:hAnsi="宋体"/>
                <w:kern w:val="0"/>
                <w:sz w:val="24"/>
                <w:highlight w:val="none"/>
              </w:rPr>
              <w:t>氮氧化物</w:t>
            </w:r>
            <w:r>
              <w:rPr>
                <w:rFonts w:hint="eastAsia" w:hAnsi="宋体"/>
                <w:kern w:val="0"/>
                <w:sz w:val="24"/>
                <w:highlight w:val="none"/>
                <w:lang w:val="en-US" w:eastAsia="zh-CN"/>
              </w:rPr>
              <w:t>0.21</w:t>
            </w:r>
            <w:r>
              <w:rPr>
                <w:rFonts w:hint="eastAsia" w:hAnsi="宋体"/>
                <w:kern w:val="0"/>
                <w:sz w:val="24"/>
                <w:highlight w:val="none"/>
              </w:rPr>
              <w:t>t/a，</w:t>
            </w:r>
            <w:r>
              <w:rPr>
                <w:rFonts w:hint="eastAsia" w:hAnsi="宋体"/>
                <w:kern w:val="0"/>
                <w:sz w:val="24"/>
                <w:highlight w:val="none"/>
                <w:lang w:eastAsia="zh-CN"/>
              </w:rPr>
              <w:t>非甲烷总烃</w:t>
            </w:r>
            <w:r>
              <w:rPr>
                <w:rFonts w:hint="eastAsia" w:hAnsi="宋体"/>
                <w:kern w:val="0"/>
                <w:sz w:val="24"/>
                <w:highlight w:val="none"/>
                <w:lang w:val="en-US" w:eastAsia="zh-CN"/>
              </w:rPr>
              <w:t>7.28t/a</w:t>
            </w:r>
            <w:r>
              <w:rPr>
                <w:rFonts w:hint="eastAsia" w:hAnsi="宋体"/>
                <w:kern w:val="0"/>
                <w:sz w:val="24"/>
                <w:highlight w:val="none"/>
              </w:rPr>
              <w:t>。</w:t>
            </w:r>
          </w:p>
          <w:p w14:paraId="68F1DEE4">
            <w:pPr>
              <w:adjustRightInd w:val="0"/>
              <w:snapToGrid w:val="0"/>
              <w:spacing w:line="360" w:lineRule="auto"/>
              <w:ind w:firstLine="480" w:firstLineChars="200"/>
              <w:jc w:val="left"/>
              <w:rPr>
                <w:rFonts w:hint="eastAsia" w:hAnsi="宋体"/>
                <w:kern w:val="0"/>
                <w:sz w:val="24"/>
              </w:rPr>
            </w:pPr>
          </w:p>
          <w:p w14:paraId="370A2C44">
            <w:pPr>
              <w:adjustRightInd w:val="0"/>
              <w:snapToGrid w:val="0"/>
              <w:spacing w:line="360" w:lineRule="auto"/>
              <w:ind w:firstLine="480" w:firstLineChars="200"/>
              <w:jc w:val="left"/>
              <w:rPr>
                <w:rFonts w:hint="eastAsia" w:hAnsi="宋体"/>
                <w:kern w:val="0"/>
                <w:sz w:val="24"/>
              </w:rPr>
            </w:pPr>
          </w:p>
          <w:p w14:paraId="43033516">
            <w:pPr>
              <w:adjustRightInd w:val="0"/>
              <w:snapToGrid w:val="0"/>
              <w:spacing w:line="360" w:lineRule="auto"/>
              <w:ind w:firstLine="480" w:firstLineChars="200"/>
              <w:jc w:val="left"/>
              <w:rPr>
                <w:rFonts w:hint="eastAsia" w:hAnsi="宋体"/>
                <w:kern w:val="0"/>
                <w:sz w:val="24"/>
              </w:rPr>
            </w:pPr>
          </w:p>
          <w:p w14:paraId="3A7A03CF">
            <w:pPr>
              <w:adjustRightInd w:val="0"/>
              <w:snapToGrid w:val="0"/>
              <w:spacing w:line="360" w:lineRule="auto"/>
              <w:ind w:firstLine="480" w:firstLineChars="200"/>
              <w:jc w:val="left"/>
              <w:rPr>
                <w:rFonts w:hint="eastAsia" w:hAnsi="宋体"/>
                <w:kern w:val="0"/>
                <w:sz w:val="24"/>
              </w:rPr>
            </w:pPr>
          </w:p>
          <w:p w14:paraId="285AFE2A">
            <w:pPr>
              <w:adjustRightInd w:val="0"/>
              <w:snapToGrid w:val="0"/>
              <w:spacing w:line="360" w:lineRule="auto"/>
              <w:ind w:firstLine="480" w:firstLineChars="200"/>
              <w:jc w:val="left"/>
              <w:rPr>
                <w:rFonts w:hint="eastAsia" w:hAnsi="宋体"/>
                <w:kern w:val="0"/>
                <w:sz w:val="24"/>
              </w:rPr>
            </w:pPr>
          </w:p>
          <w:p w14:paraId="70B66B20">
            <w:pPr>
              <w:adjustRightInd w:val="0"/>
              <w:snapToGrid w:val="0"/>
              <w:spacing w:line="360" w:lineRule="auto"/>
              <w:ind w:firstLine="480" w:firstLineChars="200"/>
              <w:jc w:val="left"/>
              <w:rPr>
                <w:rFonts w:hint="eastAsia" w:hAnsi="宋体"/>
                <w:kern w:val="0"/>
                <w:sz w:val="24"/>
              </w:rPr>
            </w:pPr>
          </w:p>
          <w:p w14:paraId="605C92E6">
            <w:pPr>
              <w:adjustRightInd w:val="0"/>
              <w:snapToGrid w:val="0"/>
              <w:spacing w:line="360" w:lineRule="auto"/>
              <w:ind w:firstLine="480" w:firstLineChars="200"/>
              <w:jc w:val="left"/>
              <w:rPr>
                <w:rFonts w:hint="eastAsia" w:hAnsi="宋体"/>
                <w:kern w:val="0"/>
                <w:sz w:val="24"/>
              </w:rPr>
            </w:pPr>
          </w:p>
          <w:p w14:paraId="4B54FB2B">
            <w:pPr>
              <w:adjustRightInd w:val="0"/>
              <w:snapToGrid w:val="0"/>
              <w:spacing w:line="360" w:lineRule="auto"/>
              <w:ind w:firstLine="480" w:firstLineChars="200"/>
              <w:jc w:val="left"/>
              <w:rPr>
                <w:rFonts w:hint="eastAsia" w:hAnsi="宋体"/>
                <w:kern w:val="0"/>
                <w:sz w:val="24"/>
              </w:rPr>
            </w:pPr>
          </w:p>
          <w:p w14:paraId="3C000CA3">
            <w:pPr>
              <w:adjustRightInd w:val="0"/>
              <w:snapToGrid w:val="0"/>
              <w:spacing w:line="360" w:lineRule="auto"/>
              <w:ind w:firstLine="480" w:firstLineChars="200"/>
              <w:jc w:val="left"/>
              <w:rPr>
                <w:rFonts w:hint="eastAsia" w:hAnsi="宋体"/>
                <w:kern w:val="0"/>
                <w:sz w:val="24"/>
              </w:rPr>
            </w:pPr>
          </w:p>
          <w:p w14:paraId="3313BBAF">
            <w:pPr>
              <w:adjustRightInd w:val="0"/>
              <w:snapToGrid w:val="0"/>
              <w:spacing w:line="360" w:lineRule="auto"/>
              <w:ind w:firstLine="480" w:firstLineChars="200"/>
              <w:jc w:val="left"/>
              <w:rPr>
                <w:rFonts w:hint="eastAsia" w:hAnsi="宋体"/>
                <w:kern w:val="0"/>
                <w:sz w:val="24"/>
              </w:rPr>
            </w:pPr>
          </w:p>
          <w:p w14:paraId="62D671BB">
            <w:pPr>
              <w:adjustRightInd w:val="0"/>
              <w:snapToGrid w:val="0"/>
              <w:spacing w:line="360" w:lineRule="auto"/>
              <w:ind w:firstLine="480" w:firstLineChars="200"/>
              <w:jc w:val="left"/>
              <w:rPr>
                <w:rFonts w:hint="eastAsia" w:hAnsi="宋体"/>
                <w:kern w:val="0"/>
                <w:sz w:val="24"/>
              </w:rPr>
            </w:pPr>
          </w:p>
          <w:p w14:paraId="7BD76C07">
            <w:pPr>
              <w:adjustRightInd w:val="0"/>
              <w:snapToGrid w:val="0"/>
              <w:spacing w:line="360" w:lineRule="auto"/>
              <w:ind w:firstLine="480" w:firstLineChars="200"/>
              <w:jc w:val="left"/>
              <w:rPr>
                <w:rFonts w:hint="eastAsia" w:hAnsi="宋体"/>
                <w:kern w:val="0"/>
                <w:sz w:val="24"/>
              </w:rPr>
            </w:pPr>
          </w:p>
          <w:p w14:paraId="78A17040">
            <w:pPr>
              <w:adjustRightInd w:val="0"/>
              <w:snapToGrid w:val="0"/>
              <w:spacing w:line="360" w:lineRule="auto"/>
              <w:ind w:firstLine="480" w:firstLineChars="200"/>
              <w:jc w:val="left"/>
              <w:rPr>
                <w:rFonts w:hint="eastAsia" w:hAnsi="宋体"/>
                <w:kern w:val="0"/>
                <w:sz w:val="24"/>
              </w:rPr>
            </w:pPr>
          </w:p>
          <w:p w14:paraId="18E39422">
            <w:pPr>
              <w:adjustRightInd w:val="0"/>
              <w:snapToGrid w:val="0"/>
              <w:spacing w:line="360" w:lineRule="auto"/>
              <w:ind w:firstLine="480" w:firstLineChars="200"/>
              <w:jc w:val="left"/>
              <w:rPr>
                <w:rFonts w:hint="eastAsia" w:hAnsi="宋体"/>
                <w:kern w:val="0"/>
                <w:sz w:val="24"/>
              </w:rPr>
            </w:pPr>
          </w:p>
          <w:p w14:paraId="6A2FC67E">
            <w:pPr>
              <w:adjustRightInd w:val="0"/>
              <w:snapToGrid w:val="0"/>
              <w:spacing w:line="360" w:lineRule="auto"/>
              <w:ind w:firstLine="480" w:firstLineChars="200"/>
              <w:jc w:val="left"/>
              <w:rPr>
                <w:rFonts w:hint="eastAsia" w:hAnsi="宋体"/>
                <w:kern w:val="0"/>
                <w:sz w:val="24"/>
              </w:rPr>
            </w:pPr>
          </w:p>
          <w:p w14:paraId="15D7FB77">
            <w:pPr>
              <w:adjustRightInd w:val="0"/>
              <w:snapToGrid w:val="0"/>
              <w:spacing w:line="360" w:lineRule="auto"/>
              <w:jc w:val="left"/>
              <w:rPr>
                <w:rFonts w:ascii="宋体" w:hAnsi="宋体" w:cs="宋体"/>
                <w:kern w:val="0"/>
                <w:szCs w:val="21"/>
              </w:rPr>
            </w:pPr>
          </w:p>
        </w:tc>
      </w:tr>
    </w:tbl>
    <w:p w14:paraId="5EA17731">
      <w:pPr>
        <w:pStyle w:val="36"/>
        <w:jc w:val="center"/>
        <w:outlineLvl w:val="0"/>
        <w:rPr>
          <w:rFonts w:ascii="黑体" w:hAnsi="黑体" w:eastAsia="黑体"/>
          <w:snapToGrid w:val="0"/>
          <w:sz w:val="30"/>
          <w:szCs w:val="30"/>
        </w:rPr>
      </w:pPr>
      <w:r>
        <w:br w:type="page"/>
      </w:r>
      <w:r>
        <w:rPr>
          <w:rFonts w:hint="eastAsia" w:ascii="黑体" w:hAnsi="黑体" w:eastAsia="黑体"/>
          <w:snapToGrid w:val="0"/>
          <w:sz w:val="30"/>
          <w:szCs w:val="30"/>
        </w:rPr>
        <w:t>四、主要环境影响和保护措施</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49"/>
        <w:gridCol w:w="8224"/>
      </w:tblGrid>
      <w:tr w14:paraId="70867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30" w:hRule="atLeast"/>
          <w:jc w:val="center"/>
        </w:trPr>
        <w:tc>
          <w:tcPr>
            <w:tcW w:w="649" w:type="dxa"/>
            <w:shd w:val="clear" w:color="auto" w:fill="auto"/>
            <w:noWrap w:val="0"/>
            <w:tcMar>
              <w:top w:w="0" w:type="dxa"/>
              <w:left w:w="28" w:type="dxa"/>
              <w:bottom w:w="0" w:type="dxa"/>
              <w:right w:w="28" w:type="dxa"/>
            </w:tcMar>
            <w:vAlign w:val="center"/>
          </w:tcPr>
          <w:p w14:paraId="4D0DE52A">
            <w:pPr>
              <w:pStyle w:val="36"/>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施工</w:t>
            </w:r>
          </w:p>
          <w:p w14:paraId="466825CC">
            <w:pPr>
              <w:pStyle w:val="36"/>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期环</w:t>
            </w:r>
          </w:p>
          <w:p w14:paraId="002D4613">
            <w:pPr>
              <w:pStyle w:val="36"/>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境保</w:t>
            </w:r>
          </w:p>
          <w:p w14:paraId="0D5B7F93">
            <w:pPr>
              <w:pStyle w:val="36"/>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护措</w:t>
            </w:r>
          </w:p>
          <w:p w14:paraId="47D69876">
            <w:pPr>
              <w:pStyle w:val="36"/>
              <w:adjustRightInd w:val="0"/>
              <w:snapToGrid w:val="0"/>
              <w:spacing w:before="0" w:beforeAutospacing="0" w:after="0" w:afterAutospacing="0"/>
              <w:jc w:val="center"/>
              <w:rPr>
                <w:rFonts w:cs="宋体"/>
                <w:bCs/>
                <w:kern w:val="2"/>
                <w:sz w:val="21"/>
                <w:szCs w:val="21"/>
                <w:lang w:val="en-US" w:eastAsia="zh-CN"/>
              </w:rPr>
            </w:pPr>
            <w:r>
              <w:rPr>
                <w:rFonts w:hint="eastAsia" w:cs="宋体"/>
                <w:kern w:val="2"/>
                <w:sz w:val="21"/>
                <w:szCs w:val="21"/>
                <w:lang w:val="en-US" w:eastAsia="zh-CN"/>
              </w:rPr>
              <w:t>施</w:t>
            </w:r>
          </w:p>
        </w:tc>
        <w:tc>
          <w:tcPr>
            <w:tcW w:w="8224" w:type="dxa"/>
            <w:shd w:val="clear" w:color="auto" w:fill="auto"/>
            <w:noWrap w:val="0"/>
            <w:vAlign w:val="center"/>
          </w:tcPr>
          <w:p w14:paraId="07349DBF">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color w:val="auto"/>
                <w:sz w:val="24"/>
              </w:rPr>
            </w:pPr>
            <w:r>
              <w:rPr>
                <w:rFonts w:hint="eastAsia"/>
                <w:bCs/>
                <w:color w:val="auto"/>
                <w:spacing w:val="4"/>
                <w:sz w:val="24"/>
                <w:lang w:eastAsia="zh-CN"/>
              </w:rPr>
              <w:t>本</w:t>
            </w:r>
            <w:r>
              <w:rPr>
                <w:bCs/>
                <w:color w:val="auto"/>
                <w:spacing w:val="4"/>
                <w:sz w:val="24"/>
              </w:rPr>
              <w:t>项目</w:t>
            </w:r>
            <w:r>
              <w:rPr>
                <w:rFonts w:hint="eastAsia"/>
                <w:bCs/>
                <w:color w:val="auto"/>
                <w:spacing w:val="4"/>
                <w:sz w:val="24"/>
                <w:lang w:eastAsia="zh-CN"/>
              </w:rPr>
              <w:t>在</w:t>
            </w:r>
            <w:r>
              <w:rPr>
                <w:bCs/>
                <w:color w:val="auto"/>
                <w:spacing w:val="4"/>
                <w:sz w:val="24"/>
              </w:rPr>
              <w:t>现有厂房进行</w:t>
            </w:r>
            <w:r>
              <w:rPr>
                <w:rFonts w:hint="eastAsia"/>
                <w:bCs/>
                <w:color w:val="auto"/>
                <w:spacing w:val="4"/>
                <w:sz w:val="24"/>
                <w:lang w:eastAsia="zh-CN"/>
              </w:rPr>
              <w:t>改造</w:t>
            </w:r>
            <w:r>
              <w:rPr>
                <w:bCs/>
                <w:color w:val="auto"/>
                <w:spacing w:val="4"/>
                <w:sz w:val="24"/>
              </w:rPr>
              <w:t>，项目施工期主要为</w:t>
            </w:r>
            <w:r>
              <w:rPr>
                <w:rFonts w:hint="eastAsia"/>
                <w:bCs/>
                <w:color w:val="auto"/>
                <w:spacing w:val="4"/>
                <w:sz w:val="24"/>
                <w:lang w:eastAsia="zh-CN"/>
              </w:rPr>
              <w:t>厂房改造、尾气管道安装、</w:t>
            </w:r>
            <w:r>
              <w:rPr>
                <w:bCs/>
                <w:color w:val="auto"/>
                <w:spacing w:val="4"/>
                <w:sz w:val="24"/>
              </w:rPr>
              <w:t>设备安装</w:t>
            </w:r>
            <w:r>
              <w:rPr>
                <w:rFonts w:hint="eastAsia"/>
                <w:bCs/>
                <w:color w:val="auto"/>
                <w:spacing w:val="4"/>
                <w:sz w:val="24"/>
                <w:lang w:eastAsia="zh-CN"/>
              </w:rPr>
              <w:t>及</w:t>
            </w:r>
            <w:r>
              <w:rPr>
                <w:bCs/>
                <w:color w:val="auto"/>
                <w:spacing w:val="4"/>
                <w:sz w:val="24"/>
              </w:rPr>
              <w:t>调试</w:t>
            </w:r>
            <w:r>
              <w:rPr>
                <w:color w:val="auto"/>
                <w:sz w:val="24"/>
              </w:rPr>
              <w:t>，其主要污染为</w:t>
            </w:r>
            <w:r>
              <w:rPr>
                <w:rFonts w:hint="eastAsia"/>
                <w:color w:val="auto"/>
                <w:sz w:val="24"/>
                <w:lang w:eastAsia="zh-CN"/>
              </w:rPr>
              <w:t>施工</w:t>
            </w:r>
            <w:r>
              <w:rPr>
                <w:color w:val="auto"/>
                <w:sz w:val="24"/>
              </w:rPr>
              <w:t>过程中产生的机械噪声少量固废。</w:t>
            </w:r>
          </w:p>
          <w:p w14:paraId="26DB139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b/>
                <w:bCs/>
                <w:color w:val="auto"/>
                <w:sz w:val="24"/>
              </w:rPr>
              <w:t>一</w:t>
            </w:r>
            <w:r>
              <w:rPr>
                <w:rFonts w:hint="eastAsia"/>
                <w:b/>
                <w:bCs/>
                <w:color w:val="auto"/>
                <w:sz w:val="24"/>
                <w:lang w:val="en-US" w:eastAsia="zh-CN"/>
              </w:rPr>
              <w:t>.</w:t>
            </w:r>
            <w:r>
              <w:rPr>
                <w:b/>
                <w:bCs/>
                <w:color w:val="auto"/>
                <w:sz w:val="24"/>
              </w:rPr>
              <w:t>噪声</w:t>
            </w:r>
          </w:p>
          <w:p w14:paraId="580082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本项目噪声主要来源于设备装卸及调试等产生的偶发性噪声</w:t>
            </w:r>
            <w:r>
              <w:rPr>
                <w:rFonts w:hint="eastAsia"/>
                <w:color w:val="auto"/>
                <w:sz w:val="24"/>
                <w:lang w:eastAsia="zh-CN"/>
              </w:rPr>
              <w:t>。</w:t>
            </w:r>
            <w:r>
              <w:rPr>
                <w:color w:val="auto"/>
                <w:sz w:val="24"/>
              </w:rPr>
              <w:t>该项目主要噪声源为</w:t>
            </w:r>
            <w:r>
              <w:rPr>
                <w:rFonts w:hint="eastAsia"/>
                <w:color w:val="auto"/>
                <w:sz w:val="24"/>
                <w:lang w:eastAsia="zh-CN"/>
              </w:rPr>
              <w:t>设备装卸噪声</w:t>
            </w:r>
            <w:r>
              <w:rPr>
                <w:color w:val="auto"/>
                <w:sz w:val="24"/>
              </w:rPr>
              <w:t>，其噪声值</w:t>
            </w:r>
            <w:r>
              <w:rPr>
                <w:rFonts w:hint="eastAsia"/>
                <w:color w:val="auto"/>
                <w:sz w:val="24"/>
              </w:rPr>
              <w:t>约为80</w:t>
            </w:r>
            <w:r>
              <w:rPr>
                <w:color w:val="auto"/>
                <w:sz w:val="24"/>
              </w:rPr>
              <w:t>dB（A）。该噪声具有阶段性、临时性和不固定性等特点，因此管理显得尤为重要。现就施工期噪声控制提出以下措施：</w:t>
            </w:r>
          </w:p>
          <w:p w14:paraId="1CB996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ascii="宋体" w:hAnsi="宋体" w:eastAsia="宋体" w:cs="宋体"/>
                <w:color w:val="auto"/>
                <w:sz w:val="24"/>
              </w:rPr>
              <w:t>⑴</w:t>
            </w:r>
            <w:r>
              <w:rPr>
                <w:color w:val="auto"/>
                <w:sz w:val="24"/>
              </w:rPr>
              <w:t>施工期间向周围排放</w:t>
            </w:r>
            <w:r>
              <w:rPr>
                <w:rFonts w:hint="eastAsia"/>
                <w:color w:val="auto"/>
                <w:sz w:val="24"/>
                <w:lang w:eastAsia="zh-CN"/>
              </w:rPr>
              <w:t>的</w:t>
            </w:r>
            <w:r>
              <w:rPr>
                <w:color w:val="auto"/>
                <w:sz w:val="24"/>
              </w:rPr>
              <w:t>噪声严格</w:t>
            </w:r>
            <w:r>
              <w:rPr>
                <w:rFonts w:hint="eastAsia"/>
                <w:color w:val="auto"/>
                <w:sz w:val="24"/>
                <w:lang w:eastAsia="zh-CN"/>
              </w:rPr>
              <w:t>按照</w:t>
            </w:r>
            <w:r>
              <w:rPr>
                <w:color w:val="auto"/>
                <w:sz w:val="24"/>
              </w:rPr>
              <w:t>《建筑施工场界环境噪声排放标准》（GB12523</w:t>
            </w:r>
            <w:r>
              <w:rPr>
                <w:rFonts w:hint="eastAsia"/>
                <w:color w:val="auto"/>
                <w:sz w:val="24"/>
                <w:lang w:eastAsia="zh-CN"/>
              </w:rPr>
              <w:t>-</w:t>
            </w:r>
            <w:r>
              <w:rPr>
                <w:color w:val="auto"/>
                <w:sz w:val="24"/>
              </w:rPr>
              <w:t>2011）进行控制；</w:t>
            </w:r>
          </w:p>
          <w:p w14:paraId="7A1659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rPr>
              <w:t>⑵</w:t>
            </w:r>
            <w:r>
              <w:rPr>
                <w:color w:val="auto"/>
                <w:sz w:val="24"/>
              </w:rPr>
              <w:t>施工期严格</w:t>
            </w:r>
            <w:r>
              <w:rPr>
                <w:rFonts w:hint="eastAsia"/>
                <w:color w:val="auto"/>
                <w:sz w:val="24"/>
                <w:lang w:eastAsia="zh-CN"/>
              </w:rPr>
              <w:t>执行</w:t>
            </w:r>
            <w:r>
              <w:rPr>
                <w:color w:val="auto"/>
                <w:sz w:val="24"/>
              </w:rPr>
              <w:t>操作规程，加强施工机械管理，降低人为噪声影响；</w:t>
            </w:r>
          </w:p>
          <w:p w14:paraId="26D867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ascii="宋体" w:hAnsi="宋体" w:eastAsia="宋体" w:cs="宋体"/>
                <w:color w:val="auto"/>
                <w:sz w:val="24"/>
              </w:rPr>
              <w:t>⑶</w:t>
            </w:r>
            <w:r>
              <w:rPr>
                <w:color w:val="auto"/>
                <w:sz w:val="24"/>
              </w:rPr>
              <w:t>合理安排设备调试时间，尽可能避开夜间及昼间午休时间</w:t>
            </w:r>
            <w:r>
              <w:rPr>
                <w:rFonts w:hint="eastAsia"/>
                <w:color w:val="auto"/>
                <w:sz w:val="24"/>
                <w:lang w:val="en-US" w:eastAsia="zh-CN"/>
              </w:rPr>
              <w:t>，并使用低</w:t>
            </w:r>
            <w:r>
              <w:rPr>
                <w:color w:val="auto"/>
                <w:sz w:val="24"/>
              </w:rPr>
              <w:t>噪声设备。</w:t>
            </w:r>
          </w:p>
          <w:p w14:paraId="38BCA9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color w:val="auto"/>
                <w:sz w:val="24"/>
              </w:rPr>
              <w:t>采取上述措施后，项目施工噪声可得到有效控制</w:t>
            </w:r>
            <w:r>
              <w:rPr>
                <w:rFonts w:hint="eastAsia"/>
                <w:color w:val="auto"/>
                <w:sz w:val="24"/>
                <w:lang w:eastAsia="zh-CN"/>
              </w:rPr>
              <w:t>；</w:t>
            </w:r>
            <w:r>
              <w:rPr>
                <w:color w:val="auto"/>
                <w:sz w:val="24"/>
              </w:rPr>
              <w:t>施工期设备安装和调试噪声会随着施工期的结束而结束，对周围声环境的影响较小。</w:t>
            </w:r>
          </w:p>
          <w:p w14:paraId="086E0B0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b/>
                <w:bCs/>
                <w:color w:val="auto"/>
                <w:sz w:val="24"/>
              </w:rPr>
              <w:t>二</w:t>
            </w:r>
            <w:r>
              <w:rPr>
                <w:rFonts w:hint="eastAsia"/>
                <w:b/>
                <w:bCs/>
                <w:color w:val="auto"/>
                <w:sz w:val="24"/>
                <w:lang w:val="en-US" w:eastAsia="zh-CN"/>
              </w:rPr>
              <w:t>.</w:t>
            </w:r>
            <w:r>
              <w:rPr>
                <w:b/>
                <w:bCs/>
                <w:color w:val="auto"/>
                <w:sz w:val="24"/>
              </w:rPr>
              <w:t>固废</w:t>
            </w:r>
          </w:p>
          <w:p w14:paraId="7126D2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项目</w:t>
            </w:r>
            <w:r>
              <w:rPr>
                <w:rFonts w:hint="eastAsia"/>
                <w:color w:val="auto"/>
                <w:sz w:val="24"/>
                <w:lang w:eastAsia="zh-CN"/>
              </w:rPr>
              <w:t>厂房改造及</w:t>
            </w:r>
            <w:r>
              <w:rPr>
                <w:color w:val="auto"/>
                <w:sz w:val="24"/>
              </w:rPr>
              <w:t>设备安装时会产生少量的废弃包装物</w:t>
            </w:r>
            <w:r>
              <w:rPr>
                <w:rFonts w:hint="eastAsia"/>
                <w:color w:val="auto"/>
                <w:sz w:val="24"/>
                <w:lang w:eastAsia="zh-CN"/>
              </w:rPr>
              <w:t>和建筑垃圾</w:t>
            </w:r>
            <w:r>
              <w:rPr>
                <w:rFonts w:hint="eastAsia"/>
                <w:color w:val="auto"/>
                <w:sz w:val="24"/>
              </w:rPr>
              <w:t>，</w:t>
            </w:r>
            <w:r>
              <w:rPr>
                <w:rFonts w:hint="eastAsia"/>
                <w:color w:val="auto"/>
                <w:sz w:val="24"/>
                <w:lang w:eastAsia="zh-CN"/>
              </w:rPr>
              <w:t>建筑垃圾和</w:t>
            </w:r>
            <w:r>
              <w:rPr>
                <w:color w:val="auto"/>
                <w:sz w:val="24"/>
              </w:rPr>
              <w:t>包装垃圾集中收集后交由环卫部门清运处理，不会对周边环境产生明显影响。</w:t>
            </w:r>
          </w:p>
          <w:p w14:paraId="461B95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项目施工期对环境的影响随施工期的结束而消失</w:t>
            </w:r>
            <w:r>
              <w:rPr>
                <w:rFonts w:hint="eastAsia"/>
                <w:color w:val="auto"/>
                <w:sz w:val="24"/>
                <w:lang w:eastAsia="zh-CN"/>
              </w:rPr>
              <w:t>，</w:t>
            </w:r>
            <w:r>
              <w:rPr>
                <w:color w:val="auto"/>
                <w:sz w:val="24"/>
              </w:rPr>
              <w:t>在采取上述污染防治措施后，项目施工期对环境的影响在可接受范围内</w:t>
            </w:r>
            <w:r>
              <w:rPr>
                <w:rFonts w:hint="eastAsia"/>
                <w:color w:val="auto"/>
                <w:sz w:val="24"/>
                <w:lang w:eastAsia="zh-CN"/>
              </w:rPr>
              <w:t>。</w:t>
            </w:r>
          </w:p>
          <w:p w14:paraId="42F8F0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p>
          <w:p w14:paraId="7C2C2B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p>
          <w:p w14:paraId="6FF77F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p>
          <w:p w14:paraId="49E1B3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p>
          <w:p w14:paraId="666397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p>
          <w:p w14:paraId="7399FD9A">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textAlignment w:val="auto"/>
              <w:rPr>
                <w:rFonts w:hint="eastAsia" w:ascii="宋体" w:hAnsi="宋体" w:eastAsia="宋体" w:cs="宋体"/>
                <w:bCs/>
                <w:spacing w:val="-10"/>
                <w:szCs w:val="21"/>
                <w:lang w:val="en-US" w:eastAsia="zh-CN"/>
              </w:rPr>
            </w:pPr>
          </w:p>
        </w:tc>
      </w:tr>
      <w:tr w14:paraId="59FB9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61" w:hRule="atLeast"/>
          <w:jc w:val="center"/>
        </w:trPr>
        <w:tc>
          <w:tcPr>
            <w:tcW w:w="649" w:type="dxa"/>
            <w:shd w:val="clear" w:color="auto" w:fill="auto"/>
            <w:noWrap w:val="0"/>
            <w:tcMar>
              <w:top w:w="0" w:type="dxa"/>
              <w:left w:w="28" w:type="dxa"/>
              <w:bottom w:w="0" w:type="dxa"/>
              <w:right w:w="28" w:type="dxa"/>
            </w:tcMar>
            <w:vAlign w:val="center"/>
          </w:tcPr>
          <w:p w14:paraId="584FB068">
            <w:pPr>
              <w:adjustRightInd w:val="0"/>
              <w:snapToGrid w:val="0"/>
              <w:jc w:val="center"/>
              <w:rPr>
                <w:rFonts w:ascii="宋体" w:hAnsi="宋体" w:cs="宋体"/>
                <w:bCs/>
                <w:szCs w:val="21"/>
              </w:rPr>
            </w:pPr>
            <w:r>
              <w:rPr>
                <w:rFonts w:hint="eastAsia" w:ascii="宋体" w:hAnsi="宋体" w:cs="宋体"/>
                <w:bCs/>
                <w:szCs w:val="21"/>
              </w:rPr>
              <w:t>运营</w:t>
            </w:r>
          </w:p>
          <w:p w14:paraId="54AAE8C1">
            <w:pPr>
              <w:adjustRightInd w:val="0"/>
              <w:snapToGrid w:val="0"/>
              <w:jc w:val="center"/>
              <w:rPr>
                <w:rFonts w:ascii="宋体" w:hAnsi="宋体" w:cs="宋体"/>
                <w:bCs/>
                <w:szCs w:val="21"/>
              </w:rPr>
            </w:pPr>
            <w:r>
              <w:rPr>
                <w:rFonts w:hint="eastAsia" w:ascii="宋体" w:hAnsi="宋体" w:cs="宋体"/>
                <w:bCs/>
                <w:szCs w:val="21"/>
              </w:rPr>
              <w:t>期环</w:t>
            </w:r>
          </w:p>
          <w:p w14:paraId="033E8FCA">
            <w:pPr>
              <w:adjustRightInd w:val="0"/>
              <w:snapToGrid w:val="0"/>
              <w:jc w:val="center"/>
              <w:rPr>
                <w:rFonts w:ascii="宋体" w:hAnsi="宋体" w:cs="宋体"/>
                <w:bCs/>
                <w:szCs w:val="21"/>
              </w:rPr>
            </w:pPr>
            <w:r>
              <w:rPr>
                <w:rFonts w:hint="eastAsia" w:ascii="宋体" w:hAnsi="宋体" w:cs="宋体"/>
                <w:bCs/>
                <w:szCs w:val="21"/>
              </w:rPr>
              <w:t>境影</w:t>
            </w:r>
          </w:p>
          <w:p w14:paraId="3833CA9A">
            <w:pPr>
              <w:adjustRightInd w:val="0"/>
              <w:snapToGrid w:val="0"/>
              <w:jc w:val="center"/>
              <w:rPr>
                <w:rFonts w:ascii="宋体" w:hAnsi="宋体" w:cs="宋体"/>
                <w:bCs/>
                <w:szCs w:val="21"/>
              </w:rPr>
            </w:pPr>
            <w:r>
              <w:rPr>
                <w:rFonts w:hint="eastAsia" w:ascii="宋体" w:hAnsi="宋体" w:cs="宋体"/>
                <w:bCs/>
                <w:szCs w:val="21"/>
              </w:rPr>
              <w:t>响和</w:t>
            </w:r>
          </w:p>
          <w:p w14:paraId="07B186E8">
            <w:pPr>
              <w:adjustRightInd w:val="0"/>
              <w:snapToGrid w:val="0"/>
              <w:jc w:val="center"/>
              <w:rPr>
                <w:rFonts w:ascii="宋体" w:hAnsi="宋体" w:cs="宋体"/>
                <w:bCs/>
                <w:szCs w:val="21"/>
              </w:rPr>
            </w:pPr>
            <w:r>
              <w:rPr>
                <w:rFonts w:hint="eastAsia" w:ascii="宋体" w:hAnsi="宋体" w:cs="宋体"/>
                <w:bCs/>
                <w:szCs w:val="21"/>
              </w:rPr>
              <w:t>保护</w:t>
            </w:r>
          </w:p>
          <w:p w14:paraId="4FC7F318">
            <w:pPr>
              <w:adjustRightInd w:val="0"/>
              <w:snapToGrid w:val="0"/>
              <w:jc w:val="center"/>
              <w:rPr>
                <w:rFonts w:ascii="宋体" w:hAnsi="宋体" w:cs="宋体"/>
                <w:bCs/>
                <w:szCs w:val="21"/>
              </w:rPr>
            </w:pPr>
            <w:r>
              <w:rPr>
                <w:rFonts w:hint="eastAsia" w:ascii="宋体" w:hAnsi="宋体" w:cs="宋体"/>
                <w:bCs/>
                <w:szCs w:val="21"/>
              </w:rPr>
              <w:t>措施</w:t>
            </w:r>
          </w:p>
        </w:tc>
        <w:tc>
          <w:tcPr>
            <w:tcW w:w="8224" w:type="dxa"/>
            <w:shd w:val="clear" w:color="auto" w:fill="auto"/>
            <w:noWrap w:val="0"/>
            <w:vAlign w:val="center"/>
          </w:tcPr>
          <w:p w14:paraId="5A79979B">
            <w:pPr>
              <w:spacing w:line="500" w:lineRule="exact"/>
              <w:ind w:firstLine="480" w:firstLineChars="200"/>
              <w:rPr>
                <w:rFonts w:hint="eastAsia"/>
                <w:bCs/>
                <w:kern w:val="0"/>
                <w:sz w:val="24"/>
              </w:rPr>
            </w:pPr>
            <w:r>
              <w:rPr>
                <w:rFonts w:hint="eastAsia"/>
                <w:sz w:val="24"/>
                <w:lang w:eastAsia="zh-CN"/>
              </w:rPr>
              <w:t>本次技改甲醛生产线、萘系减水剂水剂生产线</w:t>
            </w:r>
            <w:r>
              <w:rPr>
                <w:rFonts w:hint="eastAsia"/>
                <w:sz w:val="24"/>
              </w:rPr>
              <w:t>不发生变化，</w:t>
            </w:r>
            <w:r>
              <w:rPr>
                <w:rFonts w:hint="eastAsia"/>
                <w:sz w:val="24"/>
                <w:lang w:eastAsia="zh-CN"/>
              </w:rPr>
              <w:t>本项目依托现有甲醛生产线甲醛吸收尾气点燃后产生的热能为干燥塔提供热能，甲醛生产线甲醛吸收尾气的废气产生量、废气污染物的排放量</w:t>
            </w:r>
            <w:r>
              <w:rPr>
                <w:rFonts w:hint="eastAsia"/>
                <w:bCs/>
                <w:kern w:val="0"/>
                <w:sz w:val="24"/>
              </w:rPr>
              <w:t>已纳入原环评评价，本次评价不再赘述。</w:t>
            </w:r>
          </w:p>
          <w:p w14:paraId="34EFE1DB">
            <w:pPr>
              <w:spacing w:line="500" w:lineRule="exact"/>
              <w:ind w:firstLine="480" w:firstLineChars="200"/>
              <w:rPr>
                <w:rFonts w:hint="eastAsia"/>
                <w:sz w:val="24"/>
                <w:lang w:eastAsia="zh-CN"/>
              </w:rPr>
            </w:pPr>
            <w:r>
              <w:rPr>
                <w:rFonts w:hint="eastAsia"/>
                <w:sz w:val="24"/>
              </w:rPr>
              <w:t>本项目产污环节包括</w:t>
            </w:r>
            <w:r>
              <w:rPr>
                <w:rFonts w:hint="eastAsia"/>
                <w:sz w:val="24"/>
                <w:lang w:eastAsia="zh-CN"/>
              </w:rPr>
              <w:t>热风炉燃烧甲醛吸收塔尾气后产生的燃烧废气和干燥过程中产生的干燥废气。</w:t>
            </w:r>
          </w:p>
          <w:p w14:paraId="7E0A4444">
            <w:pPr>
              <w:widowControl/>
              <w:spacing w:line="500" w:lineRule="exact"/>
              <w:ind w:firstLine="482" w:firstLineChars="200"/>
              <w:rPr>
                <w:b/>
                <w:bCs/>
                <w:kern w:val="0"/>
                <w:sz w:val="24"/>
              </w:rPr>
            </w:pPr>
            <w:r>
              <w:rPr>
                <w:rFonts w:hint="eastAsia"/>
                <w:b/>
                <w:bCs/>
                <w:kern w:val="0"/>
                <w:sz w:val="24"/>
              </w:rPr>
              <w:t>一</w:t>
            </w:r>
            <w:r>
              <w:rPr>
                <w:rFonts w:hint="eastAsia"/>
                <w:b/>
                <w:bCs/>
                <w:kern w:val="0"/>
                <w:sz w:val="24"/>
                <w:lang w:val="en-US" w:eastAsia="zh-CN"/>
              </w:rPr>
              <w:t>.</w:t>
            </w:r>
            <w:r>
              <w:rPr>
                <w:rFonts w:hint="eastAsia"/>
                <w:b/>
                <w:bCs/>
                <w:kern w:val="0"/>
                <w:sz w:val="24"/>
              </w:rPr>
              <w:t>废气</w:t>
            </w:r>
          </w:p>
          <w:p w14:paraId="137F4D67">
            <w:pPr>
              <w:spacing w:line="500" w:lineRule="exact"/>
              <w:ind w:firstLine="482" w:firstLineChars="200"/>
              <w:rPr>
                <w:b/>
                <w:sz w:val="24"/>
              </w:rPr>
            </w:pPr>
            <w:r>
              <w:rPr>
                <w:rFonts w:hint="eastAsia"/>
                <w:b/>
                <w:sz w:val="24"/>
              </w:rPr>
              <w:t>1</w:t>
            </w:r>
            <w:r>
              <w:rPr>
                <w:rFonts w:hint="eastAsia"/>
                <w:b/>
                <w:sz w:val="24"/>
                <w:lang w:val="en-US" w:eastAsia="zh-CN"/>
              </w:rPr>
              <w:t>.</w:t>
            </w:r>
            <w:r>
              <w:rPr>
                <w:rFonts w:hint="eastAsia"/>
                <w:b/>
                <w:sz w:val="24"/>
              </w:rPr>
              <w:t>本项目污染物排放汇总</w:t>
            </w:r>
          </w:p>
          <w:p w14:paraId="35078BF7">
            <w:pPr>
              <w:spacing w:line="500" w:lineRule="exact"/>
              <w:ind w:firstLine="480" w:firstLineChars="200"/>
              <w:rPr>
                <w:sz w:val="24"/>
              </w:rPr>
            </w:pPr>
            <w:r>
              <w:rPr>
                <w:rFonts w:hint="eastAsia"/>
                <w:sz w:val="24"/>
              </w:rPr>
              <w:t>本项目废气污染源源强核算汇总见下表。</w:t>
            </w:r>
          </w:p>
          <w:p w14:paraId="0200496B">
            <w:pPr>
              <w:spacing w:line="500" w:lineRule="exact"/>
              <w:jc w:val="center"/>
              <w:textAlignment w:val="baseline"/>
              <w:rPr>
                <w:sz w:val="24"/>
                <w:highlight w:val="yellow"/>
              </w:rPr>
            </w:pPr>
            <w:r>
              <w:rPr>
                <w:sz w:val="24"/>
              </w:rPr>
              <w:t>表</w:t>
            </w:r>
            <w:r>
              <w:rPr>
                <w:rFonts w:hint="eastAsia"/>
                <w:sz w:val="24"/>
              </w:rPr>
              <w:t>4-1</w:t>
            </w:r>
            <w:r>
              <w:rPr>
                <w:sz w:val="24"/>
              </w:rPr>
              <w:t xml:space="preserve">  本项目</w:t>
            </w:r>
            <w:r>
              <w:rPr>
                <w:rFonts w:hint="eastAsia"/>
                <w:sz w:val="24"/>
              </w:rPr>
              <w:t>废气污染源源强核算汇总</w:t>
            </w:r>
            <w:r>
              <w:rPr>
                <w:sz w:val="24"/>
              </w:rPr>
              <w:t>一览表</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20"/>
              <w:gridCol w:w="578"/>
              <w:gridCol w:w="914"/>
              <w:gridCol w:w="794"/>
              <w:gridCol w:w="689"/>
              <w:gridCol w:w="531"/>
              <w:gridCol w:w="426"/>
              <w:gridCol w:w="755"/>
              <w:gridCol w:w="426"/>
              <w:gridCol w:w="914"/>
              <w:gridCol w:w="689"/>
              <w:gridCol w:w="636"/>
              <w:gridCol w:w="426"/>
            </w:tblGrid>
            <w:tr w14:paraId="2AA8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79" w:type="pct"/>
                  <w:vMerge w:val="restart"/>
                  <w:shd w:val="clear" w:color="auto" w:fill="auto"/>
                  <w:noWrap w:val="0"/>
                  <w:tcMar>
                    <w:top w:w="0" w:type="dxa"/>
                    <w:left w:w="0" w:type="dxa"/>
                    <w:bottom w:w="0" w:type="dxa"/>
                    <w:right w:w="0" w:type="dxa"/>
                  </w:tcMar>
                  <w:vAlign w:val="center"/>
                </w:tcPr>
                <w:p w14:paraId="22CB72F7">
                  <w:pPr>
                    <w:jc w:val="center"/>
                    <w:rPr>
                      <w:color w:val="auto"/>
                      <w:sz w:val="21"/>
                      <w:szCs w:val="21"/>
                    </w:rPr>
                  </w:pPr>
                  <w:r>
                    <w:rPr>
                      <w:rFonts w:hint="eastAsia"/>
                      <w:color w:val="auto"/>
                      <w:sz w:val="21"/>
                      <w:szCs w:val="21"/>
                    </w:rPr>
                    <w:t>产污</w:t>
                  </w:r>
                </w:p>
                <w:p w14:paraId="52E41B29">
                  <w:pPr>
                    <w:jc w:val="center"/>
                    <w:rPr>
                      <w:color w:val="auto"/>
                      <w:sz w:val="21"/>
                      <w:szCs w:val="21"/>
                    </w:rPr>
                  </w:pPr>
                  <w:r>
                    <w:rPr>
                      <w:rFonts w:hint="eastAsia"/>
                      <w:color w:val="auto"/>
                      <w:sz w:val="21"/>
                      <w:szCs w:val="21"/>
                    </w:rPr>
                    <w:t>环节</w:t>
                  </w:r>
                </w:p>
              </w:tc>
              <w:tc>
                <w:tcPr>
                  <w:tcW w:w="518" w:type="pct"/>
                  <w:vMerge w:val="restart"/>
                  <w:shd w:val="clear" w:color="auto" w:fill="auto"/>
                  <w:noWrap w:val="0"/>
                  <w:vAlign w:val="center"/>
                </w:tcPr>
                <w:p w14:paraId="6BD0D7C5">
                  <w:pPr>
                    <w:jc w:val="center"/>
                    <w:rPr>
                      <w:color w:val="auto"/>
                      <w:sz w:val="21"/>
                      <w:szCs w:val="21"/>
                    </w:rPr>
                  </w:pPr>
                  <w:r>
                    <w:rPr>
                      <w:rFonts w:hint="eastAsia"/>
                      <w:color w:val="auto"/>
                      <w:sz w:val="21"/>
                      <w:szCs w:val="21"/>
                    </w:rPr>
                    <w:t>污染物</w:t>
                  </w:r>
                </w:p>
                <w:p w14:paraId="7E2E3269">
                  <w:pPr>
                    <w:jc w:val="center"/>
                    <w:rPr>
                      <w:color w:val="auto"/>
                      <w:sz w:val="21"/>
                      <w:szCs w:val="21"/>
                    </w:rPr>
                  </w:pPr>
                  <w:r>
                    <w:rPr>
                      <w:rFonts w:hint="eastAsia"/>
                      <w:color w:val="auto"/>
                      <w:sz w:val="21"/>
                      <w:szCs w:val="21"/>
                    </w:rPr>
                    <w:t>种类</w:t>
                  </w:r>
                </w:p>
              </w:tc>
              <w:tc>
                <w:tcPr>
                  <w:tcW w:w="1207" w:type="pct"/>
                  <w:gridSpan w:val="3"/>
                  <w:shd w:val="clear" w:color="auto" w:fill="auto"/>
                  <w:noWrap w:val="0"/>
                  <w:vAlign w:val="center"/>
                </w:tcPr>
                <w:p w14:paraId="158A4FED">
                  <w:pPr>
                    <w:jc w:val="center"/>
                    <w:rPr>
                      <w:rFonts w:hint="eastAsia"/>
                      <w:color w:val="auto"/>
                      <w:sz w:val="21"/>
                      <w:szCs w:val="21"/>
                    </w:rPr>
                  </w:pPr>
                  <w:r>
                    <w:rPr>
                      <w:rFonts w:hint="eastAsia"/>
                      <w:color w:val="auto"/>
                      <w:sz w:val="21"/>
                      <w:szCs w:val="21"/>
                    </w:rPr>
                    <w:t>污染物产生</w:t>
                  </w:r>
                </w:p>
              </w:tc>
              <w:tc>
                <w:tcPr>
                  <w:tcW w:w="1559" w:type="pct"/>
                  <w:gridSpan w:val="4"/>
                  <w:shd w:val="clear" w:color="auto" w:fill="auto"/>
                  <w:noWrap w:val="0"/>
                  <w:vAlign w:val="center"/>
                </w:tcPr>
                <w:p w14:paraId="558F38C9">
                  <w:pPr>
                    <w:jc w:val="center"/>
                    <w:rPr>
                      <w:rFonts w:hint="eastAsia"/>
                      <w:color w:val="auto"/>
                      <w:sz w:val="21"/>
                      <w:szCs w:val="21"/>
                    </w:rPr>
                  </w:pPr>
                  <w:r>
                    <w:rPr>
                      <w:rFonts w:hint="eastAsia"/>
                      <w:color w:val="auto"/>
                      <w:sz w:val="21"/>
                      <w:szCs w:val="21"/>
                    </w:rPr>
                    <w:t>治理措施</w:t>
                  </w:r>
                </w:p>
              </w:tc>
              <w:tc>
                <w:tcPr>
                  <w:tcW w:w="1535" w:type="pct"/>
                  <w:gridSpan w:val="4"/>
                  <w:shd w:val="clear" w:color="auto" w:fill="auto"/>
                  <w:noWrap w:val="0"/>
                  <w:vAlign w:val="center"/>
                </w:tcPr>
                <w:p w14:paraId="429C9102">
                  <w:pPr>
                    <w:jc w:val="center"/>
                    <w:rPr>
                      <w:rFonts w:hint="eastAsia" w:eastAsia="宋体"/>
                      <w:color w:val="auto"/>
                      <w:sz w:val="21"/>
                      <w:szCs w:val="21"/>
                      <w:lang w:eastAsia="zh-CN"/>
                    </w:rPr>
                  </w:pPr>
                  <w:r>
                    <w:rPr>
                      <w:rFonts w:hint="eastAsia"/>
                      <w:color w:val="auto"/>
                      <w:sz w:val="21"/>
                      <w:szCs w:val="21"/>
                    </w:rPr>
                    <w:t>污染物</w:t>
                  </w:r>
                  <w:r>
                    <w:rPr>
                      <w:rFonts w:hint="eastAsia"/>
                      <w:color w:val="auto"/>
                      <w:sz w:val="21"/>
                      <w:szCs w:val="21"/>
                      <w:lang w:eastAsia="zh-CN"/>
                    </w:rPr>
                    <w:t>排放</w:t>
                  </w:r>
                </w:p>
              </w:tc>
            </w:tr>
            <w:tr w14:paraId="4B82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79" w:type="pct"/>
                  <w:vMerge w:val="continue"/>
                  <w:shd w:val="clear" w:color="auto" w:fill="auto"/>
                  <w:noWrap w:val="0"/>
                  <w:tcMar>
                    <w:top w:w="0" w:type="dxa"/>
                    <w:left w:w="0" w:type="dxa"/>
                    <w:bottom w:w="0" w:type="dxa"/>
                    <w:right w:w="0" w:type="dxa"/>
                  </w:tcMar>
                  <w:vAlign w:val="center"/>
                </w:tcPr>
                <w:p w14:paraId="7EB7682B">
                  <w:pPr>
                    <w:jc w:val="center"/>
                    <w:rPr>
                      <w:color w:val="auto"/>
                      <w:sz w:val="21"/>
                      <w:szCs w:val="21"/>
                    </w:rPr>
                  </w:pPr>
                </w:p>
              </w:tc>
              <w:tc>
                <w:tcPr>
                  <w:tcW w:w="518" w:type="pct"/>
                  <w:vMerge w:val="continue"/>
                  <w:shd w:val="clear" w:color="auto" w:fill="auto"/>
                  <w:noWrap w:val="0"/>
                  <w:vAlign w:val="center"/>
                </w:tcPr>
                <w:p w14:paraId="1A669EC5">
                  <w:pPr>
                    <w:jc w:val="center"/>
                    <w:rPr>
                      <w:color w:val="auto"/>
                      <w:sz w:val="21"/>
                      <w:szCs w:val="21"/>
                    </w:rPr>
                  </w:pPr>
                </w:p>
              </w:tc>
              <w:tc>
                <w:tcPr>
                  <w:tcW w:w="377" w:type="pct"/>
                  <w:shd w:val="clear" w:color="auto" w:fill="auto"/>
                  <w:noWrap w:val="0"/>
                  <w:vAlign w:val="center"/>
                </w:tcPr>
                <w:p w14:paraId="0F4B6205">
                  <w:pPr>
                    <w:jc w:val="center"/>
                    <w:rPr>
                      <w:color w:val="auto"/>
                      <w:sz w:val="21"/>
                      <w:szCs w:val="21"/>
                    </w:rPr>
                  </w:pPr>
                  <w:r>
                    <w:rPr>
                      <w:rFonts w:hint="eastAsia"/>
                      <w:color w:val="auto"/>
                      <w:sz w:val="21"/>
                      <w:szCs w:val="21"/>
                    </w:rPr>
                    <w:t>产生</w:t>
                  </w:r>
                </w:p>
                <w:p w14:paraId="4183F96F">
                  <w:pPr>
                    <w:jc w:val="center"/>
                    <w:rPr>
                      <w:color w:val="auto"/>
                      <w:sz w:val="21"/>
                      <w:szCs w:val="21"/>
                    </w:rPr>
                  </w:pPr>
                  <w:r>
                    <w:rPr>
                      <w:rFonts w:hint="eastAsia"/>
                      <w:color w:val="auto"/>
                      <w:sz w:val="21"/>
                      <w:szCs w:val="21"/>
                    </w:rPr>
                    <w:t>浓度(</w:t>
                  </w:r>
                  <w:r>
                    <w:rPr>
                      <w:color w:val="auto"/>
                      <w:sz w:val="21"/>
                      <w:szCs w:val="21"/>
                    </w:rPr>
                    <w:t>mg/m</w:t>
                  </w:r>
                  <w:r>
                    <w:rPr>
                      <w:rFonts w:hint="eastAsia"/>
                      <w:color w:val="auto"/>
                      <w:sz w:val="21"/>
                      <w:szCs w:val="21"/>
                      <w:vertAlign w:val="superscript"/>
                    </w:rPr>
                    <w:t>3</w:t>
                  </w:r>
                  <w:r>
                    <w:rPr>
                      <w:rFonts w:hint="eastAsia"/>
                      <w:color w:val="auto"/>
                      <w:sz w:val="21"/>
                      <w:szCs w:val="21"/>
                    </w:rPr>
                    <w:t>)</w:t>
                  </w:r>
                </w:p>
              </w:tc>
              <w:tc>
                <w:tcPr>
                  <w:tcW w:w="340" w:type="pct"/>
                  <w:shd w:val="clear" w:color="auto" w:fill="auto"/>
                  <w:noWrap w:val="0"/>
                  <w:vAlign w:val="center"/>
                </w:tcPr>
                <w:p w14:paraId="31E2A04C">
                  <w:pPr>
                    <w:jc w:val="center"/>
                    <w:rPr>
                      <w:color w:val="auto"/>
                      <w:sz w:val="21"/>
                      <w:szCs w:val="21"/>
                    </w:rPr>
                  </w:pPr>
                  <w:r>
                    <w:rPr>
                      <w:rFonts w:hint="eastAsia"/>
                      <w:color w:val="auto"/>
                      <w:sz w:val="21"/>
                      <w:szCs w:val="21"/>
                    </w:rPr>
                    <w:t>产生</w:t>
                  </w:r>
                </w:p>
                <w:p w14:paraId="59E7EE0D">
                  <w:pPr>
                    <w:jc w:val="center"/>
                    <w:rPr>
                      <w:color w:val="auto"/>
                      <w:sz w:val="21"/>
                      <w:szCs w:val="21"/>
                    </w:rPr>
                  </w:pPr>
                  <w:r>
                    <w:rPr>
                      <w:rFonts w:hint="eastAsia"/>
                      <w:color w:val="auto"/>
                      <w:sz w:val="21"/>
                      <w:szCs w:val="21"/>
                    </w:rPr>
                    <w:t>速率(kg/h)</w:t>
                  </w:r>
                </w:p>
              </w:tc>
              <w:tc>
                <w:tcPr>
                  <w:tcW w:w="489" w:type="pct"/>
                  <w:shd w:val="clear" w:color="auto" w:fill="auto"/>
                  <w:noWrap w:val="0"/>
                  <w:vAlign w:val="center"/>
                </w:tcPr>
                <w:p w14:paraId="67910CB4">
                  <w:pPr>
                    <w:jc w:val="center"/>
                    <w:rPr>
                      <w:color w:val="auto"/>
                      <w:sz w:val="21"/>
                      <w:szCs w:val="21"/>
                    </w:rPr>
                  </w:pPr>
                  <w:r>
                    <w:rPr>
                      <w:rFonts w:hint="eastAsia"/>
                      <w:color w:val="auto"/>
                      <w:sz w:val="21"/>
                      <w:szCs w:val="21"/>
                    </w:rPr>
                    <w:t>产生量</w:t>
                  </w:r>
                </w:p>
                <w:p w14:paraId="521ECA72">
                  <w:pPr>
                    <w:jc w:val="center"/>
                    <w:rPr>
                      <w:color w:val="auto"/>
                      <w:sz w:val="21"/>
                      <w:szCs w:val="21"/>
                    </w:rPr>
                  </w:pPr>
                  <w:r>
                    <w:rPr>
                      <w:rFonts w:hint="eastAsia"/>
                      <w:color w:val="auto"/>
                      <w:sz w:val="21"/>
                      <w:szCs w:val="21"/>
                    </w:rPr>
                    <w:t>(t/a)</w:t>
                  </w:r>
                </w:p>
              </w:tc>
              <w:tc>
                <w:tcPr>
                  <w:tcW w:w="321" w:type="pct"/>
                  <w:shd w:val="clear" w:color="auto" w:fill="auto"/>
                  <w:noWrap w:val="0"/>
                  <w:vAlign w:val="center"/>
                </w:tcPr>
                <w:p w14:paraId="09E38DF8">
                  <w:pPr>
                    <w:jc w:val="center"/>
                    <w:rPr>
                      <w:color w:val="auto"/>
                      <w:sz w:val="21"/>
                      <w:szCs w:val="21"/>
                    </w:rPr>
                  </w:pPr>
                  <w:r>
                    <w:rPr>
                      <w:rFonts w:hint="eastAsia"/>
                      <w:color w:val="auto"/>
                      <w:sz w:val="21"/>
                      <w:szCs w:val="21"/>
                    </w:rPr>
                    <w:t>收集</w:t>
                  </w:r>
                </w:p>
                <w:p w14:paraId="19B8A23A">
                  <w:pPr>
                    <w:jc w:val="center"/>
                    <w:rPr>
                      <w:color w:val="auto"/>
                      <w:sz w:val="21"/>
                      <w:szCs w:val="21"/>
                    </w:rPr>
                  </w:pPr>
                  <w:r>
                    <w:rPr>
                      <w:rFonts w:hint="eastAsia"/>
                      <w:color w:val="auto"/>
                      <w:sz w:val="21"/>
                      <w:szCs w:val="21"/>
                    </w:rPr>
                    <w:t>效率(%)</w:t>
                  </w:r>
                </w:p>
              </w:tc>
              <w:tc>
                <w:tcPr>
                  <w:tcW w:w="460" w:type="pct"/>
                  <w:shd w:val="clear" w:color="auto" w:fill="auto"/>
                  <w:noWrap w:val="0"/>
                  <w:vAlign w:val="center"/>
                </w:tcPr>
                <w:p w14:paraId="601D8376">
                  <w:pPr>
                    <w:jc w:val="center"/>
                    <w:rPr>
                      <w:color w:val="auto"/>
                      <w:sz w:val="21"/>
                      <w:szCs w:val="21"/>
                    </w:rPr>
                  </w:pPr>
                  <w:r>
                    <w:rPr>
                      <w:rFonts w:hint="eastAsia"/>
                      <w:color w:val="auto"/>
                      <w:sz w:val="21"/>
                      <w:szCs w:val="21"/>
                    </w:rPr>
                    <w:t>治理</w:t>
                  </w:r>
                </w:p>
                <w:p w14:paraId="7CC721AC">
                  <w:pPr>
                    <w:jc w:val="center"/>
                    <w:rPr>
                      <w:color w:val="auto"/>
                      <w:sz w:val="21"/>
                      <w:szCs w:val="21"/>
                    </w:rPr>
                  </w:pPr>
                  <w:r>
                    <w:rPr>
                      <w:rFonts w:hint="eastAsia"/>
                      <w:color w:val="auto"/>
                      <w:sz w:val="21"/>
                      <w:szCs w:val="21"/>
                    </w:rPr>
                    <w:t>工艺</w:t>
                  </w:r>
                </w:p>
              </w:tc>
              <w:tc>
                <w:tcPr>
                  <w:tcW w:w="404" w:type="pct"/>
                  <w:shd w:val="clear" w:color="auto" w:fill="auto"/>
                  <w:noWrap w:val="0"/>
                  <w:vAlign w:val="center"/>
                </w:tcPr>
                <w:p w14:paraId="1DC5DFBF">
                  <w:pPr>
                    <w:jc w:val="center"/>
                    <w:rPr>
                      <w:color w:val="auto"/>
                      <w:sz w:val="21"/>
                      <w:szCs w:val="21"/>
                    </w:rPr>
                  </w:pPr>
                  <w:r>
                    <w:rPr>
                      <w:rFonts w:hint="eastAsia"/>
                      <w:color w:val="auto"/>
                      <w:sz w:val="21"/>
                      <w:szCs w:val="21"/>
                    </w:rPr>
                    <w:t>去除</w:t>
                  </w:r>
                </w:p>
                <w:p w14:paraId="65447AEC">
                  <w:pPr>
                    <w:jc w:val="center"/>
                    <w:rPr>
                      <w:color w:val="auto"/>
                      <w:sz w:val="21"/>
                      <w:szCs w:val="21"/>
                    </w:rPr>
                  </w:pPr>
                  <w:r>
                    <w:rPr>
                      <w:rFonts w:hint="eastAsia"/>
                      <w:color w:val="auto"/>
                      <w:sz w:val="21"/>
                      <w:szCs w:val="21"/>
                    </w:rPr>
                    <w:t>效率(%)</w:t>
                  </w:r>
                </w:p>
              </w:tc>
              <w:tc>
                <w:tcPr>
                  <w:tcW w:w="373" w:type="pct"/>
                  <w:shd w:val="clear" w:color="auto" w:fill="auto"/>
                  <w:noWrap w:val="0"/>
                  <w:vAlign w:val="center"/>
                </w:tcPr>
                <w:p w14:paraId="5C3A7FA1">
                  <w:pPr>
                    <w:jc w:val="center"/>
                    <w:rPr>
                      <w:color w:val="auto"/>
                      <w:sz w:val="21"/>
                      <w:szCs w:val="21"/>
                    </w:rPr>
                  </w:pPr>
                  <w:r>
                    <w:rPr>
                      <w:rFonts w:hint="eastAsia"/>
                      <w:color w:val="auto"/>
                      <w:sz w:val="21"/>
                      <w:szCs w:val="21"/>
                    </w:rPr>
                    <w:t>是否为可行技术</w:t>
                  </w:r>
                </w:p>
              </w:tc>
              <w:tc>
                <w:tcPr>
                  <w:tcW w:w="414" w:type="pct"/>
                  <w:shd w:val="clear" w:color="auto" w:fill="auto"/>
                  <w:noWrap w:val="0"/>
                  <w:vAlign w:val="center"/>
                </w:tcPr>
                <w:p w14:paraId="0F0B03BD">
                  <w:pPr>
                    <w:jc w:val="center"/>
                    <w:rPr>
                      <w:color w:val="auto"/>
                      <w:sz w:val="21"/>
                      <w:szCs w:val="21"/>
                    </w:rPr>
                  </w:pPr>
                  <w:r>
                    <w:rPr>
                      <w:rFonts w:hint="eastAsia"/>
                      <w:color w:val="auto"/>
                      <w:sz w:val="21"/>
                      <w:szCs w:val="21"/>
                    </w:rPr>
                    <w:t>排放</w:t>
                  </w:r>
                </w:p>
                <w:p w14:paraId="4A9E397B">
                  <w:pPr>
                    <w:jc w:val="center"/>
                    <w:rPr>
                      <w:color w:val="auto"/>
                      <w:sz w:val="21"/>
                      <w:szCs w:val="21"/>
                    </w:rPr>
                  </w:pPr>
                  <w:r>
                    <w:rPr>
                      <w:rFonts w:hint="eastAsia"/>
                      <w:color w:val="auto"/>
                      <w:sz w:val="21"/>
                      <w:szCs w:val="21"/>
                    </w:rPr>
                    <w:t>浓度(</w:t>
                  </w:r>
                  <w:r>
                    <w:rPr>
                      <w:color w:val="auto"/>
                      <w:sz w:val="21"/>
                      <w:szCs w:val="21"/>
                    </w:rPr>
                    <w:t>mg/m</w:t>
                  </w:r>
                  <w:r>
                    <w:rPr>
                      <w:rFonts w:hint="eastAsia"/>
                      <w:color w:val="auto"/>
                      <w:sz w:val="21"/>
                      <w:szCs w:val="21"/>
                      <w:vertAlign w:val="superscript"/>
                    </w:rPr>
                    <w:t>3</w:t>
                  </w:r>
                  <w:r>
                    <w:rPr>
                      <w:rFonts w:hint="eastAsia"/>
                      <w:color w:val="auto"/>
                      <w:sz w:val="21"/>
                      <w:szCs w:val="21"/>
                    </w:rPr>
                    <w:t>)</w:t>
                  </w:r>
                </w:p>
              </w:tc>
              <w:tc>
                <w:tcPr>
                  <w:tcW w:w="499" w:type="pct"/>
                  <w:shd w:val="clear" w:color="auto" w:fill="auto"/>
                  <w:noWrap w:val="0"/>
                  <w:vAlign w:val="center"/>
                </w:tcPr>
                <w:p w14:paraId="3E499592">
                  <w:pPr>
                    <w:jc w:val="center"/>
                    <w:rPr>
                      <w:color w:val="auto"/>
                      <w:sz w:val="21"/>
                      <w:szCs w:val="21"/>
                    </w:rPr>
                  </w:pPr>
                  <w:r>
                    <w:rPr>
                      <w:rFonts w:hint="eastAsia"/>
                      <w:color w:val="auto"/>
                      <w:sz w:val="21"/>
                      <w:szCs w:val="21"/>
                    </w:rPr>
                    <w:t>排放量</w:t>
                  </w:r>
                </w:p>
                <w:p w14:paraId="1E29E405">
                  <w:pPr>
                    <w:jc w:val="center"/>
                    <w:rPr>
                      <w:color w:val="auto"/>
                      <w:sz w:val="21"/>
                      <w:szCs w:val="21"/>
                    </w:rPr>
                  </w:pPr>
                  <w:r>
                    <w:rPr>
                      <w:rFonts w:hint="eastAsia"/>
                      <w:color w:val="auto"/>
                      <w:sz w:val="21"/>
                      <w:szCs w:val="21"/>
                    </w:rPr>
                    <w:t>(t/a)</w:t>
                  </w:r>
                </w:p>
              </w:tc>
              <w:tc>
                <w:tcPr>
                  <w:tcW w:w="329" w:type="pct"/>
                  <w:shd w:val="clear" w:color="auto" w:fill="auto"/>
                  <w:noWrap w:val="0"/>
                  <w:vAlign w:val="center"/>
                </w:tcPr>
                <w:p w14:paraId="41DADAF0">
                  <w:pPr>
                    <w:jc w:val="center"/>
                    <w:rPr>
                      <w:color w:val="auto"/>
                      <w:sz w:val="21"/>
                      <w:szCs w:val="21"/>
                    </w:rPr>
                  </w:pPr>
                  <w:r>
                    <w:rPr>
                      <w:rFonts w:hint="eastAsia"/>
                      <w:color w:val="auto"/>
                      <w:sz w:val="21"/>
                      <w:szCs w:val="21"/>
                    </w:rPr>
                    <w:t>排放</w:t>
                  </w:r>
                </w:p>
                <w:p w14:paraId="283B1C75">
                  <w:pPr>
                    <w:jc w:val="center"/>
                    <w:rPr>
                      <w:color w:val="auto"/>
                      <w:sz w:val="21"/>
                      <w:szCs w:val="21"/>
                    </w:rPr>
                  </w:pPr>
                  <w:r>
                    <w:rPr>
                      <w:rFonts w:hint="eastAsia"/>
                      <w:color w:val="auto"/>
                      <w:sz w:val="21"/>
                      <w:szCs w:val="21"/>
                    </w:rPr>
                    <w:t>时间(</w:t>
                  </w:r>
                  <w:r>
                    <w:rPr>
                      <w:color w:val="auto"/>
                      <w:sz w:val="21"/>
                      <w:szCs w:val="21"/>
                    </w:rPr>
                    <w:t>h/a</w:t>
                  </w:r>
                  <w:r>
                    <w:rPr>
                      <w:rFonts w:hint="eastAsia"/>
                      <w:color w:val="auto"/>
                      <w:sz w:val="21"/>
                      <w:szCs w:val="21"/>
                    </w:rPr>
                    <w:t>)</w:t>
                  </w:r>
                </w:p>
              </w:tc>
              <w:tc>
                <w:tcPr>
                  <w:tcW w:w="292" w:type="pct"/>
                  <w:shd w:val="clear" w:color="auto" w:fill="auto"/>
                  <w:noWrap w:val="0"/>
                  <w:vAlign w:val="center"/>
                </w:tcPr>
                <w:p w14:paraId="3FAC147E">
                  <w:pPr>
                    <w:jc w:val="center"/>
                    <w:rPr>
                      <w:color w:val="auto"/>
                      <w:sz w:val="21"/>
                      <w:szCs w:val="21"/>
                    </w:rPr>
                  </w:pPr>
                  <w:r>
                    <w:rPr>
                      <w:rFonts w:hint="eastAsia"/>
                      <w:color w:val="auto"/>
                      <w:sz w:val="21"/>
                      <w:szCs w:val="21"/>
                    </w:rPr>
                    <w:t>排放</w:t>
                  </w:r>
                </w:p>
                <w:p w14:paraId="4B173036">
                  <w:pPr>
                    <w:jc w:val="center"/>
                    <w:rPr>
                      <w:color w:val="auto"/>
                      <w:sz w:val="21"/>
                      <w:szCs w:val="21"/>
                    </w:rPr>
                  </w:pPr>
                  <w:r>
                    <w:rPr>
                      <w:rFonts w:hint="eastAsia"/>
                      <w:color w:val="auto"/>
                      <w:sz w:val="21"/>
                      <w:szCs w:val="21"/>
                    </w:rPr>
                    <w:t>方式</w:t>
                  </w:r>
                </w:p>
              </w:tc>
            </w:tr>
            <w:tr w14:paraId="4EE3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79" w:type="pct"/>
                  <w:vMerge w:val="restart"/>
                  <w:shd w:val="clear" w:color="auto" w:fill="auto"/>
                  <w:noWrap w:val="0"/>
                  <w:tcMar>
                    <w:top w:w="0" w:type="dxa"/>
                    <w:left w:w="0" w:type="dxa"/>
                    <w:bottom w:w="0" w:type="dxa"/>
                    <w:right w:w="0" w:type="dxa"/>
                  </w:tcMar>
                  <w:vAlign w:val="center"/>
                </w:tcPr>
                <w:p w14:paraId="14BFF1F0">
                  <w:pPr>
                    <w:jc w:val="center"/>
                    <w:rPr>
                      <w:rFonts w:hint="eastAsia" w:eastAsia="宋体"/>
                      <w:color w:val="auto"/>
                      <w:sz w:val="21"/>
                      <w:szCs w:val="21"/>
                      <w:lang w:eastAsia="zh-CN"/>
                    </w:rPr>
                  </w:pPr>
                  <w:r>
                    <w:rPr>
                      <w:rFonts w:hint="eastAsia"/>
                      <w:color w:val="auto"/>
                      <w:sz w:val="21"/>
                      <w:szCs w:val="21"/>
                      <w:lang w:eastAsia="zh-CN"/>
                    </w:rPr>
                    <w:t>热风炉燃烧废气</w:t>
                  </w:r>
                </w:p>
              </w:tc>
              <w:tc>
                <w:tcPr>
                  <w:tcW w:w="518" w:type="pct"/>
                  <w:shd w:val="clear" w:color="auto" w:fill="auto"/>
                  <w:noWrap w:val="0"/>
                  <w:vAlign w:val="center"/>
                </w:tcPr>
                <w:p w14:paraId="0DC642DC">
                  <w:pPr>
                    <w:jc w:val="center"/>
                    <w:rPr>
                      <w:color w:val="auto"/>
                      <w:sz w:val="21"/>
                      <w:szCs w:val="21"/>
                    </w:rPr>
                  </w:pPr>
                  <w:r>
                    <w:rPr>
                      <w:rFonts w:hint="eastAsia"/>
                      <w:color w:val="auto"/>
                      <w:sz w:val="21"/>
                      <w:szCs w:val="21"/>
                      <w:lang w:eastAsia="zh-CN"/>
                    </w:rPr>
                    <w:t>甲醛</w:t>
                  </w:r>
                </w:p>
              </w:tc>
              <w:tc>
                <w:tcPr>
                  <w:tcW w:w="914" w:type="dxa"/>
                  <w:shd w:val="clear" w:color="auto" w:fill="auto"/>
                  <w:noWrap w:val="0"/>
                  <w:vAlign w:val="center"/>
                </w:tcPr>
                <w:p w14:paraId="0823E55F">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0.0445 </w:t>
                  </w:r>
                </w:p>
              </w:tc>
              <w:tc>
                <w:tcPr>
                  <w:tcW w:w="794" w:type="dxa"/>
                  <w:shd w:val="clear" w:color="auto" w:fill="auto"/>
                  <w:noWrap w:val="0"/>
                  <w:vAlign w:val="center"/>
                </w:tcPr>
                <w:p w14:paraId="74CA8732">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0.0010 </w:t>
                  </w:r>
                </w:p>
              </w:tc>
              <w:tc>
                <w:tcPr>
                  <w:tcW w:w="689" w:type="dxa"/>
                  <w:shd w:val="clear" w:color="auto" w:fill="auto"/>
                  <w:noWrap w:val="0"/>
                  <w:vAlign w:val="center"/>
                </w:tcPr>
                <w:p w14:paraId="607EBF2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0.007</w:t>
                  </w:r>
                </w:p>
              </w:tc>
              <w:tc>
                <w:tcPr>
                  <w:tcW w:w="321" w:type="pct"/>
                  <w:vMerge w:val="restart"/>
                  <w:shd w:val="clear" w:color="auto" w:fill="auto"/>
                  <w:noWrap w:val="0"/>
                  <w:vAlign w:val="center"/>
                </w:tcPr>
                <w:p w14:paraId="4C2C5CCC">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460" w:type="pct"/>
                  <w:vMerge w:val="restart"/>
                  <w:shd w:val="clear" w:color="auto" w:fill="auto"/>
                  <w:noWrap w:val="0"/>
                  <w:vAlign w:val="center"/>
                </w:tcPr>
                <w:p w14:paraId="01A2CEF6">
                  <w:pPr>
                    <w:jc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zh-HK"/>
                    </w:rPr>
                    <w:t>旋风除尘器+二级水膜除尘</w:t>
                  </w:r>
                </w:p>
              </w:tc>
              <w:tc>
                <w:tcPr>
                  <w:tcW w:w="404" w:type="pct"/>
                  <w:shd w:val="clear" w:color="auto" w:fill="auto"/>
                  <w:noWrap w:val="0"/>
                  <w:vAlign w:val="center"/>
                </w:tcPr>
                <w:p w14:paraId="15DD43FB">
                  <w:pPr>
                    <w:jc w:val="center"/>
                    <w:rPr>
                      <w:rFonts w:hint="default" w:eastAsia="宋体"/>
                      <w:color w:val="auto"/>
                      <w:sz w:val="21"/>
                      <w:szCs w:val="21"/>
                      <w:lang w:val="en-US" w:eastAsia="zh-CN"/>
                    </w:rPr>
                  </w:pPr>
                  <w:r>
                    <w:rPr>
                      <w:rFonts w:hint="eastAsia"/>
                      <w:color w:val="auto"/>
                      <w:sz w:val="21"/>
                      <w:szCs w:val="21"/>
                      <w:lang w:val="en-US" w:eastAsia="zh-CN"/>
                    </w:rPr>
                    <w:t>70</w:t>
                  </w:r>
                </w:p>
              </w:tc>
              <w:tc>
                <w:tcPr>
                  <w:tcW w:w="373" w:type="pct"/>
                  <w:shd w:val="clear" w:color="auto" w:fill="auto"/>
                  <w:noWrap w:val="0"/>
                  <w:vAlign w:val="center"/>
                </w:tcPr>
                <w:p w14:paraId="1BFB83A6">
                  <w:pPr>
                    <w:jc w:val="center"/>
                    <w:rPr>
                      <w:color w:val="auto"/>
                      <w:sz w:val="21"/>
                      <w:szCs w:val="21"/>
                    </w:rPr>
                  </w:pPr>
                  <w:r>
                    <w:rPr>
                      <w:rFonts w:hint="eastAsia"/>
                      <w:color w:val="auto"/>
                      <w:sz w:val="21"/>
                      <w:szCs w:val="21"/>
                    </w:rPr>
                    <w:t>是</w:t>
                  </w:r>
                </w:p>
              </w:tc>
              <w:tc>
                <w:tcPr>
                  <w:tcW w:w="914" w:type="dxa"/>
                  <w:shd w:val="clear" w:color="auto" w:fill="auto"/>
                  <w:noWrap w:val="0"/>
                  <w:vAlign w:val="center"/>
                </w:tcPr>
                <w:p w14:paraId="09FBFE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2.34</w:t>
                  </w:r>
                </w:p>
              </w:tc>
              <w:tc>
                <w:tcPr>
                  <w:tcW w:w="689" w:type="dxa"/>
                  <w:shd w:val="clear" w:color="auto" w:fill="auto"/>
                  <w:noWrap w:val="0"/>
                  <w:vAlign w:val="center"/>
                </w:tcPr>
                <w:p w14:paraId="5E1CD6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0.365</w:t>
                  </w:r>
                </w:p>
              </w:tc>
              <w:tc>
                <w:tcPr>
                  <w:tcW w:w="329" w:type="pct"/>
                  <w:vMerge w:val="restart"/>
                  <w:shd w:val="clear" w:color="auto" w:fill="auto"/>
                  <w:noWrap w:val="0"/>
                  <w:vAlign w:val="center"/>
                </w:tcPr>
                <w:p w14:paraId="023B2ACE">
                  <w:pPr>
                    <w:jc w:val="center"/>
                    <w:rPr>
                      <w:rFonts w:hint="default" w:eastAsia="宋体"/>
                      <w:color w:val="auto"/>
                      <w:sz w:val="21"/>
                      <w:szCs w:val="21"/>
                      <w:lang w:val="en-US" w:eastAsia="zh-CN"/>
                    </w:rPr>
                  </w:pPr>
                  <w:r>
                    <w:rPr>
                      <w:rFonts w:hint="eastAsia"/>
                      <w:color w:val="auto"/>
                      <w:sz w:val="21"/>
                      <w:szCs w:val="21"/>
                      <w:lang w:val="en-US" w:eastAsia="zh-CN"/>
                    </w:rPr>
                    <w:t>7200</w:t>
                  </w:r>
                </w:p>
              </w:tc>
              <w:tc>
                <w:tcPr>
                  <w:tcW w:w="292" w:type="pct"/>
                  <w:vMerge w:val="restart"/>
                  <w:shd w:val="clear" w:color="auto" w:fill="auto"/>
                  <w:noWrap w:val="0"/>
                  <w:vAlign w:val="center"/>
                </w:tcPr>
                <w:p w14:paraId="14926594">
                  <w:pPr>
                    <w:jc w:val="center"/>
                    <w:rPr>
                      <w:color w:val="auto"/>
                      <w:sz w:val="21"/>
                      <w:szCs w:val="21"/>
                    </w:rPr>
                  </w:pPr>
                  <w:r>
                    <w:rPr>
                      <w:rFonts w:hint="eastAsia"/>
                      <w:color w:val="auto"/>
                      <w:sz w:val="21"/>
                      <w:szCs w:val="21"/>
                    </w:rPr>
                    <w:t>有组织排放</w:t>
                  </w:r>
                </w:p>
                <w:p w14:paraId="7D86A3DC">
                  <w:pPr>
                    <w:jc w:val="center"/>
                    <w:rPr>
                      <w:color w:val="auto"/>
                      <w:sz w:val="21"/>
                      <w:szCs w:val="21"/>
                    </w:rPr>
                  </w:pPr>
                </w:p>
              </w:tc>
            </w:tr>
            <w:tr w14:paraId="24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79" w:type="pct"/>
                  <w:vMerge w:val="continue"/>
                  <w:shd w:val="clear" w:color="auto" w:fill="auto"/>
                  <w:noWrap w:val="0"/>
                  <w:tcMar>
                    <w:top w:w="0" w:type="dxa"/>
                    <w:left w:w="0" w:type="dxa"/>
                    <w:bottom w:w="0" w:type="dxa"/>
                    <w:right w:w="0" w:type="dxa"/>
                  </w:tcMar>
                  <w:vAlign w:val="center"/>
                </w:tcPr>
                <w:p w14:paraId="3CA3C0EB">
                  <w:pPr>
                    <w:jc w:val="center"/>
                    <w:rPr>
                      <w:color w:val="auto"/>
                      <w:sz w:val="21"/>
                      <w:szCs w:val="21"/>
                    </w:rPr>
                  </w:pPr>
                </w:p>
              </w:tc>
              <w:tc>
                <w:tcPr>
                  <w:tcW w:w="518" w:type="pct"/>
                  <w:shd w:val="clear" w:color="auto" w:fill="auto"/>
                  <w:noWrap w:val="0"/>
                  <w:vAlign w:val="center"/>
                </w:tcPr>
                <w:p w14:paraId="0AE43561">
                  <w:pPr>
                    <w:jc w:val="center"/>
                    <w:rPr>
                      <w:color w:val="auto"/>
                      <w:sz w:val="21"/>
                      <w:szCs w:val="21"/>
                    </w:rPr>
                  </w:pPr>
                  <w:r>
                    <w:rPr>
                      <w:rFonts w:hint="eastAsia"/>
                      <w:color w:val="auto"/>
                      <w:sz w:val="21"/>
                      <w:szCs w:val="21"/>
                    </w:rPr>
                    <w:t>颗粒物</w:t>
                  </w:r>
                </w:p>
              </w:tc>
              <w:tc>
                <w:tcPr>
                  <w:tcW w:w="914" w:type="dxa"/>
                  <w:shd w:val="clear" w:color="auto" w:fill="auto"/>
                  <w:noWrap w:val="0"/>
                  <w:vAlign w:val="center"/>
                </w:tcPr>
                <w:p w14:paraId="724339D8">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0.0636 </w:t>
                  </w:r>
                </w:p>
              </w:tc>
              <w:tc>
                <w:tcPr>
                  <w:tcW w:w="794" w:type="dxa"/>
                  <w:shd w:val="clear" w:color="auto" w:fill="auto"/>
                  <w:noWrap w:val="0"/>
                  <w:vAlign w:val="center"/>
                </w:tcPr>
                <w:p w14:paraId="37F2DFA5">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0.0014 </w:t>
                  </w:r>
                </w:p>
              </w:tc>
              <w:tc>
                <w:tcPr>
                  <w:tcW w:w="689" w:type="dxa"/>
                  <w:shd w:val="clear" w:color="auto" w:fill="auto"/>
                  <w:noWrap w:val="0"/>
                  <w:vAlign w:val="center"/>
                </w:tcPr>
                <w:p w14:paraId="71E81E7F">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0.01</w:t>
                  </w:r>
                </w:p>
              </w:tc>
              <w:tc>
                <w:tcPr>
                  <w:tcW w:w="321" w:type="pct"/>
                  <w:vMerge w:val="continue"/>
                  <w:shd w:val="clear" w:color="auto" w:fill="auto"/>
                  <w:noWrap w:val="0"/>
                  <w:vAlign w:val="center"/>
                </w:tcPr>
                <w:p w14:paraId="3A72C8D7">
                  <w:pPr>
                    <w:jc w:val="center"/>
                    <w:rPr>
                      <w:color w:val="auto"/>
                      <w:sz w:val="21"/>
                      <w:szCs w:val="21"/>
                    </w:rPr>
                  </w:pPr>
                </w:p>
              </w:tc>
              <w:tc>
                <w:tcPr>
                  <w:tcW w:w="460" w:type="pct"/>
                  <w:vMerge w:val="continue"/>
                  <w:shd w:val="clear" w:color="auto" w:fill="auto"/>
                  <w:noWrap w:val="0"/>
                  <w:vAlign w:val="center"/>
                </w:tcPr>
                <w:p w14:paraId="0D39A2B2">
                  <w:pPr>
                    <w:jc w:val="center"/>
                    <w:rPr>
                      <w:color w:val="auto"/>
                      <w:sz w:val="21"/>
                      <w:szCs w:val="21"/>
                    </w:rPr>
                  </w:pPr>
                </w:p>
              </w:tc>
              <w:tc>
                <w:tcPr>
                  <w:tcW w:w="404" w:type="pct"/>
                  <w:shd w:val="clear" w:color="auto" w:fill="auto"/>
                  <w:noWrap w:val="0"/>
                  <w:vAlign w:val="center"/>
                </w:tcPr>
                <w:p w14:paraId="5465F2CA">
                  <w:pPr>
                    <w:jc w:val="center"/>
                    <w:rPr>
                      <w:rFonts w:hint="default" w:eastAsia="宋体"/>
                      <w:color w:val="auto"/>
                      <w:sz w:val="21"/>
                      <w:szCs w:val="21"/>
                      <w:lang w:val="en-US" w:eastAsia="zh-CN"/>
                    </w:rPr>
                  </w:pPr>
                  <w:r>
                    <w:rPr>
                      <w:rFonts w:hint="eastAsia"/>
                      <w:color w:val="auto"/>
                      <w:sz w:val="21"/>
                      <w:szCs w:val="21"/>
                      <w:lang w:val="en-US" w:eastAsia="zh-CN"/>
                    </w:rPr>
                    <w:t>85+75</w:t>
                  </w:r>
                </w:p>
              </w:tc>
              <w:tc>
                <w:tcPr>
                  <w:tcW w:w="373" w:type="pct"/>
                  <w:shd w:val="clear" w:color="auto" w:fill="auto"/>
                  <w:noWrap w:val="0"/>
                  <w:vAlign w:val="center"/>
                </w:tcPr>
                <w:p w14:paraId="417043A0">
                  <w:pPr>
                    <w:jc w:val="center"/>
                    <w:rPr>
                      <w:color w:val="auto"/>
                      <w:sz w:val="21"/>
                      <w:szCs w:val="21"/>
                    </w:rPr>
                  </w:pPr>
                  <w:r>
                    <w:rPr>
                      <w:rFonts w:hint="eastAsia"/>
                      <w:color w:val="auto"/>
                      <w:sz w:val="21"/>
                      <w:szCs w:val="21"/>
                    </w:rPr>
                    <w:t>是</w:t>
                  </w:r>
                </w:p>
              </w:tc>
              <w:tc>
                <w:tcPr>
                  <w:tcW w:w="914" w:type="dxa"/>
                  <w:shd w:val="clear" w:color="auto" w:fill="auto"/>
                  <w:noWrap w:val="0"/>
                  <w:vAlign w:val="center"/>
                </w:tcPr>
                <w:p w14:paraId="107830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8.61</w:t>
                  </w:r>
                </w:p>
              </w:tc>
              <w:tc>
                <w:tcPr>
                  <w:tcW w:w="689" w:type="dxa"/>
                  <w:shd w:val="clear" w:color="auto" w:fill="auto"/>
                  <w:noWrap w:val="0"/>
                  <w:vAlign w:val="center"/>
                </w:tcPr>
                <w:p w14:paraId="65CDBE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1.351</w:t>
                  </w:r>
                </w:p>
              </w:tc>
              <w:tc>
                <w:tcPr>
                  <w:tcW w:w="329" w:type="pct"/>
                  <w:vMerge w:val="continue"/>
                  <w:shd w:val="clear" w:color="auto" w:fill="auto"/>
                  <w:noWrap w:val="0"/>
                  <w:vAlign w:val="center"/>
                </w:tcPr>
                <w:p w14:paraId="6895968E">
                  <w:pPr>
                    <w:jc w:val="center"/>
                    <w:rPr>
                      <w:color w:val="auto"/>
                      <w:sz w:val="21"/>
                      <w:szCs w:val="21"/>
                    </w:rPr>
                  </w:pPr>
                </w:p>
              </w:tc>
              <w:tc>
                <w:tcPr>
                  <w:tcW w:w="292" w:type="pct"/>
                  <w:vMerge w:val="continue"/>
                  <w:shd w:val="clear" w:color="auto" w:fill="auto"/>
                  <w:noWrap w:val="0"/>
                  <w:vAlign w:val="center"/>
                </w:tcPr>
                <w:p w14:paraId="3114FBF7">
                  <w:pPr>
                    <w:jc w:val="center"/>
                    <w:rPr>
                      <w:color w:val="auto"/>
                      <w:sz w:val="21"/>
                      <w:szCs w:val="21"/>
                    </w:rPr>
                  </w:pPr>
                </w:p>
              </w:tc>
            </w:tr>
            <w:tr w14:paraId="0EEF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79" w:type="pct"/>
                  <w:vMerge w:val="continue"/>
                  <w:shd w:val="clear" w:color="auto" w:fill="auto"/>
                  <w:noWrap w:val="0"/>
                  <w:tcMar>
                    <w:top w:w="0" w:type="dxa"/>
                    <w:left w:w="0" w:type="dxa"/>
                    <w:bottom w:w="0" w:type="dxa"/>
                    <w:right w:w="0" w:type="dxa"/>
                  </w:tcMar>
                  <w:vAlign w:val="center"/>
                </w:tcPr>
                <w:p w14:paraId="21E1FC0F">
                  <w:pPr>
                    <w:jc w:val="center"/>
                    <w:rPr>
                      <w:color w:val="auto"/>
                      <w:sz w:val="21"/>
                      <w:szCs w:val="21"/>
                    </w:rPr>
                  </w:pPr>
                </w:p>
              </w:tc>
              <w:tc>
                <w:tcPr>
                  <w:tcW w:w="518" w:type="pct"/>
                  <w:shd w:val="clear" w:color="auto" w:fill="auto"/>
                  <w:noWrap w:val="0"/>
                  <w:vAlign w:val="center"/>
                </w:tcPr>
                <w:p w14:paraId="01412AB2">
                  <w:pPr>
                    <w:jc w:val="center"/>
                    <w:rPr>
                      <w:color w:val="auto"/>
                      <w:sz w:val="21"/>
                      <w:szCs w:val="21"/>
                    </w:rPr>
                  </w:pPr>
                  <w:r>
                    <w:rPr>
                      <w:rFonts w:hint="eastAsia"/>
                      <w:color w:val="auto"/>
                      <w:sz w:val="21"/>
                      <w:szCs w:val="21"/>
                      <w:lang w:eastAsia="zh-CN"/>
                    </w:rPr>
                    <w:t>甲醇</w:t>
                  </w:r>
                </w:p>
              </w:tc>
              <w:tc>
                <w:tcPr>
                  <w:tcW w:w="914" w:type="dxa"/>
                  <w:shd w:val="clear" w:color="auto" w:fill="auto"/>
                  <w:noWrap w:val="0"/>
                  <w:vAlign w:val="center"/>
                </w:tcPr>
                <w:p w14:paraId="65154564">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1.2725 </w:t>
                  </w:r>
                </w:p>
              </w:tc>
              <w:tc>
                <w:tcPr>
                  <w:tcW w:w="794" w:type="dxa"/>
                  <w:shd w:val="clear" w:color="auto" w:fill="auto"/>
                  <w:noWrap w:val="0"/>
                  <w:vAlign w:val="center"/>
                </w:tcPr>
                <w:p w14:paraId="68B5E64D">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0.0278 </w:t>
                  </w:r>
                </w:p>
              </w:tc>
              <w:tc>
                <w:tcPr>
                  <w:tcW w:w="689" w:type="dxa"/>
                  <w:shd w:val="clear" w:color="auto" w:fill="auto"/>
                  <w:noWrap w:val="0"/>
                  <w:vAlign w:val="center"/>
                </w:tcPr>
                <w:p w14:paraId="7A4AB5E6">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0.2</w:t>
                  </w:r>
                </w:p>
              </w:tc>
              <w:tc>
                <w:tcPr>
                  <w:tcW w:w="321" w:type="pct"/>
                  <w:vMerge w:val="continue"/>
                  <w:shd w:val="clear" w:color="auto" w:fill="auto"/>
                  <w:noWrap w:val="0"/>
                  <w:vAlign w:val="center"/>
                </w:tcPr>
                <w:p w14:paraId="22915B39">
                  <w:pPr>
                    <w:jc w:val="center"/>
                    <w:rPr>
                      <w:color w:val="auto"/>
                      <w:sz w:val="21"/>
                      <w:szCs w:val="21"/>
                    </w:rPr>
                  </w:pPr>
                </w:p>
              </w:tc>
              <w:tc>
                <w:tcPr>
                  <w:tcW w:w="460" w:type="pct"/>
                  <w:vMerge w:val="continue"/>
                  <w:shd w:val="clear" w:color="auto" w:fill="auto"/>
                  <w:noWrap w:val="0"/>
                  <w:vAlign w:val="center"/>
                </w:tcPr>
                <w:p w14:paraId="678754B0">
                  <w:pPr>
                    <w:jc w:val="center"/>
                    <w:rPr>
                      <w:color w:val="auto"/>
                      <w:sz w:val="21"/>
                      <w:szCs w:val="21"/>
                    </w:rPr>
                  </w:pPr>
                </w:p>
              </w:tc>
              <w:tc>
                <w:tcPr>
                  <w:tcW w:w="404" w:type="pct"/>
                  <w:shd w:val="clear" w:color="auto" w:fill="auto"/>
                  <w:noWrap w:val="0"/>
                  <w:vAlign w:val="center"/>
                </w:tcPr>
                <w:p w14:paraId="78A3ADEB">
                  <w:pPr>
                    <w:jc w:val="center"/>
                    <w:rPr>
                      <w:rFonts w:hint="default"/>
                      <w:color w:val="auto"/>
                      <w:sz w:val="21"/>
                      <w:szCs w:val="21"/>
                      <w:lang w:val="en-US"/>
                    </w:rPr>
                  </w:pPr>
                  <w:r>
                    <w:rPr>
                      <w:rFonts w:hint="eastAsia"/>
                      <w:color w:val="auto"/>
                      <w:sz w:val="21"/>
                      <w:szCs w:val="21"/>
                      <w:lang w:val="en-US" w:eastAsia="zh-CN"/>
                    </w:rPr>
                    <w:t>70</w:t>
                  </w:r>
                </w:p>
              </w:tc>
              <w:tc>
                <w:tcPr>
                  <w:tcW w:w="373" w:type="pct"/>
                  <w:shd w:val="clear" w:color="auto" w:fill="auto"/>
                  <w:noWrap w:val="0"/>
                  <w:vAlign w:val="center"/>
                </w:tcPr>
                <w:p w14:paraId="5A90801D">
                  <w:pPr>
                    <w:jc w:val="center"/>
                    <w:rPr>
                      <w:color w:val="auto"/>
                      <w:sz w:val="21"/>
                      <w:szCs w:val="21"/>
                    </w:rPr>
                  </w:pPr>
                  <w:r>
                    <w:rPr>
                      <w:rFonts w:hint="eastAsia"/>
                      <w:color w:val="auto"/>
                      <w:sz w:val="21"/>
                      <w:szCs w:val="21"/>
                    </w:rPr>
                    <w:t>是</w:t>
                  </w:r>
                </w:p>
              </w:tc>
              <w:tc>
                <w:tcPr>
                  <w:tcW w:w="914" w:type="dxa"/>
                  <w:shd w:val="clear" w:color="auto" w:fill="auto"/>
                  <w:noWrap w:val="0"/>
                  <w:vAlign w:val="center"/>
                </w:tcPr>
                <w:p w14:paraId="2812F8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0.3817</w:t>
                  </w:r>
                </w:p>
              </w:tc>
              <w:tc>
                <w:tcPr>
                  <w:tcW w:w="689" w:type="dxa"/>
                  <w:shd w:val="clear" w:color="auto" w:fill="auto"/>
                  <w:noWrap w:val="0"/>
                  <w:vAlign w:val="center"/>
                </w:tcPr>
                <w:p w14:paraId="434929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0.06</w:t>
                  </w:r>
                </w:p>
              </w:tc>
              <w:tc>
                <w:tcPr>
                  <w:tcW w:w="329" w:type="pct"/>
                  <w:vMerge w:val="continue"/>
                  <w:shd w:val="clear" w:color="auto" w:fill="auto"/>
                  <w:noWrap w:val="0"/>
                  <w:vAlign w:val="center"/>
                </w:tcPr>
                <w:p w14:paraId="75F8B29E">
                  <w:pPr>
                    <w:jc w:val="center"/>
                    <w:rPr>
                      <w:color w:val="auto"/>
                      <w:sz w:val="21"/>
                      <w:szCs w:val="21"/>
                    </w:rPr>
                  </w:pPr>
                </w:p>
              </w:tc>
              <w:tc>
                <w:tcPr>
                  <w:tcW w:w="292" w:type="pct"/>
                  <w:vMerge w:val="continue"/>
                  <w:shd w:val="clear" w:color="auto" w:fill="auto"/>
                  <w:noWrap w:val="0"/>
                  <w:vAlign w:val="center"/>
                </w:tcPr>
                <w:p w14:paraId="1B4CD451">
                  <w:pPr>
                    <w:jc w:val="center"/>
                    <w:rPr>
                      <w:color w:val="auto"/>
                      <w:sz w:val="21"/>
                      <w:szCs w:val="21"/>
                    </w:rPr>
                  </w:pPr>
                </w:p>
              </w:tc>
            </w:tr>
            <w:tr w14:paraId="2309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 w:type="pct"/>
                  <w:vMerge w:val="continue"/>
                  <w:shd w:val="clear" w:color="auto" w:fill="auto"/>
                  <w:noWrap w:val="0"/>
                  <w:tcMar>
                    <w:top w:w="0" w:type="dxa"/>
                    <w:left w:w="0" w:type="dxa"/>
                    <w:bottom w:w="0" w:type="dxa"/>
                    <w:right w:w="0" w:type="dxa"/>
                  </w:tcMar>
                  <w:vAlign w:val="center"/>
                </w:tcPr>
                <w:p w14:paraId="7CBE827E">
                  <w:pPr>
                    <w:jc w:val="center"/>
                    <w:rPr>
                      <w:rFonts w:hint="eastAsia"/>
                      <w:color w:val="auto"/>
                      <w:sz w:val="21"/>
                      <w:szCs w:val="21"/>
                    </w:rPr>
                  </w:pPr>
                </w:p>
              </w:tc>
              <w:tc>
                <w:tcPr>
                  <w:tcW w:w="518" w:type="pct"/>
                  <w:shd w:val="clear" w:color="auto" w:fill="auto"/>
                  <w:noWrap w:val="0"/>
                  <w:vAlign w:val="center"/>
                </w:tcPr>
                <w:p w14:paraId="3D451CFD">
                  <w:pPr>
                    <w:jc w:val="center"/>
                    <w:rPr>
                      <w:rFonts w:hint="eastAsia" w:ascii="Times New Roman" w:hAnsi="Times New Roman"/>
                      <w:color w:val="auto"/>
                      <w:kern w:val="2"/>
                      <w:sz w:val="21"/>
                      <w:szCs w:val="21"/>
                      <w:lang w:val="en-US" w:eastAsia="zh-CN" w:bidi="ar-SA"/>
                    </w:rPr>
                  </w:pPr>
                  <w:r>
                    <w:rPr>
                      <w:rFonts w:hint="eastAsia"/>
                      <w:color w:val="auto"/>
                      <w:sz w:val="21"/>
                      <w:szCs w:val="21"/>
                      <w:lang w:eastAsia="zh-CN"/>
                    </w:rPr>
                    <w:t>非甲烷总烃</w:t>
                  </w:r>
                </w:p>
              </w:tc>
              <w:tc>
                <w:tcPr>
                  <w:tcW w:w="914" w:type="dxa"/>
                  <w:shd w:val="clear" w:color="auto" w:fill="auto"/>
                  <w:noWrap w:val="0"/>
                  <w:vAlign w:val="center"/>
                </w:tcPr>
                <w:p w14:paraId="71D2221C">
                  <w:pPr>
                    <w:keepNext w:val="0"/>
                    <w:keepLines w:val="0"/>
                    <w:widowControl/>
                    <w:suppressLineNumbers w:val="0"/>
                    <w:jc w:val="center"/>
                    <w:textAlignment w:val="center"/>
                    <w:rPr>
                      <w:rFonts w:hint="eastAsia" w:ascii="Times New Roman" w:hAnsi="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0.6044 </w:t>
                  </w:r>
                </w:p>
              </w:tc>
              <w:tc>
                <w:tcPr>
                  <w:tcW w:w="794" w:type="dxa"/>
                  <w:shd w:val="clear" w:color="auto" w:fill="auto"/>
                  <w:noWrap w:val="0"/>
                  <w:vAlign w:val="center"/>
                </w:tcPr>
                <w:p w14:paraId="119A7A89">
                  <w:pPr>
                    <w:keepNext w:val="0"/>
                    <w:keepLines w:val="0"/>
                    <w:widowControl/>
                    <w:suppressLineNumbers w:val="0"/>
                    <w:jc w:val="center"/>
                    <w:textAlignment w:val="center"/>
                    <w:rPr>
                      <w:rFonts w:ascii="Times New Roman" w:hAnsi="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0.0132 </w:t>
                  </w:r>
                </w:p>
              </w:tc>
              <w:tc>
                <w:tcPr>
                  <w:tcW w:w="689" w:type="dxa"/>
                  <w:shd w:val="clear" w:color="auto" w:fill="auto"/>
                  <w:noWrap w:val="0"/>
                  <w:vAlign w:val="center"/>
                </w:tcPr>
                <w:p w14:paraId="5D8E1DD1">
                  <w:pPr>
                    <w:keepNext w:val="0"/>
                    <w:keepLines w:val="0"/>
                    <w:widowControl/>
                    <w:suppressLineNumbers w:val="0"/>
                    <w:jc w:val="center"/>
                    <w:textAlignment w:val="center"/>
                    <w:rPr>
                      <w:rFonts w:hint="eastAsia" w:ascii="Times New Roman" w:hAnsi="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0.095</w:t>
                  </w:r>
                </w:p>
              </w:tc>
              <w:tc>
                <w:tcPr>
                  <w:tcW w:w="321" w:type="pct"/>
                  <w:vMerge w:val="continue"/>
                  <w:shd w:val="clear" w:color="auto" w:fill="auto"/>
                  <w:noWrap w:val="0"/>
                  <w:vAlign w:val="center"/>
                </w:tcPr>
                <w:p w14:paraId="68EDD526">
                  <w:pPr>
                    <w:jc w:val="center"/>
                    <w:rPr>
                      <w:rFonts w:hint="eastAsia" w:ascii="Times New Roman" w:hAnsi="Times New Roman"/>
                      <w:color w:val="auto"/>
                      <w:kern w:val="2"/>
                      <w:sz w:val="21"/>
                      <w:szCs w:val="21"/>
                      <w:lang w:val="en-US" w:eastAsia="zh-CN" w:bidi="ar-SA"/>
                    </w:rPr>
                  </w:pPr>
                </w:p>
              </w:tc>
              <w:tc>
                <w:tcPr>
                  <w:tcW w:w="460" w:type="pct"/>
                  <w:vMerge w:val="continue"/>
                  <w:shd w:val="clear" w:color="auto" w:fill="auto"/>
                  <w:noWrap w:val="0"/>
                  <w:vAlign w:val="center"/>
                </w:tcPr>
                <w:p w14:paraId="433B92B5">
                  <w:pPr>
                    <w:jc w:val="center"/>
                    <w:rPr>
                      <w:rFonts w:ascii="Times New Roman" w:hAnsi="Times New Roman"/>
                      <w:color w:val="auto"/>
                      <w:kern w:val="2"/>
                      <w:sz w:val="21"/>
                      <w:szCs w:val="21"/>
                      <w:lang w:val="en-US" w:eastAsia="zh-CN" w:bidi="ar-SA"/>
                    </w:rPr>
                  </w:pPr>
                </w:p>
              </w:tc>
              <w:tc>
                <w:tcPr>
                  <w:tcW w:w="404" w:type="pct"/>
                  <w:shd w:val="clear" w:color="auto" w:fill="auto"/>
                  <w:noWrap w:val="0"/>
                  <w:vAlign w:val="center"/>
                </w:tcPr>
                <w:p w14:paraId="5CA26111">
                  <w:pPr>
                    <w:jc w:val="center"/>
                    <w:rPr>
                      <w:rFonts w:hint="default" w:ascii="Times New Roman" w:hAnsi="Times New Roman"/>
                      <w:color w:val="auto"/>
                      <w:kern w:val="2"/>
                      <w:sz w:val="21"/>
                      <w:szCs w:val="21"/>
                      <w:lang w:val="en-US" w:eastAsia="zh-CN" w:bidi="ar-SA"/>
                    </w:rPr>
                  </w:pPr>
                  <w:r>
                    <w:rPr>
                      <w:rFonts w:hint="eastAsia"/>
                      <w:color w:val="auto"/>
                      <w:sz w:val="21"/>
                      <w:szCs w:val="21"/>
                      <w:lang w:val="en-US" w:eastAsia="zh-CN"/>
                    </w:rPr>
                    <w:t>70</w:t>
                  </w:r>
                </w:p>
              </w:tc>
              <w:tc>
                <w:tcPr>
                  <w:tcW w:w="373" w:type="pct"/>
                  <w:shd w:val="clear" w:color="auto" w:fill="auto"/>
                  <w:noWrap w:val="0"/>
                  <w:vAlign w:val="center"/>
                </w:tcPr>
                <w:p w14:paraId="3AE84BF9">
                  <w:pPr>
                    <w:jc w:val="center"/>
                    <w:rPr>
                      <w:rFonts w:hint="eastAsia" w:ascii="Times New Roman" w:hAnsi="Times New Roman"/>
                      <w:color w:val="auto"/>
                      <w:kern w:val="2"/>
                      <w:sz w:val="21"/>
                      <w:szCs w:val="21"/>
                      <w:lang w:val="en-US" w:eastAsia="zh-CN" w:bidi="ar-SA"/>
                    </w:rPr>
                  </w:pPr>
                  <w:r>
                    <w:rPr>
                      <w:rFonts w:hint="eastAsia"/>
                      <w:color w:val="auto"/>
                      <w:sz w:val="21"/>
                      <w:szCs w:val="21"/>
                    </w:rPr>
                    <w:t>是</w:t>
                  </w:r>
                </w:p>
              </w:tc>
              <w:tc>
                <w:tcPr>
                  <w:tcW w:w="914" w:type="dxa"/>
                  <w:shd w:val="clear" w:color="auto" w:fill="auto"/>
                  <w:noWrap w:val="0"/>
                  <w:vAlign w:val="center"/>
                </w:tcPr>
                <w:p w14:paraId="00D6EF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12.55</w:t>
                  </w:r>
                </w:p>
              </w:tc>
              <w:tc>
                <w:tcPr>
                  <w:tcW w:w="689" w:type="dxa"/>
                  <w:shd w:val="clear" w:color="auto" w:fill="auto"/>
                  <w:noWrap w:val="0"/>
                  <w:vAlign w:val="center"/>
                </w:tcPr>
                <w:p w14:paraId="46594B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1.97</w:t>
                  </w:r>
                </w:p>
              </w:tc>
              <w:tc>
                <w:tcPr>
                  <w:tcW w:w="329" w:type="pct"/>
                  <w:vMerge w:val="continue"/>
                  <w:shd w:val="clear" w:color="auto" w:fill="auto"/>
                  <w:noWrap w:val="0"/>
                  <w:vAlign w:val="center"/>
                </w:tcPr>
                <w:p w14:paraId="4407EFE7">
                  <w:pPr>
                    <w:jc w:val="center"/>
                    <w:rPr>
                      <w:rFonts w:hint="eastAsia"/>
                      <w:color w:val="auto"/>
                      <w:sz w:val="21"/>
                      <w:szCs w:val="21"/>
                    </w:rPr>
                  </w:pPr>
                </w:p>
              </w:tc>
              <w:tc>
                <w:tcPr>
                  <w:tcW w:w="292" w:type="pct"/>
                  <w:vMerge w:val="continue"/>
                  <w:shd w:val="clear" w:color="auto" w:fill="auto"/>
                  <w:noWrap w:val="0"/>
                  <w:vAlign w:val="center"/>
                </w:tcPr>
                <w:p w14:paraId="1A848617">
                  <w:pPr>
                    <w:jc w:val="center"/>
                    <w:rPr>
                      <w:color w:val="auto"/>
                      <w:sz w:val="21"/>
                      <w:szCs w:val="21"/>
                    </w:rPr>
                  </w:pPr>
                </w:p>
              </w:tc>
            </w:tr>
            <w:tr w14:paraId="62E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9" w:type="pct"/>
                  <w:vMerge w:val="continue"/>
                  <w:shd w:val="clear" w:color="auto" w:fill="auto"/>
                  <w:noWrap w:val="0"/>
                  <w:tcMar>
                    <w:top w:w="0" w:type="dxa"/>
                    <w:left w:w="0" w:type="dxa"/>
                    <w:bottom w:w="0" w:type="dxa"/>
                    <w:right w:w="0" w:type="dxa"/>
                  </w:tcMar>
                  <w:vAlign w:val="center"/>
                </w:tcPr>
                <w:p w14:paraId="3ABE0963">
                  <w:pPr>
                    <w:jc w:val="center"/>
                    <w:rPr>
                      <w:color w:val="auto"/>
                      <w:sz w:val="21"/>
                      <w:szCs w:val="21"/>
                    </w:rPr>
                  </w:pPr>
                </w:p>
              </w:tc>
              <w:tc>
                <w:tcPr>
                  <w:tcW w:w="518" w:type="pct"/>
                  <w:shd w:val="clear" w:color="auto" w:fill="auto"/>
                  <w:noWrap w:val="0"/>
                  <w:vAlign w:val="center"/>
                </w:tcPr>
                <w:p w14:paraId="7CC665B1">
                  <w:pPr>
                    <w:jc w:val="center"/>
                    <w:rPr>
                      <w:color w:val="auto"/>
                      <w:sz w:val="21"/>
                      <w:szCs w:val="21"/>
                    </w:rPr>
                  </w:pPr>
                  <w:r>
                    <w:rPr>
                      <w:rFonts w:hint="eastAsia"/>
                      <w:color w:val="auto"/>
                      <w:sz w:val="21"/>
                      <w:szCs w:val="21"/>
                    </w:rPr>
                    <w:t>氮氧化物</w:t>
                  </w:r>
                </w:p>
              </w:tc>
              <w:tc>
                <w:tcPr>
                  <w:tcW w:w="914" w:type="dxa"/>
                  <w:shd w:val="clear" w:color="auto" w:fill="auto"/>
                  <w:noWrap w:val="0"/>
                  <w:vAlign w:val="center"/>
                </w:tcPr>
                <w:p w14:paraId="2A8C118D">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0.2736 </w:t>
                  </w:r>
                </w:p>
              </w:tc>
              <w:tc>
                <w:tcPr>
                  <w:tcW w:w="794" w:type="dxa"/>
                  <w:shd w:val="clear" w:color="auto" w:fill="auto"/>
                  <w:noWrap w:val="0"/>
                  <w:vAlign w:val="center"/>
                </w:tcPr>
                <w:p w14:paraId="60E70FEF">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 xml:space="preserve">0.0060 </w:t>
                  </w:r>
                </w:p>
              </w:tc>
              <w:tc>
                <w:tcPr>
                  <w:tcW w:w="689" w:type="dxa"/>
                  <w:shd w:val="clear" w:color="auto" w:fill="auto"/>
                  <w:noWrap w:val="0"/>
                  <w:vAlign w:val="center"/>
                </w:tcPr>
                <w:p w14:paraId="176A1CCB">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zh-HK"/>
                    </w:rPr>
                    <w:t>0.043</w:t>
                  </w:r>
                </w:p>
              </w:tc>
              <w:tc>
                <w:tcPr>
                  <w:tcW w:w="321" w:type="pct"/>
                  <w:vMerge w:val="continue"/>
                  <w:shd w:val="clear" w:color="auto" w:fill="auto"/>
                  <w:noWrap w:val="0"/>
                  <w:vAlign w:val="center"/>
                </w:tcPr>
                <w:p w14:paraId="162CB534">
                  <w:pPr>
                    <w:jc w:val="center"/>
                    <w:rPr>
                      <w:color w:val="auto"/>
                      <w:sz w:val="21"/>
                      <w:szCs w:val="21"/>
                    </w:rPr>
                  </w:pPr>
                </w:p>
              </w:tc>
              <w:tc>
                <w:tcPr>
                  <w:tcW w:w="460" w:type="pct"/>
                  <w:vMerge w:val="continue"/>
                  <w:shd w:val="clear" w:color="auto" w:fill="auto"/>
                  <w:noWrap w:val="0"/>
                  <w:vAlign w:val="center"/>
                </w:tcPr>
                <w:p w14:paraId="33412F53">
                  <w:pPr>
                    <w:jc w:val="center"/>
                    <w:rPr>
                      <w:color w:val="auto"/>
                      <w:sz w:val="21"/>
                      <w:szCs w:val="21"/>
                    </w:rPr>
                  </w:pPr>
                </w:p>
              </w:tc>
              <w:tc>
                <w:tcPr>
                  <w:tcW w:w="404" w:type="pct"/>
                  <w:shd w:val="clear" w:color="auto" w:fill="auto"/>
                  <w:noWrap w:val="0"/>
                  <w:vAlign w:val="center"/>
                </w:tcPr>
                <w:p w14:paraId="5854FFB7">
                  <w:pPr>
                    <w:jc w:val="center"/>
                    <w:rPr>
                      <w:color w:val="auto"/>
                      <w:sz w:val="21"/>
                      <w:szCs w:val="21"/>
                    </w:rPr>
                  </w:pPr>
                  <w:r>
                    <w:rPr>
                      <w:rFonts w:hint="eastAsia"/>
                      <w:color w:val="auto"/>
                      <w:sz w:val="21"/>
                      <w:szCs w:val="21"/>
                      <w:lang w:val="en-US" w:eastAsia="zh-CN"/>
                    </w:rPr>
                    <w:t>0.0</w:t>
                  </w:r>
                </w:p>
              </w:tc>
              <w:tc>
                <w:tcPr>
                  <w:tcW w:w="373" w:type="pct"/>
                  <w:shd w:val="clear" w:color="auto" w:fill="auto"/>
                  <w:noWrap w:val="0"/>
                  <w:vAlign w:val="center"/>
                </w:tcPr>
                <w:p w14:paraId="00C680D4">
                  <w:pPr>
                    <w:jc w:val="center"/>
                    <w:rPr>
                      <w:rFonts w:hint="default" w:eastAsia="宋体"/>
                      <w:color w:val="auto"/>
                      <w:sz w:val="21"/>
                      <w:szCs w:val="21"/>
                      <w:lang w:val="en-US" w:eastAsia="zh-CN"/>
                    </w:rPr>
                  </w:pPr>
                  <w:r>
                    <w:rPr>
                      <w:rFonts w:hint="eastAsia"/>
                      <w:color w:val="auto"/>
                      <w:sz w:val="21"/>
                      <w:szCs w:val="21"/>
                      <w:lang w:val="en-US" w:eastAsia="zh-CN"/>
                    </w:rPr>
                    <w:t>否</w:t>
                  </w:r>
                </w:p>
              </w:tc>
              <w:tc>
                <w:tcPr>
                  <w:tcW w:w="914" w:type="dxa"/>
                  <w:shd w:val="clear" w:color="auto" w:fill="auto"/>
                  <w:noWrap w:val="0"/>
                  <w:vAlign w:val="center"/>
                </w:tcPr>
                <w:p w14:paraId="2210CC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0.27</w:t>
                  </w:r>
                  <w:r>
                    <w:rPr>
                      <w:rFonts w:hint="eastAsia" w:ascii="Times New Roman" w:hAnsi="Times New Roman" w:eastAsia="宋体" w:cs="Times New Roman"/>
                      <w:i w:val="0"/>
                      <w:iCs w:val="0"/>
                      <w:color w:val="000000"/>
                      <w:kern w:val="0"/>
                      <w:sz w:val="21"/>
                      <w:szCs w:val="21"/>
                      <w:u w:val="none"/>
                      <w:lang w:val="en-US" w:eastAsia="zh-CN" w:bidi="zh-HK"/>
                    </w:rPr>
                    <w:t>4</w:t>
                  </w:r>
                  <w:r>
                    <w:rPr>
                      <w:rFonts w:hint="default" w:ascii="Times New Roman" w:hAnsi="Times New Roman" w:eastAsia="宋体" w:cs="Times New Roman"/>
                      <w:i w:val="0"/>
                      <w:iCs w:val="0"/>
                      <w:color w:val="000000"/>
                      <w:kern w:val="0"/>
                      <w:sz w:val="21"/>
                      <w:szCs w:val="21"/>
                      <w:u w:val="none"/>
                      <w:lang w:val="en-US" w:eastAsia="zh-CN" w:bidi="zh-HK"/>
                    </w:rPr>
                    <w:t xml:space="preserve"> </w:t>
                  </w:r>
                </w:p>
              </w:tc>
              <w:tc>
                <w:tcPr>
                  <w:tcW w:w="689" w:type="dxa"/>
                  <w:shd w:val="clear" w:color="auto" w:fill="auto"/>
                  <w:noWrap w:val="0"/>
                  <w:vAlign w:val="center"/>
                </w:tcPr>
                <w:p w14:paraId="033BC7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0.043</w:t>
                  </w:r>
                </w:p>
              </w:tc>
              <w:tc>
                <w:tcPr>
                  <w:tcW w:w="329" w:type="pct"/>
                  <w:vMerge w:val="continue"/>
                  <w:shd w:val="clear" w:color="auto" w:fill="auto"/>
                  <w:noWrap w:val="0"/>
                  <w:vAlign w:val="center"/>
                </w:tcPr>
                <w:p w14:paraId="54301E9C">
                  <w:pPr>
                    <w:jc w:val="center"/>
                    <w:rPr>
                      <w:color w:val="auto"/>
                      <w:sz w:val="21"/>
                      <w:szCs w:val="21"/>
                    </w:rPr>
                  </w:pPr>
                </w:p>
              </w:tc>
              <w:tc>
                <w:tcPr>
                  <w:tcW w:w="292" w:type="pct"/>
                  <w:vMerge w:val="continue"/>
                  <w:shd w:val="clear" w:color="auto" w:fill="auto"/>
                  <w:noWrap w:val="0"/>
                  <w:vAlign w:val="center"/>
                </w:tcPr>
                <w:p w14:paraId="47C25713">
                  <w:pPr>
                    <w:jc w:val="center"/>
                    <w:rPr>
                      <w:color w:val="auto"/>
                      <w:sz w:val="21"/>
                      <w:szCs w:val="21"/>
                    </w:rPr>
                  </w:pPr>
                </w:p>
              </w:tc>
            </w:tr>
            <w:tr w14:paraId="5AC3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9" w:type="pct"/>
                  <w:vMerge w:val="restart"/>
                  <w:shd w:val="clear" w:color="auto" w:fill="auto"/>
                  <w:noWrap w:val="0"/>
                  <w:tcMar>
                    <w:top w:w="0" w:type="dxa"/>
                    <w:left w:w="0" w:type="dxa"/>
                    <w:bottom w:w="0" w:type="dxa"/>
                    <w:right w:w="0" w:type="dxa"/>
                  </w:tcMar>
                  <w:vAlign w:val="center"/>
                </w:tcPr>
                <w:p w14:paraId="3C8FCC9E">
                  <w:pPr>
                    <w:jc w:val="center"/>
                    <w:rPr>
                      <w:color w:val="auto"/>
                      <w:sz w:val="21"/>
                      <w:szCs w:val="21"/>
                    </w:rPr>
                  </w:pPr>
                  <w:r>
                    <w:rPr>
                      <w:rFonts w:hint="eastAsia"/>
                      <w:color w:val="auto"/>
                      <w:sz w:val="21"/>
                      <w:szCs w:val="21"/>
                      <w:lang w:eastAsia="zh-CN"/>
                    </w:rPr>
                    <w:t>干燥废气</w:t>
                  </w:r>
                </w:p>
              </w:tc>
              <w:tc>
                <w:tcPr>
                  <w:tcW w:w="518" w:type="pct"/>
                  <w:shd w:val="clear" w:color="auto" w:fill="auto"/>
                  <w:noWrap w:val="0"/>
                  <w:vAlign w:val="center"/>
                </w:tcPr>
                <w:p w14:paraId="33F33FF9">
                  <w:pPr>
                    <w:jc w:val="center"/>
                    <w:rPr>
                      <w:rFonts w:hint="eastAsia" w:ascii="Times New Roman" w:hAnsi="Times New Roman" w:eastAsia="宋体"/>
                      <w:color w:val="auto"/>
                      <w:kern w:val="2"/>
                      <w:sz w:val="21"/>
                      <w:szCs w:val="21"/>
                      <w:lang w:val="en-US" w:eastAsia="zh-CN" w:bidi="ar-SA"/>
                    </w:rPr>
                  </w:pPr>
                  <w:r>
                    <w:rPr>
                      <w:rFonts w:hint="eastAsia"/>
                      <w:color w:val="auto"/>
                      <w:sz w:val="21"/>
                      <w:szCs w:val="21"/>
                      <w:lang w:eastAsia="zh-CN"/>
                    </w:rPr>
                    <w:t>甲醛</w:t>
                  </w:r>
                </w:p>
              </w:tc>
              <w:tc>
                <w:tcPr>
                  <w:tcW w:w="914" w:type="dxa"/>
                  <w:shd w:val="clear" w:color="auto" w:fill="auto"/>
                  <w:noWrap w:val="0"/>
                  <w:vAlign w:val="center"/>
                </w:tcPr>
                <w:p w14:paraId="5D66335B">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2.98</w:t>
                  </w:r>
                </w:p>
              </w:tc>
              <w:tc>
                <w:tcPr>
                  <w:tcW w:w="794" w:type="dxa"/>
                  <w:shd w:val="clear" w:color="auto" w:fill="auto"/>
                  <w:noWrap w:val="0"/>
                  <w:vAlign w:val="center"/>
                </w:tcPr>
                <w:p w14:paraId="42F090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0.168</w:t>
                  </w:r>
                </w:p>
              </w:tc>
              <w:tc>
                <w:tcPr>
                  <w:tcW w:w="689" w:type="dxa"/>
                  <w:shd w:val="clear" w:color="auto" w:fill="auto"/>
                  <w:noWrap w:val="0"/>
                  <w:vAlign w:val="center"/>
                </w:tcPr>
                <w:p w14:paraId="4D3C0C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1.21</w:t>
                  </w:r>
                </w:p>
              </w:tc>
              <w:tc>
                <w:tcPr>
                  <w:tcW w:w="321" w:type="pct"/>
                  <w:vMerge w:val="continue"/>
                  <w:shd w:val="clear" w:color="auto" w:fill="auto"/>
                  <w:noWrap w:val="0"/>
                  <w:vAlign w:val="center"/>
                </w:tcPr>
                <w:p w14:paraId="6EB2D2C5">
                  <w:pPr>
                    <w:jc w:val="center"/>
                    <w:rPr>
                      <w:color w:val="auto"/>
                      <w:sz w:val="21"/>
                      <w:szCs w:val="21"/>
                    </w:rPr>
                  </w:pPr>
                </w:p>
              </w:tc>
              <w:tc>
                <w:tcPr>
                  <w:tcW w:w="460" w:type="pct"/>
                  <w:vMerge w:val="continue"/>
                  <w:shd w:val="clear" w:color="auto" w:fill="auto"/>
                  <w:noWrap w:val="0"/>
                  <w:vAlign w:val="center"/>
                </w:tcPr>
                <w:p w14:paraId="68D80B1B">
                  <w:pPr>
                    <w:jc w:val="center"/>
                    <w:rPr>
                      <w:color w:val="auto"/>
                      <w:sz w:val="21"/>
                      <w:szCs w:val="21"/>
                    </w:rPr>
                  </w:pPr>
                </w:p>
              </w:tc>
              <w:tc>
                <w:tcPr>
                  <w:tcW w:w="404" w:type="pct"/>
                  <w:shd w:val="clear" w:color="auto" w:fill="auto"/>
                  <w:noWrap w:val="0"/>
                  <w:vAlign w:val="center"/>
                </w:tcPr>
                <w:p w14:paraId="5FDFE2E3">
                  <w:pPr>
                    <w:jc w:val="center"/>
                    <w:rPr>
                      <w:rFonts w:hint="default"/>
                      <w:color w:val="auto"/>
                      <w:sz w:val="21"/>
                      <w:szCs w:val="21"/>
                      <w:lang w:val="en-US" w:eastAsia="zh-CN"/>
                    </w:rPr>
                  </w:pPr>
                  <w:r>
                    <w:rPr>
                      <w:rFonts w:hint="eastAsia"/>
                      <w:color w:val="auto"/>
                      <w:sz w:val="21"/>
                      <w:szCs w:val="21"/>
                      <w:lang w:val="en-US" w:eastAsia="zh-CN"/>
                    </w:rPr>
                    <w:t>/</w:t>
                  </w:r>
                </w:p>
              </w:tc>
              <w:tc>
                <w:tcPr>
                  <w:tcW w:w="426" w:type="dxa"/>
                  <w:shd w:val="clear" w:color="auto" w:fill="auto"/>
                  <w:noWrap w:val="0"/>
                  <w:vAlign w:val="center"/>
                </w:tcPr>
                <w:p w14:paraId="0E93EF52">
                  <w:pPr>
                    <w:jc w:val="center"/>
                    <w:rPr>
                      <w:rFonts w:hint="eastAsia"/>
                      <w:color w:val="auto"/>
                      <w:sz w:val="21"/>
                      <w:szCs w:val="21"/>
                    </w:rPr>
                  </w:pPr>
                  <w:r>
                    <w:rPr>
                      <w:rFonts w:hint="eastAsia"/>
                      <w:color w:val="auto"/>
                      <w:sz w:val="21"/>
                      <w:szCs w:val="21"/>
                      <w:lang w:val="en-US" w:eastAsia="zh-CN"/>
                    </w:rPr>
                    <w:t>/</w:t>
                  </w:r>
                </w:p>
              </w:tc>
              <w:tc>
                <w:tcPr>
                  <w:tcW w:w="914" w:type="dxa"/>
                  <w:shd w:val="clear" w:color="auto" w:fill="auto"/>
                  <w:noWrap w:val="0"/>
                  <w:vAlign w:val="center"/>
                </w:tcPr>
                <w:p w14:paraId="2DF16C5D">
                  <w:pPr>
                    <w:jc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color w:val="auto"/>
                      <w:sz w:val="21"/>
                      <w:szCs w:val="21"/>
                      <w:lang w:val="en-US" w:eastAsia="zh-CN"/>
                    </w:rPr>
                    <w:t>/</w:t>
                  </w:r>
                </w:p>
              </w:tc>
              <w:tc>
                <w:tcPr>
                  <w:tcW w:w="689" w:type="dxa"/>
                  <w:shd w:val="clear" w:color="auto" w:fill="auto"/>
                  <w:noWrap w:val="0"/>
                  <w:vAlign w:val="center"/>
                </w:tcPr>
                <w:p w14:paraId="61540CDF">
                  <w:pPr>
                    <w:jc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color w:val="auto"/>
                      <w:sz w:val="21"/>
                      <w:szCs w:val="21"/>
                      <w:lang w:val="en-US" w:eastAsia="zh-CN"/>
                    </w:rPr>
                    <w:t>/</w:t>
                  </w:r>
                </w:p>
              </w:tc>
              <w:tc>
                <w:tcPr>
                  <w:tcW w:w="329" w:type="pct"/>
                  <w:vMerge w:val="continue"/>
                  <w:shd w:val="clear" w:color="auto" w:fill="auto"/>
                  <w:noWrap w:val="0"/>
                  <w:vAlign w:val="center"/>
                </w:tcPr>
                <w:p w14:paraId="2F6D03A7">
                  <w:pPr>
                    <w:jc w:val="center"/>
                    <w:rPr>
                      <w:color w:val="auto"/>
                      <w:sz w:val="21"/>
                      <w:szCs w:val="21"/>
                    </w:rPr>
                  </w:pPr>
                </w:p>
              </w:tc>
              <w:tc>
                <w:tcPr>
                  <w:tcW w:w="292" w:type="pct"/>
                  <w:vMerge w:val="continue"/>
                  <w:shd w:val="clear" w:color="auto" w:fill="auto"/>
                  <w:noWrap w:val="0"/>
                  <w:vAlign w:val="center"/>
                </w:tcPr>
                <w:p w14:paraId="716B5EC0">
                  <w:pPr>
                    <w:jc w:val="center"/>
                    <w:rPr>
                      <w:color w:val="auto"/>
                      <w:sz w:val="21"/>
                      <w:szCs w:val="21"/>
                    </w:rPr>
                  </w:pPr>
                </w:p>
              </w:tc>
            </w:tr>
            <w:tr w14:paraId="19BF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9" w:type="pct"/>
                  <w:vMerge w:val="continue"/>
                  <w:shd w:val="clear" w:color="auto" w:fill="auto"/>
                  <w:noWrap w:val="0"/>
                  <w:tcMar>
                    <w:top w:w="0" w:type="dxa"/>
                    <w:left w:w="0" w:type="dxa"/>
                    <w:bottom w:w="0" w:type="dxa"/>
                    <w:right w:w="0" w:type="dxa"/>
                  </w:tcMar>
                  <w:vAlign w:val="center"/>
                </w:tcPr>
                <w:p w14:paraId="14584B75">
                  <w:pPr>
                    <w:jc w:val="center"/>
                    <w:rPr>
                      <w:color w:val="auto"/>
                      <w:sz w:val="21"/>
                      <w:szCs w:val="21"/>
                    </w:rPr>
                  </w:pPr>
                </w:p>
              </w:tc>
              <w:tc>
                <w:tcPr>
                  <w:tcW w:w="518" w:type="pct"/>
                  <w:shd w:val="clear" w:color="auto" w:fill="auto"/>
                  <w:noWrap w:val="0"/>
                  <w:vAlign w:val="center"/>
                </w:tcPr>
                <w:p w14:paraId="6784E624">
                  <w:pPr>
                    <w:jc w:val="center"/>
                    <w:rPr>
                      <w:rFonts w:hint="eastAsia" w:ascii="Times New Roman" w:hAnsi="Times New Roman"/>
                      <w:color w:val="auto"/>
                      <w:kern w:val="2"/>
                      <w:sz w:val="21"/>
                      <w:szCs w:val="21"/>
                      <w:lang w:val="en-US" w:eastAsia="zh-CN" w:bidi="ar-SA"/>
                    </w:rPr>
                  </w:pPr>
                  <w:r>
                    <w:rPr>
                      <w:rFonts w:hint="eastAsia"/>
                      <w:color w:val="auto"/>
                      <w:sz w:val="21"/>
                      <w:szCs w:val="21"/>
                      <w:lang w:val="en-US" w:eastAsia="zh-CN"/>
                    </w:rPr>
                    <w:t>TSP</w:t>
                  </w:r>
                </w:p>
              </w:tc>
              <w:tc>
                <w:tcPr>
                  <w:tcW w:w="914" w:type="dxa"/>
                  <w:shd w:val="clear" w:color="auto" w:fill="auto"/>
                  <w:noWrap w:val="0"/>
                  <w:vAlign w:val="center"/>
                </w:tcPr>
                <w:p w14:paraId="7BDFEC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229.04</w:t>
                  </w:r>
                </w:p>
              </w:tc>
              <w:tc>
                <w:tcPr>
                  <w:tcW w:w="794" w:type="dxa"/>
                  <w:shd w:val="clear" w:color="auto" w:fill="auto"/>
                  <w:noWrap w:val="0"/>
                  <w:vAlign w:val="center"/>
                </w:tcPr>
                <w:p w14:paraId="503B8A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5.0</w:t>
                  </w:r>
                </w:p>
              </w:tc>
              <w:tc>
                <w:tcPr>
                  <w:tcW w:w="689" w:type="dxa"/>
                  <w:shd w:val="clear" w:color="auto" w:fill="auto"/>
                  <w:noWrap w:val="0"/>
                  <w:vAlign w:val="center"/>
                </w:tcPr>
                <w:p w14:paraId="084095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36</w:t>
                  </w:r>
                </w:p>
              </w:tc>
              <w:tc>
                <w:tcPr>
                  <w:tcW w:w="321" w:type="pct"/>
                  <w:vMerge w:val="continue"/>
                  <w:shd w:val="clear" w:color="auto" w:fill="auto"/>
                  <w:noWrap w:val="0"/>
                  <w:vAlign w:val="center"/>
                </w:tcPr>
                <w:p w14:paraId="02FF6B00">
                  <w:pPr>
                    <w:jc w:val="center"/>
                    <w:rPr>
                      <w:color w:val="auto"/>
                      <w:sz w:val="21"/>
                      <w:szCs w:val="21"/>
                    </w:rPr>
                  </w:pPr>
                </w:p>
              </w:tc>
              <w:tc>
                <w:tcPr>
                  <w:tcW w:w="460" w:type="pct"/>
                  <w:vMerge w:val="continue"/>
                  <w:shd w:val="clear" w:color="auto" w:fill="auto"/>
                  <w:noWrap w:val="0"/>
                  <w:vAlign w:val="center"/>
                </w:tcPr>
                <w:p w14:paraId="001C95AA">
                  <w:pPr>
                    <w:jc w:val="center"/>
                    <w:rPr>
                      <w:color w:val="auto"/>
                      <w:sz w:val="21"/>
                      <w:szCs w:val="21"/>
                    </w:rPr>
                  </w:pPr>
                </w:p>
              </w:tc>
              <w:tc>
                <w:tcPr>
                  <w:tcW w:w="404" w:type="pct"/>
                  <w:shd w:val="clear" w:color="auto" w:fill="auto"/>
                  <w:noWrap w:val="0"/>
                  <w:vAlign w:val="center"/>
                </w:tcPr>
                <w:p w14:paraId="02A95A86">
                  <w:pPr>
                    <w:jc w:val="center"/>
                    <w:rPr>
                      <w:rFonts w:hint="default" w:ascii="Times New Roman" w:hAnsi="Times New Roman" w:eastAsia="宋体"/>
                      <w:color w:val="auto"/>
                      <w:kern w:val="2"/>
                      <w:sz w:val="21"/>
                      <w:szCs w:val="21"/>
                      <w:lang w:val="en-US" w:eastAsia="zh-CN" w:bidi="ar-SA"/>
                    </w:rPr>
                  </w:pPr>
                  <w:r>
                    <w:rPr>
                      <w:rFonts w:hint="eastAsia" w:eastAsia="宋体"/>
                      <w:color w:val="auto"/>
                      <w:kern w:val="2"/>
                      <w:sz w:val="21"/>
                      <w:szCs w:val="21"/>
                      <w:lang w:val="en-US" w:eastAsia="zh-CN" w:bidi="ar-SA"/>
                    </w:rPr>
                    <w:t>/</w:t>
                  </w:r>
                </w:p>
              </w:tc>
              <w:tc>
                <w:tcPr>
                  <w:tcW w:w="426" w:type="dxa"/>
                  <w:shd w:val="clear" w:color="auto" w:fill="auto"/>
                  <w:noWrap w:val="0"/>
                  <w:vAlign w:val="center"/>
                </w:tcPr>
                <w:p w14:paraId="3DEC64B0">
                  <w:pPr>
                    <w:jc w:val="center"/>
                    <w:rPr>
                      <w:rFonts w:hint="eastAsia" w:ascii="Times New Roman" w:hAnsi="Times New Roman"/>
                      <w:color w:val="auto"/>
                      <w:kern w:val="2"/>
                      <w:sz w:val="21"/>
                      <w:szCs w:val="21"/>
                      <w:lang w:val="en-US" w:eastAsia="zh-CN" w:bidi="ar-SA"/>
                    </w:rPr>
                  </w:pPr>
                  <w:r>
                    <w:rPr>
                      <w:rFonts w:hint="eastAsia" w:eastAsia="宋体"/>
                      <w:color w:val="auto"/>
                      <w:kern w:val="2"/>
                      <w:sz w:val="21"/>
                      <w:szCs w:val="21"/>
                      <w:lang w:val="en-US" w:eastAsia="zh-CN" w:bidi="ar-SA"/>
                    </w:rPr>
                    <w:t>/</w:t>
                  </w:r>
                </w:p>
              </w:tc>
              <w:tc>
                <w:tcPr>
                  <w:tcW w:w="914" w:type="dxa"/>
                  <w:shd w:val="clear" w:color="auto" w:fill="auto"/>
                  <w:noWrap w:val="0"/>
                  <w:vAlign w:val="center"/>
                </w:tcPr>
                <w:p w14:paraId="67C97D81">
                  <w:pPr>
                    <w:jc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eastAsia="宋体"/>
                      <w:color w:val="auto"/>
                      <w:kern w:val="2"/>
                      <w:sz w:val="21"/>
                      <w:szCs w:val="21"/>
                      <w:lang w:val="en-US" w:eastAsia="zh-CN" w:bidi="ar-SA"/>
                    </w:rPr>
                    <w:t>/</w:t>
                  </w:r>
                </w:p>
              </w:tc>
              <w:tc>
                <w:tcPr>
                  <w:tcW w:w="689" w:type="dxa"/>
                  <w:shd w:val="clear" w:color="auto" w:fill="auto"/>
                  <w:noWrap w:val="0"/>
                  <w:vAlign w:val="center"/>
                </w:tcPr>
                <w:p w14:paraId="2E35BDD4">
                  <w:pPr>
                    <w:jc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eastAsia="宋体"/>
                      <w:color w:val="auto"/>
                      <w:kern w:val="2"/>
                      <w:sz w:val="21"/>
                      <w:szCs w:val="21"/>
                      <w:lang w:val="en-US" w:eastAsia="zh-CN" w:bidi="ar-SA"/>
                    </w:rPr>
                    <w:t>/</w:t>
                  </w:r>
                </w:p>
              </w:tc>
              <w:tc>
                <w:tcPr>
                  <w:tcW w:w="329" w:type="pct"/>
                  <w:vMerge w:val="continue"/>
                  <w:shd w:val="clear" w:color="auto" w:fill="auto"/>
                  <w:noWrap w:val="0"/>
                  <w:vAlign w:val="center"/>
                </w:tcPr>
                <w:p w14:paraId="63A8E7FE">
                  <w:pPr>
                    <w:jc w:val="center"/>
                    <w:rPr>
                      <w:color w:val="auto"/>
                      <w:sz w:val="21"/>
                      <w:szCs w:val="21"/>
                    </w:rPr>
                  </w:pPr>
                </w:p>
              </w:tc>
              <w:tc>
                <w:tcPr>
                  <w:tcW w:w="292" w:type="pct"/>
                  <w:vMerge w:val="continue"/>
                  <w:shd w:val="clear" w:color="auto" w:fill="auto"/>
                  <w:noWrap w:val="0"/>
                  <w:vAlign w:val="center"/>
                </w:tcPr>
                <w:p w14:paraId="5C94388F">
                  <w:pPr>
                    <w:jc w:val="center"/>
                    <w:rPr>
                      <w:color w:val="auto"/>
                      <w:sz w:val="21"/>
                      <w:szCs w:val="21"/>
                    </w:rPr>
                  </w:pPr>
                </w:p>
              </w:tc>
            </w:tr>
            <w:tr w14:paraId="43A1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9" w:type="pct"/>
                  <w:vMerge w:val="continue"/>
                  <w:shd w:val="clear" w:color="auto" w:fill="auto"/>
                  <w:noWrap w:val="0"/>
                  <w:tcMar>
                    <w:top w:w="0" w:type="dxa"/>
                    <w:left w:w="0" w:type="dxa"/>
                    <w:bottom w:w="0" w:type="dxa"/>
                    <w:right w:w="0" w:type="dxa"/>
                  </w:tcMar>
                  <w:vAlign w:val="center"/>
                </w:tcPr>
                <w:p w14:paraId="6D0AD58C">
                  <w:pPr>
                    <w:jc w:val="center"/>
                    <w:rPr>
                      <w:color w:val="auto"/>
                      <w:sz w:val="21"/>
                      <w:szCs w:val="21"/>
                    </w:rPr>
                  </w:pPr>
                </w:p>
              </w:tc>
              <w:tc>
                <w:tcPr>
                  <w:tcW w:w="518" w:type="pct"/>
                  <w:shd w:val="clear" w:color="auto" w:fill="auto"/>
                  <w:noWrap w:val="0"/>
                  <w:vAlign w:val="center"/>
                </w:tcPr>
                <w:p w14:paraId="1D914504">
                  <w:pPr>
                    <w:jc w:val="center"/>
                    <w:rPr>
                      <w:rFonts w:hint="eastAsia" w:ascii="Times New Roman" w:hAnsi="Times New Roman"/>
                      <w:color w:val="auto"/>
                      <w:kern w:val="2"/>
                      <w:sz w:val="21"/>
                      <w:szCs w:val="21"/>
                      <w:lang w:val="en-US" w:eastAsia="zh-CN" w:bidi="ar-SA"/>
                    </w:rPr>
                  </w:pPr>
                  <w:r>
                    <w:rPr>
                      <w:rFonts w:hint="eastAsia"/>
                      <w:color w:val="auto"/>
                      <w:sz w:val="21"/>
                      <w:szCs w:val="21"/>
                      <w:lang w:eastAsia="zh-CN"/>
                    </w:rPr>
                    <w:t>非甲烷总烃</w:t>
                  </w:r>
                </w:p>
              </w:tc>
              <w:tc>
                <w:tcPr>
                  <w:tcW w:w="914" w:type="dxa"/>
                  <w:shd w:val="clear" w:color="auto" w:fill="auto"/>
                  <w:noWrap w:val="0"/>
                  <w:vAlign w:val="center"/>
                </w:tcPr>
                <w:p w14:paraId="599C43AF">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zh-HK"/>
                    </w:rPr>
                    <w:t>41.09</w:t>
                  </w:r>
                </w:p>
              </w:tc>
              <w:tc>
                <w:tcPr>
                  <w:tcW w:w="794" w:type="dxa"/>
                  <w:shd w:val="clear" w:color="auto" w:fill="auto"/>
                  <w:noWrap w:val="0"/>
                  <w:vAlign w:val="center"/>
                </w:tcPr>
                <w:p w14:paraId="23C61A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0.897</w:t>
                  </w:r>
                </w:p>
              </w:tc>
              <w:tc>
                <w:tcPr>
                  <w:tcW w:w="689" w:type="dxa"/>
                  <w:shd w:val="clear" w:color="auto" w:fill="auto"/>
                  <w:noWrap w:val="0"/>
                  <w:vAlign w:val="center"/>
                </w:tcPr>
                <w:p w14:paraId="4A0218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6.46</w:t>
                  </w:r>
                </w:p>
              </w:tc>
              <w:tc>
                <w:tcPr>
                  <w:tcW w:w="321" w:type="pct"/>
                  <w:vMerge w:val="continue"/>
                  <w:shd w:val="clear" w:color="auto" w:fill="auto"/>
                  <w:noWrap w:val="0"/>
                  <w:vAlign w:val="center"/>
                </w:tcPr>
                <w:p w14:paraId="28D5B8A4">
                  <w:pPr>
                    <w:jc w:val="center"/>
                    <w:rPr>
                      <w:color w:val="auto"/>
                      <w:sz w:val="21"/>
                      <w:szCs w:val="21"/>
                    </w:rPr>
                  </w:pPr>
                </w:p>
              </w:tc>
              <w:tc>
                <w:tcPr>
                  <w:tcW w:w="460" w:type="pct"/>
                  <w:vMerge w:val="continue"/>
                  <w:shd w:val="clear" w:color="auto" w:fill="auto"/>
                  <w:noWrap w:val="0"/>
                  <w:vAlign w:val="center"/>
                </w:tcPr>
                <w:p w14:paraId="33349DF3">
                  <w:pPr>
                    <w:jc w:val="center"/>
                    <w:rPr>
                      <w:color w:val="auto"/>
                      <w:sz w:val="21"/>
                      <w:szCs w:val="21"/>
                    </w:rPr>
                  </w:pPr>
                </w:p>
              </w:tc>
              <w:tc>
                <w:tcPr>
                  <w:tcW w:w="404" w:type="pct"/>
                  <w:shd w:val="clear" w:color="auto" w:fill="auto"/>
                  <w:noWrap w:val="0"/>
                  <w:vAlign w:val="center"/>
                </w:tcPr>
                <w:p w14:paraId="4B64650F">
                  <w:pPr>
                    <w:jc w:val="center"/>
                    <w:rPr>
                      <w:rFonts w:hint="default" w:ascii="Times New Roman" w:hAnsi="Times New Roman"/>
                      <w:color w:val="auto"/>
                      <w:kern w:val="2"/>
                      <w:sz w:val="21"/>
                      <w:szCs w:val="21"/>
                      <w:lang w:val="en-US" w:eastAsia="zh-CN" w:bidi="ar-SA"/>
                    </w:rPr>
                  </w:pPr>
                  <w:r>
                    <w:rPr>
                      <w:rFonts w:hint="eastAsia"/>
                      <w:color w:val="auto"/>
                      <w:kern w:val="2"/>
                      <w:sz w:val="21"/>
                      <w:szCs w:val="21"/>
                      <w:lang w:val="en-US" w:eastAsia="zh-CN" w:bidi="ar-SA"/>
                    </w:rPr>
                    <w:t>/</w:t>
                  </w:r>
                </w:p>
              </w:tc>
              <w:tc>
                <w:tcPr>
                  <w:tcW w:w="426" w:type="dxa"/>
                  <w:shd w:val="clear" w:color="auto" w:fill="auto"/>
                  <w:noWrap w:val="0"/>
                  <w:vAlign w:val="center"/>
                </w:tcPr>
                <w:p w14:paraId="61DB9C00">
                  <w:pPr>
                    <w:jc w:val="center"/>
                    <w:rPr>
                      <w:rFonts w:hint="eastAsia" w:ascii="Times New Roman" w:hAnsi="Times New Roman"/>
                      <w:color w:val="auto"/>
                      <w:kern w:val="2"/>
                      <w:sz w:val="21"/>
                      <w:szCs w:val="21"/>
                      <w:lang w:val="en-US" w:eastAsia="zh-CN" w:bidi="ar-SA"/>
                    </w:rPr>
                  </w:pPr>
                  <w:r>
                    <w:rPr>
                      <w:rFonts w:hint="eastAsia"/>
                      <w:color w:val="auto"/>
                      <w:kern w:val="2"/>
                      <w:sz w:val="21"/>
                      <w:szCs w:val="21"/>
                      <w:lang w:val="en-US" w:eastAsia="zh-CN" w:bidi="ar-SA"/>
                    </w:rPr>
                    <w:t>/</w:t>
                  </w:r>
                </w:p>
              </w:tc>
              <w:tc>
                <w:tcPr>
                  <w:tcW w:w="914" w:type="dxa"/>
                  <w:shd w:val="clear" w:color="auto" w:fill="auto"/>
                  <w:noWrap w:val="0"/>
                  <w:vAlign w:val="center"/>
                </w:tcPr>
                <w:p w14:paraId="111303FF">
                  <w:pPr>
                    <w:jc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color w:val="auto"/>
                      <w:kern w:val="2"/>
                      <w:sz w:val="21"/>
                      <w:szCs w:val="21"/>
                      <w:lang w:val="en-US" w:eastAsia="zh-CN" w:bidi="ar-SA"/>
                    </w:rPr>
                    <w:t>/</w:t>
                  </w:r>
                </w:p>
              </w:tc>
              <w:tc>
                <w:tcPr>
                  <w:tcW w:w="689" w:type="dxa"/>
                  <w:shd w:val="clear" w:color="auto" w:fill="auto"/>
                  <w:noWrap w:val="0"/>
                  <w:vAlign w:val="center"/>
                </w:tcPr>
                <w:p w14:paraId="2767BE21">
                  <w:pPr>
                    <w:jc w:val="center"/>
                    <w:rPr>
                      <w:rFonts w:hint="default" w:ascii="Times New Roman" w:hAnsi="Times New Roman" w:eastAsia="宋体" w:cs="Times New Roman"/>
                      <w:i w:val="0"/>
                      <w:iCs w:val="0"/>
                      <w:color w:val="auto"/>
                      <w:kern w:val="0"/>
                      <w:sz w:val="21"/>
                      <w:szCs w:val="21"/>
                      <w:u w:val="none"/>
                      <w:lang w:val="en-US" w:eastAsia="zh-CN" w:bidi="zh-HK"/>
                    </w:rPr>
                  </w:pPr>
                  <w:r>
                    <w:rPr>
                      <w:rFonts w:hint="eastAsia"/>
                      <w:color w:val="auto"/>
                      <w:kern w:val="2"/>
                      <w:sz w:val="21"/>
                      <w:szCs w:val="21"/>
                      <w:lang w:val="en-US" w:eastAsia="zh-CN" w:bidi="ar-SA"/>
                    </w:rPr>
                    <w:t>/</w:t>
                  </w:r>
                </w:p>
              </w:tc>
              <w:tc>
                <w:tcPr>
                  <w:tcW w:w="329" w:type="pct"/>
                  <w:vMerge w:val="continue"/>
                  <w:shd w:val="clear" w:color="auto" w:fill="auto"/>
                  <w:noWrap w:val="0"/>
                  <w:vAlign w:val="center"/>
                </w:tcPr>
                <w:p w14:paraId="719D7910">
                  <w:pPr>
                    <w:jc w:val="center"/>
                    <w:rPr>
                      <w:color w:val="auto"/>
                      <w:sz w:val="21"/>
                      <w:szCs w:val="21"/>
                    </w:rPr>
                  </w:pPr>
                </w:p>
              </w:tc>
              <w:tc>
                <w:tcPr>
                  <w:tcW w:w="292" w:type="pct"/>
                  <w:vMerge w:val="continue"/>
                  <w:shd w:val="clear" w:color="auto" w:fill="auto"/>
                  <w:noWrap w:val="0"/>
                  <w:vAlign w:val="center"/>
                </w:tcPr>
                <w:p w14:paraId="7BD362F9">
                  <w:pPr>
                    <w:jc w:val="center"/>
                    <w:rPr>
                      <w:color w:val="auto"/>
                      <w:sz w:val="21"/>
                      <w:szCs w:val="21"/>
                    </w:rPr>
                  </w:pPr>
                </w:p>
              </w:tc>
            </w:tr>
          </w:tbl>
          <w:p w14:paraId="4E56955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b/>
                <w:kern w:val="0"/>
                <w:sz w:val="24"/>
              </w:rPr>
              <w:t>2</w:t>
            </w:r>
            <w:r>
              <w:rPr>
                <w:rFonts w:hint="eastAsia" w:hAnsi="宋体"/>
                <w:b/>
                <w:kern w:val="0"/>
                <w:sz w:val="24"/>
                <w:lang w:val="en-US" w:eastAsia="zh-CN"/>
              </w:rPr>
              <w:t>.</w:t>
            </w:r>
            <w:r>
              <w:rPr>
                <w:rFonts w:hAnsi="宋体"/>
                <w:b/>
                <w:kern w:val="0"/>
                <w:sz w:val="24"/>
              </w:rPr>
              <w:t>源强核算</w:t>
            </w:r>
          </w:p>
          <w:p w14:paraId="0FC577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kern w:val="0"/>
                <w:sz w:val="24"/>
              </w:rPr>
            </w:pPr>
            <w:r>
              <w:rPr>
                <w:rFonts w:hint="eastAsia" w:ascii="宋体" w:hAnsi="宋体" w:cs="宋体"/>
                <w:kern w:val="0"/>
                <w:sz w:val="24"/>
              </w:rPr>
              <w:t>⑴</w:t>
            </w:r>
            <w:r>
              <w:rPr>
                <w:rFonts w:hint="eastAsia"/>
                <w:sz w:val="24"/>
                <w:lang w:eastAsia="zh-CN"/>
              </w:rPr>
              <w:t>热风炉燃烧废气</w:t>
            </w:r>
          </w:p>
          <w:p w14:paraId="1D0490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lang w:val="en-US" w:eastAsia="zh-CN"/>
              </w:rPr>
            </w:pPr>
            <w:r>
              <w:rPr>
                <w:rFonts w:hint="eastAsia"/>
                <w:sz w:val="24"/>
                <w:lang w:eastAsia="zh-CN"/>
              </w:rPr>
              <w:t>由于现有甲醛吸收塔尾气有一部分回用于生产，一部分经焚烧炉点燃后排放至大气环境，回用于生产的甲醛吸收塔尾气量不发生变化，仅经焚烧炉点燃后排放至大气环境的甲醛尾气量有所减少，减少的尾气量直接进去热风炉点燃后为干燥塔提供热能。现有的焚烧炉和本次热风炉的工作原理基本一致，直接点燃甲醛尾气，点燃过程不添加任何物质，因此本次热风炉燃烧废气采用现有焚烧炉的例行监测数据。</w:t>
            </w:r>
          </w:p>
          <w:p w14:paraId="1EB34D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eastAsia="zh-CN"/>
              </w:rPr>
              <w:t>表</w:t>
            </w:r>
            <w:r>
              <w:rPr>
                <w:rFonts w:hint="eastAsia" w:ascii="Times New Roman" w:hAnsi="Times New Roman" w:eastAsia="宋体" w:cs="Times New Roman"/>
                <w:kern w:val="0"/>
                <w:sz w:val="24"/>
                <w:lang w:val="en-US" w:eastAsia="zh-CN"/>
              </w:rPr>
              <w:t>4-2  现有甲醛尾气监测数值计算表</w:t>
            </w:r>
          </w:p>
          <w:tbl>
            <w:tblPr>
              <w:tblStyle w:val="11"/>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10"/>
              <w:gridCol w:w="1161"/>
              <w:gridCol w:w="725"/>
              <w:gridCol w:w="1298"/>
              <w:gridCol w:w="1509"/>
              <w:gridCol w:w="918"/>
              <w:gridCol w:w="919"/>
              <w:gridCol w:w="847"/>
            </w:tblGrid>
            <w:tr w14:paraId="04671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17" w:hRule="atLeast"/>
              </w:trPr>
              <w:tc>
                <w:tcPr>
                  <w:tcW w:w="382" w:type="pct"/>
                  <w:shd w:val="clear" w:color="auto" w:fill="auto"/>
                  <w:noWrap w:val="0"/>
                  <w:vAlign w:val="center"/>
                </w:tcPr>
                <w:p w14:paraId="04BF76E8">
                  <w:pPr>
                    <w:jc w:val="center"/>
                    <w:rPr>
                      <w:szCs w:val="21"/>
                    </w:rPr>
                  </w:pPr>
                  <w:r>
                    <w:rPr>
                      <w:rFonts w:hint="eastAsia"/>
                      <w:szCs w:val="21"/>
                    </w:rPr>
                    <w:t>生产</w:t>
                  </w:r>
                  <w:r>
                    <w:rPr>
                      <w:szCs w:val="21"/>
                    </w:rPr>
                    <w:t>线</w:t>
                  </w:r>
                </w:p>
              </w:tc>
              <w:tc>
                <w:tcPr>
                  <w:tcW w:w="727" w:type="pct"/>
                  <w:shd w:val="clear" w:color="auto" w:fill="auto"/>
                  <w:noWrap w:val="0"/>
                  <w:vAlign w:val="center"/>
                </w:tcPr>
                <w:p w14:paraId="7563AA29">
                  <w:pPr>
                    <w:jc w:val="center"/>
                    <w:rPr>
                      <w:szCs w:val="21"/>
                    </w:rPr>
                  </w:pPr>
                  <w:r>
                    <w:rPr>
                      <w:rFonts w:hint="eastAsia"/>
                      <w:szCs w:val="21"/>
                      <w:lang w:eastAsia="zh-CN"/>
                    </w:rPr>
                    <w:t>监测</w:t>
                  </w:r>
                  <w:r>
                    <w:rPr>
                      <w:szCs w:val="21"/>
                    </w:rPr>
                    <w:t>时间</w:t>
                  </w:r>
                </w:p>
              </w:tc>
              <w:tc>
                <w:tcPr>
                  <w:tcW w:w="454" w:type="pct"/>
                  <w:tcBorders>
                    <w:right w:val="single" w:color="auto" w:sz="4" w:space="0"/>
                  </w:tcBorders>
                  <w:shd w:val="clear" w:color="auto" w:fill="auto"/>
                  <w:noWrap w:val="0"/>
                  <w:vAlign w:val="center"/>
                </w:tcPr>
                <w:p w14:paraId="747B7889">
                  <w:pPr>
                    <w:jc w:val="center"/>
                    <w:rPr>
                      <w:rFonts w:hint="eastAsia"/>
                      <w:szCs w:val="21"/>
                    </w:rPr>
                  </w:pPr>
                  <w:r>
                    <w:rPr>
                      <w:szCs w:val="21"/>
                    </w:rPr>
                    <w:t>生产</w:t>
                  </w:r>
                </w:p>
                <w:p w14:paraId="1FFAE45A">
                  <w:pPr>
                    <w:jc w:val="center"/>
                    <w:rPr>
                      <w:szCs w:val="21"/>
                    </w:rPr>
                  </w:pPr>
                  <w:r>
                    <w:rPr>
                      <w:szCs w:val="21"/>
                    </w:rPr>
                    <w:t>负荷</w:t>
                  </w:r>
                </w:p>
              </w:tc>
              <w:tc>
                <w:tcPr>
                  <w:tcW w:w="813" w:type="pct"/>
                  <w:tcBorders>
                    <w:right w:val="single" w:color="auto" w:sz="4" w:space="0"/>
                  </w:tcBorders>
                  <w:shd w:val="clear" w:color="auto" w:fill="auto"/>
                  <w:noWrap w:val="0"/>
                  <w:vAlign w:val="center"/>
                </w:tcPr>
                <w:p w14:paraId="7B858067">
                  <w:pPr>
                    <w:jc w:val="center"/>
                    <w:rPr>
                      <w:szCs w:val="21"/>
                    </w:rPr>
                  </w:pPr>
                  <w:r>
                    <w:rPr>
                      <w:rFonts w:hint="eastAsia"/>
                      <w:szCs w:val="21"/>
                    </w:rPr>
                    <w:t>污染物</w:t>
                  </w:r>
                </w:p>
              </w:tc>
              <w:tc>
                <w:tcPr>
                  <w:tcW w:w="945" w:type="pct"/>
                  <w:tcBorders>
                    <w:right w:val="single" w:color="auto" w:sz="4" w:space="0"/>
                  </w:tcBorders>
                  <w:shd w:val="clear" w:color="auto" w:fill="auto"/>
                  <w:noWrap w:val="0"/>
                  <w:vAlign w:val="center"/>
                </w:tcPr>
                <w:p w14:paraId="20F1FEA1">
                  <w:pPr>
                    <w:jc w:val="center"/>
                    <w:rPr>
                      <w:rFonts w:hint="eastAsia" w:eastAsia="宋体"/>
                      <w:szCs w:val="21"/>
                      <w:lang w:eastAsia="zh-CN"/>
                    </w:rPr>
                  </w:pPr>
                  <w:r>
                    <w:rPr>
                      <w:rFonts w:hint="eastAsia"/>
                      <w:szCs w:val="21"/>
                      <w:lang w:eastAsia="zh-CN"/>
                    </w:rPr>
                    <w:t>监测数据</w:t>
                  </w:r>
                </w:p>
                <w:p w14:paraId="56AC478F">
                  <w:pPr>
                    <w:jc w:val="center"/>
                    <w:rPr>
                      <w:rFonts w:hint="eastAsia" w:eastAsia="宋体"/>
                      <w:szCs w:val="21"/>
                      <w:lang w:eastAsia="zh-CN"/>
                    </w:rPr>
                  </w:pPr>
                  <w:r>
                    <w:rPr>
                      <w:rFonts w:hint="eastAsia"/>
                      <w:szCs w:val="21"/>
                      <w:lang w:eastAsia="zh-CN"/>
                    </w:rPr>
                    <w:t>（</w:t>
                  </w:r>
                  <w:r>
                    <w:rPr>
                      <w:rFonts w:hint="eastAsia"/>
                      <w:szCs w:val="21"/>
                      <w:lang w:val="en-US" w:eastAsia="zh-CN"/>
                    </w:rPr>
                    <w:t>kg/h</w:t>
                  </w:r>
                  <w:r>
                    <w:rPr>
                      <w:rFonts w:hint="eastAsia"/>
                      <w:szCs w:val="21"/>
                      <w:lang w:eastAsia="zh-CN"/>
                    </w:rPr>
                    <w:t>）</w:t>
                  </w:r>
                </w:p>
              </w:tc>
              <w:tc>
                <w:tcPr>
                  <w:tcW w:w="575" w:type="pct"/>
                  <w:tcBorders>
                    <w:left w:val="single" w:color="auto" w:sz="4" w:space="0"/>
                    <w:right w:val="single" w:color="auto" w:sz="4" w:space="0"/>
                  </w:tcBorders>
                  <w:shd w:val="clear" w:color="auto" w:fill="auto"/>
                  <w:noWrap w:val="0"/>
                  <w:vAlign w:val="center"/>
                </w:tcPr>
                <w:p w14:paraId="1BE39A8A">
                  <w:pPr>
                    <w:jc w:val="center"/>
                    <w:rPr>
                      <w:rFonts w:hint="default"/>
                      <w:szCs w:val="21"/>
                      <w:lang w:val="en-US" w:eastAsia="zh-CN"/>
                    </w:rPr>
                  </w:pPr>
                  <w:r>
                    <w:rPr>
                      <w:rFonts w:hint="eastAsia"/>
                      <w:szCs w:val="21"/>
                      <w:lang w:val="en-US" w:eastAsia="zh-CN"/>
                    </w:rPr>
                    <w:t>排放时间（</w:t>
                  </w:r>
                  <w:r>
                    <w:rPr>
                      <w:rFonts w:hint="eastAsia"/>
                      <w:kern w:val="2"/>
                      <w:sz w:val="21"/>
                      <w:szCs w:val="21"/>
                      <w:lang w:val="en-US" w:eastAsia="zh-CN" w:bidi="ar-SA"/>
                    </w:rPr>
                    <w:t>h</w:t>
                  </w:r>
                  <w:r>
                    <w:rPr>
                      <w:rFonts w:hint="eastAsia"/>
                      <w:szCs w:val="21"/>
                      <w:lang w:val="en-US" w:eastAsia="zh-CN"/>
                    </w:rPr>
                    <w:t>）</w:t>
                  </w:r>
                </w:p>
              </w:tc>
              <w:tc>
                <w:tcPr>
                  <w:tcW w:w="575" w:type="pct"/>
                  <w:tcBorders>
                    <w:left w:val="single" w:color="auto" w:sz="4" w:space="0"/>
                    <w:right w:val="single" w:color="auto" w:sz="4" w:space="0"/>
                  </w:tcBorders>
                  <w:shd w:val="clear" w:color="auto" w:fill="auto"/>
                  <w:noWrap w:val="0"/>
                  <w:vAlign w:val="center"/>
                </w:tcPr>
                <w:p w14:paraId="20E8B90A">
                  <w:pPr>
                    <w:jc w:val="center"/>
                    <w:rPr>
                      <w:rFonts w:hint="eastAsia" w:eastAsia="宋体"/>
                      <w:szCs w:val="21"/>
                      <w:lang w:eastAsia="zh-CN"/>
                    </w:rPr>
                  </w:pPr>
                  <w:r>
                    <w:rPr>
                      <w:rFonts w:hint="eastAsia"/>
                      <w:szCs w:val="21"/>
                      <w:lang w:eastAsia="zh-CN"/>
                    </w:rPr>
                    <w:t>排放量（</w:t>
                  </w:r>
                  <w:r>
                    <w:rPr>
                      <w:rFonts w:hint="eastAsia"/>
                      <w:szCs w:val="21"/>
                      <w:lang w:val="en-US" w:eastAsia="zh-CN"/>
                    </w:rPr>
                    <w:t>t/a</w:t>
                  </w:r>
                  <w:r>
                    <w:rPr>
                      <w:rFonts w:hint="eastAsia"/>
                      <w:szCs w:val="21"/>
                      <w:lang w:eastAsia="zh-CN"/>
                    </w:rPr>
                    <w:t>）</w:t>
                  </w:r>
                </w:p>
              </w:tc>
              <w:tc>
                <w:tcPr>
                  <w:tcW w:w="526" w:type="pct"/>
                  <w:tcBorders>
                    <w:left w:val="single" w:color="auto" w:sz="4" w:space="0"/>
                    <w:right w:val="single" w:color="auto" w:sz="4" w:space="0"/>
                  </w:tcBorders>
                  <w:shd w:val="clear" w:color="auto" w:fill="auto"/>
                  <w:noWrap w:val="0"/>
                  <w:vAlign w:val="center"/>
                </w:tcPr>
                <w:p w14:paraId="340C685C">
                  <w:pPr>
                    <w:jc w:val="center"/>
                    <w:rPr>
                      <w:rFonts w:hint="eastAsia" w:eastAsia="宋体"/>
                      <w:szCs w:val="21"/>
                      <w:lang w:eastAsia="zh-CN"/>
                    </w:rPr>
                  </w:pPr>
                  <w:r>
                    <w:rPr>
                      <w:rFonts w:hint="eastAsia"/>
                      <w:szCs w:val="21"/>
                    </w:rPr>
                    <w:t>折算满负荷排放量</w:t>
                  </w:r>
                  <w:r>
                    <w:rPr>
                      <w:rFonts w:hint="eastAsia"/>
                      <w:szCs w:val="21"/>
                      <w:lang w:eastAsia="zh-CN"/>
                    </w:rPr>
                    <w:t>（</w:t>
                  </w:r>
                  <w:r>
                    <w:rPr>
                      <w:rFonts w:hint="eastAsia"/>
                      <w:szCs w:val="21"/>
                      <w:lang w:val="en-US" w:eastAsia="zh-CN"/>
                    </w:rPr>
                    <w:t>t/a</w:t>
                  </w:r>
                  <w:r>
                    <w:rPr>
                      <w:rFonts w:hint="eastAsia"/>
                      <w:szCs w:val="21"/>
                      <w:lang w:eastAsia="zh-CN"/>
                    </w:rPr>
                    <w:t>）</w:t>
                  </w:r>
                </w:p>
              </w:tc>
            </w:tr>
            <w:tr w14:paraId="4F103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382" w:type="pct"/>
                  <w:vMerge w:val="restart"/>
                  <w:shd w:val="clear" w:color="auto" w:fill="auto"/>
                  <w:noWrap w:val="0"/>
                  <w:vAlign w:val="center"/>
                </w:tcPr>
                <w:p w14:paraId="761DD5CF">
                  <w:pPr>
                    <w:jc w:val="center"/>
                    <w:rPr>
                      <w:rFonts w:hint="eastAsia" w:eastAsia="宋体"/>
                      <w:szCs w:val="21"/>
                      <w:lang w:eastAsia="zh-CN"/>
                    </w:rPr>
                  </w:pPr>
                  <w:r>
                    <w:rPr>
                      <w:rFonts w:hint="eastAsia"/>
                      <w:szCs w:val="21"/>
                      <w:lang w:eastAsia="zh-CN"/>
                    </w:rPr>
                    <w:t>甲醛尾气</w:t>
                  </w:r>
                </w:p>
              </w:tc>
              <w:tc>
                <w:tcPr>
                  <w:tcW w:w="727" w:type="pct"/>
                  <w:vMerge w:val="restart"/>
                  <w:shd w:val="clear" w:color="auto" w:fill="auto"/>
                  <w:noWrap w:val="0"/>
                  <w:vAlign w:val="center"/>
                </w:tcPr>
                <w:p w14:paraId="0337CFEB">
                  <w:pPr>
                    <w:jc w:val="center"/>
                    <w:rPr>
                      <w:rFonts w:hint="default" w:eastAsia="宋体"/>
                      <w:szCs w:val="21"/>
                      <w:lang w:val="en-US" w:eastAsia="zh-CN"/>
                    </w:rPr>
                  </w:pPr>
                  <w:r>
                    <w:rPr>
                      <w:rFonts w:hint="eastAsia"/>
                      <w:szCs w:val="21"/>
                      <w:lang w:val="en-US" w:eastAsia="zh-CN"/>
                    </w:rPr>
                    <w:t>2024年4月23日</w:t>
                  </w:r>
                </w:p>
              </w:tc>
              <w:tc>
                <w:tcPr>
                  <w:tcW w:w="454" w:type="pct"/>
                  <w:vMerge w:val="restart"/>
                  <w:tcBorders>
                    <w:right w:val="single" w:color="auto" w:sz="4" w:space="0"/>
                  </w:tcBorders>
                  <w:shd w:val="clear" w:color="auto" w:fill="auto"/>
                  <w:noWrap w:val="0"/>
                  <w:vAlign w:val="center"/>
                </w:tcPr>
                <w:p w14:paraId="372ADCEE">
                  <w:pPr>
                    <w:jc w:val="center"/>
                    <w:rPr>
                      <w:szCs w:val="21"/>
                    </w:rPr>
                  </w:pPr>
                  <w:r>
                    <w:rPr>
                      <w:rFonts w:hint="eastAsia"/>
                      <w:szCs w:val="21"/>
                      <w:lang w:val="en-US" w:eastAsia="zh-CN"/>
                    </w:rPr>
                    <w:t>78</w:t>
                  </w:r>
                  <w:r>
                    <w:rPr>
                      <w:rFonts w:hint="eastAsia"/>
                      <w:szCs w:val="21"/>
                    </w:rPr>
                    <w:t>%</w:t>
                  </w:r>
                </w:p>
              </w:tc>
              <w:tc>
                <w:tcPr>
                  <w:tcW w:w="813" w:type="pct"/>
                  <w:tcBorders>
                    <w:right w:val="single" w:color="auto" w:sz="4" w:space="0"/>
                  </w:tcBorders>
                  <w:shd w:val="clear" w:color="auto" w:fill="auto"/>
                  <w:noWrap w:val="0"/>
                  <w:vAlign w:val="center"/>
                </w:tcPr>
                <w:p w14:paraId="381702FD">
                  <w:pPr>
                    <w:jc w:val="center"/>
                    <w:rPr>
                      <w:rFonts w:hint="eastAsia" w:ascii="Times New Roman" w:hAnsi="Times New Roman" w:eastAsia="宋体"/>
                      <w:kern w:val="2"/>
                      <w:sz w:val="21"/>
                      <w:szCs w:val="21"/>
                      <w:lang w:val="en-US" w:eastAsia="zh-CN" w:bidi="ar-SA"/>
                    </w:rPr>
                  </w:pPr>
                  <w:r>
                    <w:rPr>
                      <w:rFonts w:hint="eastAsia"/>
                      <w:szCs w:val="21"/>
                      <w:lang w:eastAsia="zh-CN"/>
                    </w:rPr>
                    <w:t>甲醛</w:t>
                  </w:r>
                </w:p>
              </w:tc>
              <w:tc>
                <w:tcPr>
                  <w:tcW w:w="945" w:type="pct"/>
                  <w:tcBorders>
                    <w:right w:val="single" w:color="auto" w:sz="4" w:space="0"/>
                  </w:tcBorders>
                  <w:shd w:val="clear" w:color="auto" w:fill="auto"/>
                  <w:noWrap w:val="0"/>
                  <w:vAlign w:val="center"/>
                </w:tcPr>
                <w:p w14:paraId="305B4B6C">
                  <w:pPr>
                    <w:jc w:val="center"/>
                    <w:rPr>
                      <w:rFonts w:hint="default" w:ascii="Times New Roman" w:hAnsi="Times New Roman"/>
                      <w:kern w:val="2"/>
                      <w:sz w:val="21"/>
                      <w:szCs w:val="21"/>
                      <w:lang w:val="en-US" w:eastAsia="zh-CN" w:bidi="ar-SA"/>
                    </w:rPr>
                  </w:pPr>
                  <w:r>
                    <w:rPr>
                      <w:rFonts w:hint="eastAsia"/>
                      <w:kern w:val="2"/>
                      <w:sz w:val="21"/>
                      <w:szCs w:val="21"/>
                      <w:lang w:val="en-US" w:eastAsia="zh-CN" w:bidi="ar-SA"/>
                    </w:rPr>
                    <w:t>0.006</w:t>
                  </w:r>
                </w:p>
              </w:tc>
              <w:tc>
                <w:tcPr>
                  <w:tcW w:w="575" w:type="pct"/>
                  <w:vMerge w:val="restart"/>
                  <w:tcBorders>
                    <w:left w:val="single" w:color="auto" w:sz="4" w:space="0"/>
                    <w:right w:val="single" w:color="auto" w:sz="4" w:space="0"/>
                  </w:tcBorders>
                  <w:shd w:val="clear" w:color="auto" w:fill="auto"/>
                  <w:noWrap w:val="0"/>
                  <w:vAlign w:val="center"/>
                </w:tcPr>
                <w:p w14:paraId="416D3C88">
                  <w:pPr>
                    <w:jc w:val="center"/>
                    <w:rPr>
                      <w:rFonts w:hint="default" w:ascii="Times New Roman" w:hAnsi="Times New Roman"/>
                      <w:kern w:val="2"/>
                      <w:sz w:val="21"/>
                      <w:szCs w:val="21"/>
                      <w:lang w:val="en-US" w:eastAsia="zh-CN" w:bidi="ar-SA"/>
                    </w:rPr>
                  </w:pPr>
                  <w:r>
                    <w:rPr>
                      <w:rFonts w:hint="eastAsia" w:ascii="Times New Roman" w:hAnsi="Times New Roman"/>
                      <w:kern w:val="2"/>
                      <w:sz w:val="21"/>
                      <w:szCs w:val="21"/>
                      <w:lang w:val="en-US" w:eastAsia="zh-CN" w:bidi="ar-SA"/>
                    </w:rPr>
                    <w:t>7200</w:t>
                  </w:r>
                </w:p>
                <w:p w14:paraId="2D9D4B76">
                  <w:pPr>
                    <w:jc w:val="center"/>
                    <w:rPr>
                      <w:rFonts w:hint="default" w:ascii="Times New Roman" w:hAnsi="Times New Roman"/>
                      <w:kern w:val="2"/>
                      <w:sz w:val="21"/>
                      <w:szCs w:val="21"/>
                      <w:lang w:val="en-US" w:eastAsia="zh-CN" w:bidi="ar-SA"/>
                    </w:rPr>
                  </w:pPr>
                </w:p>
              </w:tc>
              <w:tc>
                <w:tcPr>
                  <w:tcW w:w="575" w:type="pct"/>
                  <w:tcBorders>
                    <w:left w:val="single" w:color="auto" w:sz="4" w:space="0"/>
                    <w:right w:val="single" w:color="auto" w:sz="4" w:space="0"/>
                  </w:tcBorders>
                  <w:shd w:val="clear" w:color="auto" w:fill="auto"/>
                  <w:noWrap w:val="0"/>
                  <w:vAlign w:val="center"/>
                </w:tcPr>
                <w:p w14:paraId="4998C54C">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0.0432 </w:t>
                  </w:r>
                </w:p>
              </w:tc>
              <w:tc>
                <w:tcPr>
                  <w:tcW w:w="526" w:type="pct"/>
                  <w:tcBorders>
                    <w:left w:val="single" w:color="auto" w:sz="4" w:space="0"/>
                    <w:right w:val="single" w:color="auto" w:sz="4" w:space="0"/>
                  </w:tcBorders>
                  <w:shd w:val="clear" w:color="auto" w:fill="auto"/>
                  <w:noWrap w:val="0"/>
                  <w:vAlign w:val="center"/>
                </w:tcPr>
                <w:p w14:paraId="1013DE21">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0.055 </w:t>
                  </w:r>
                </w:p>
              </w:tc>
            </w:tr>
            <w:tr w14:paraId="32C71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382" w:type="pct"/>
                  <w:vMerge w:val="continue"/>
                  <w:shd w:val="clear" w:color="auto" w:fill="auto"/>
                  <w:noWrap w:val="0"/>
                  <w:vAlign w:val="center"/>
                </w:tcPr>
                <w:p w14:paraId="7B29A431">
                  <w:pPr>
                    <w:jc w:val="center"/>
                    <w:rPr>
                      <w:rFonts w:hint="eastAsia"/>
                      <w:szCs w:val="21"/>
                      <w:lang w:eastAsia="zh-CN"/>
                    </w:rPr>
                  </w:pPr>
                </w:p>
              </w:tc>
              <w:tc>
                <w:tcPr>
                  <w:tcW w:w="727" w:type="pct"/>
                  <w:vMerge w:val="continue"/>
                  <w:shd w:val="clear" w:color="auto" w:fill="auto"/>
                  <w:noWrap w:val="0"/>
                  <w:vAlign w:val="center"/>
                </w:tcPr>
                <w:p w14:paraId="6D5C5979">
                  <w:pPr>
                    <w:jc w:val="center"/>
                    <w:rPr>
                      <w:rFonts w:hint="eastAsia"/>
                      <w:szCs w:val="21"/>
                      <w:lang w:val="en-US" w:eastAsia="zh-CN"/>
                    </w:rPr>
                  </w:pPr>
                </w:p>
              </w:tc>
              <w:tc>
                <w:tcPr>
                  <w:tcW w:w="454" w:type="pct"/>
                  <w:vMerge w:val="continue"/>
                  <w:tcBorders>
                    <w:right w:val="single" w:color="auto" w:sz="4" w:space="0"/>
                  </w:tcBorders>
                  <w:shd w:val="clear" w:color="auto" w:fill="auto"/>
                  <w:noWrap w:val="0"/>
                  <w:vAlign w:val="center"/>
                </w:tcPr>
                <w:p w14:paraId="46DCB762">
                  <w:pPr>
                    <w:jc w:val="center"/>
                    <w:rPr>
                      <w:rFonts w:hint="eastAsia"/>
                      <w:szCs w:val="21"/>
                      <w:lang w:val="en-US" w:eastAsia="zh-CN"/>
                    </w:rPr>
                  </w:pPr>
                </w:p>
              </w:tc>
              <w:tc>
                <w:tcPr>
                  <w:tcW w:w="813" w:type="pct"/>
                  <w:tcBorders>
                    <w:right w:val="single" w:color="auto" w:sz="4" w:space="0"/>
                  </w:tcBorders>
                  <w:shd w:val="clear" w:color="auto" w:fill="auto"/>
                  <w:noWrap w:val="0"/>
                  <w:vAlign w:val="center"/>
                </w:tcPr>
                <w:p w14:paraId="511EDBC5">
                  <w:pPr>
                    <w:jc w:val="center"/>
                    <w:rPr>
                      <w:rFonts w:hint="eastAsia" w:ascii="Times New Roman" w:hAnsi="Times New Roman"/>
                      <w:kern w:val="2"/>
                      <w:sz w:val="21"/>
                      <w:szCs w:val="21"/>
                      <w:lang w:val="en-US" w:eastAsia="zh-CN" w:bidi="ar-SA"/>
                    </w:rPr>
                  </w:pPr>
                  <w:r>
                    <w:rPr>
                      <w:rFonts w:hint="eastAsia"/>
                      <w:szCs w:val="21"/>
                    </w:rPr>
                    <w:t>颗粒物</w:t>
                  </w:r>
                </w:p>
              </w:tc>
              <w:tc>
                <w:tcPr>
                  <w:tcW w:w="945" w:type="pct"/>
                  <w:tcBorders>
                    <w:right w:val="single" w:color="auto" w:sz="4" w:space="0"/>
                  </w:tcBorders>
                  <w:shd w:val="clear" w:color="auto" w:fill="auto"/>
                  <w:noWrap w:val="0"/>
                  <w:vAlign w:val="center"/>
                </w:tcPr>
                <w:p w14:paraId="580EA07E">
                  <w:pPr>
                    <w:jc w:val="center"/>
                    <w:rPr>
                      <w:rFonts w:hint="eastAsia" w:ascii="Times New Roman" w:hAnsi="Times New Roman"/>
                      <w:kern w:val="2"/>
                      <w:sz w:val="21"/>
                      <w:szCs w:val="21"/>
                      <w:lang w:val="en-US" w:eastAsia="zh-CN" w:bidi="ar-SA"/>
                    </w:rPr>
                  </w:pPr>
                  <w:r>
                    <w:rPr>
                      <w:rFonts w:hint="eastAsia"/>
                      <w:kern w:val="2"/>
                      <w:sz w:val="21"/>
                      <w:szCs w:val="21"/>
                      <w:lang w:val="en-US" w:eastAsia="zh-CN" w:bidi="ar-SA"/>
                    </w:rPr>
                    <w:t>0.009</w:t>
                  </w:r>
                </w:p>
              </w:tc>
              <w:tc>
                <w:tcPr>
                  <w:tcW w:w="575" w:type="pct"/>
                  <w:vMerge w:val="continue"/>
                  <w:tcBorders>
                    <w:left w:val="single" w:color="auto" w:sz="4" w:space="0"/>
                    <w:right w:val="single" w:color="auto" w:sz="4" w:space="0"/>
                  </w:tcBorders>
                  <w:shd w:val="clear" w:color="auto" w:fill="auto"/>
                  <w:noWrap w:val="0"/>
                  <w:vAlign w:val="center"/>
                </w:tcPr>
                <w:p w14:paraId="075874DA">
                  <w:pPr>
                    <w:jc w:val="center"/>
                    <w:rPr>
                      <w:rFonts w:hint="default" w:ascii="Times New Roman" w:hAnsi="Times New Roman"/>
                      <w:kern w:val="2"/>
                      <w:sz w:val="21"/>
                      <w:szCs w:val="21"/>
                      <w:lang w:val="en-US" w:eastAsia="zh-CN" w:bidi="ar-SA"/>
                    </w:rPr>
                  </w:pPr>
                </w:p>
              </w:tc>
              <w:tc>
                <w:tcPr>
                  <w:tcW w:w="575" w:type="pct"/>
                  <w:tcBorders>
                    <w:left w:val="single" w:color="auto" w:sz="4" w:space="0"/>
                    <w:right w:val="single" w:color="auto" w:sz="4" w:space="0"/>
                  </w:tcBorders>
                  <w:shd w:val="clear" w:color="auto" w:fill="auto"/>
                  <w:noWrap w:val="0"/>
                  <w:vAlign w:val="center"/>
                </w:tcPr>
                <w:p w14:paraId="4B0B07DE">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0.0648 </w:t>
                  </w:r>
                </w:p>
              </w:tc>
              <w:tc>
                <w:tcPr>
                  <w:tcW w:w="526" w:type="pct"/>
                  <w:tcBorders>
                    <w:left w:val="single" w:color="auto" w:sz="4" w:space="0"/>
                    <w:right w:val="single" w:color="auto" w:sz="4" w:space="0"/>
                  </w:tcBorders>
                  <w:shd w:val="clear" w:color="auto" w:fill="auto"/>
                  <w:noWrap w:val="0"/>
                  <w:vAlign w:val="center"/>
                </w:tcPr>
                <w:p w14:paraId="41BC83C2">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0.083 </w:t>
                  </w:r>
                </w:p>
              </w:tc>
            </w:tr>
            <w:tr w14:paraId="50CD1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82" w:type="pct"/>
                  <w:vMerge w:val="continue"/>
                  <w:shd w:val="clear" w:color="auto" w:fill="auto"/>
                  <w:noWrap w:val="0"/>
                  <w:vAlign w:val="center"/>
                </w:tcPr>
                <w:p w14:paraId="7AE77E18">
                  <w:pPr>
                    <w:jc w:val="center"/>
                    <w:rPr>
                      <w:rFonts w:hint="eastAsia"/>
                      <w:szCs w:val="21"/>
                    </w:rPr>
                  </w:pPr>
                </w:p>
              </w:tc>
              <w:tc>
                <w:tcPr>
                  <w:tcW w:w="727" w:type="pct"/>
                  <w:vMerge w:val="continue"/>
                  <w:shd w:val="clear" w:color="auto" w:fill="auto"/>
                  <w:noWrap w:val="0"/>
                  <w:vAlign w:val="center"/>
                </w:tcPr>
                <w:p w14:paraId="4B372E3F">
                  <w:pPr>
                    <w:jc w:val="center"/>
                    <w:rPr>
                      <w:rFonts w:hint="eastAsia"/>
                      <w:szCs w:val="21"/>
                    </w:rPr>
                  </w:pPr>
                </w:p>
              </w:tc>
              <w:tc>
                <w:tcPr>
                  <w:tcW w:w="454" w:type="pct"/>
                  <w:vMerge w:val="continue"/>
                  <w:tcBorders>
                    <w:right w:val="single" w:color="auto" w:sz="4" w:space="0"/>
                  </w:tcBorders>
                  <w:shd w:val="clear" w:color="auto" w:fill="auto"/>
                  <w:noWrap w:val="0"/>
                  <w:vAlign w:val="center"/>
                </w:tcPr>
                <w:p w14:paraId="687F6137">
                  <w:pPr>
                    <w:jc w:val="center"/>
                    <w:rPr>
                      <w:rFonts w:hint="eastAsia"/>
                      <w:szCs w:val="21"/>
                    </w:rPr>
                  </w:pPr>
                </w:p>
              </w:tc>
              <w:tc>
                <w:tcPr>
                  <w:tcW w:w="813" w:type="pct"/>
                  <w:tcBorders>
                    <w:right w:val="single" w:color="auto" w:sz="4" w:space="0"/>
                  </w:tcBorders>
                  <w:shd w:val="clear" w:color="auto" w:fill="auto"/>
                  <w:noWrap w:val="0"/>
                  <w:vAlign w:val="center"/>
                </w:tcPr>
                <w:p w14:paraId="37A45782">
                  <w:pPr>
                    <w:jc w:val="center"/>
                    <w:rPr>
                      <w:rFonts w:hint="eastAsia" w:ascii="Times New Roman" w:hAnsi="Times New Roman"/>
                      <w:kern w:val="2"/>
                      <w:sz w:val="21"/>
                      <w:szCs w:val="21"/>
                      <w:lang w:val="en-US" w:eastAsia="zh-CN" w:bidi="ar-SA"/>
                    </w:rPr>
                  </w:pPr>
                  <w:r>
                    <w:rPr>
                      <w:rFonts w:hint="eastAsia"/>
                      <w:szCs w:val="21"/>
                      <w:lang w:eastAsia="zh-CN"/>
                    </w:rPr>
                    <w:t>甲醇</w:t>
                  </w:r>
                </w:p>
              </w:tc>
              <w:tc>
                <w:tcPr>
                  <w:tcW w:w="945" w:type="pct"/>
                  <w:tcBorders>
                    <w:right w:val="single" w:color="auto" w:sz="4" w:space="0"/>
                  </w:tcBorders>
                  <w:shd w:val="clear" w:color="auto" w:fill="auto"/>
                  <w:noWrap w:val="0"/>
                  <w:vAlign w:val="center"/>
                </w:tcPr>
                <w:p w14:paraId="5E0FA201">
                  <w:pPr>
                    <w:jc w:val="center"/>
                    <w:rPr>
                      <w:rFonts w:hint="default" w:ascii="Times New Roman" w:hAnsi="Times New Roman"/>
                      <w:kern w:val="2"/>
                      <w:sz w:val="21"/>
                      <w:szCs w:val="21"/>
                      <w:lang w:val="en-US" w:eastAsia="zh-CN" w:bidi="ar-SA"/>
                    </w:rPr>
                  </w:pPr>
                  <w:r>
                    <w:rPr>
                      <w:rFonts w:hint="eastAsia"/>
                      <w:kern w:val="2"/>
                      <w:sz w:val="21"/>
                      <w:szCs w:val="21"/>
                      <w:lang w:val="en-US" w:eastAsia="zh-CN" w:bidi="ar-SA"/>
                    </w:rPr>
                    <w:t>0.181</w:t>
                  </w:r>
                </w:p>
              </w:tc>
              <w:tc>
                <w:tcPr>
                  <w:tcW w:w="575" w:type="pct"/>
                  <w:vMerge w:val="continue"/>
                  <w:tcBorders>
                    <w:left w:val="single" w:color="auto" w:sz="4" w:space="0"/>
                    <w:right w:val="single" w:color="auto" w:sz="4" w:space="0"/>
                  </w:tcBorders>
                  <w:shd w:val="clear" w:color="auto" w:fill="auto"/>
                  <w:noWrap w:val="0"/>
                  <w:vAlign w:val="center"/>
                </w:tcPr>
                <w:p w14:paraId="6F2F2A80">
                  <w:pPr>
                    <w:jc w:val="center"/>
                    <w:rPr>
                      <w:rFonts w:hint="eastAsia" w:ascii="Times New Roman" w:hAnsi="Times New Roman"/>
                      <w:kern w:val="2"/>
                      <w:sz w:val="21"/>
                      <w:szCs w:val="21"/>
                      <w:lang w:val="en-US" w:eastAsia="zh-CN" w:bidi="ar-SA"/>
                    </w:rPr>
                  </w:pPr>
                </w:p>
              </w:tc>
              <w:tc>
                <w:tcPr>
                  <w:tcW w:w="575" w:type="pct"/>
                  <w:tcBorders>
                    <w:left w:val="single" w:color="auto" w:sz="4" w:space="0"/>
                    <w:right w:val="single" w:color="auto" w:sz="4" w:space="0"/>
                  </w:tcBorders>
                  <w:shd w:val="clear" w:color="auto" w:fill="auto"/>
                  <w:noWrap w:val="0"/>
                  <w:vAlign w:val="center"/>
                </w:tcPr>
                <w:p w14:paraId="693226AB">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1.3032 </w:t>
                  </w:r>
                </w:p>
              </w:tc>
              <w:tc>
                <w:tcPr>
                  <w:tcW w:w="526" w:type="pct"/>
                  <w:tcBorders>
                    <w:left w:val="single" w:color="auto" w:sz="4" w:space="0"/>
                    <w:right w:val="single" w:color="auto" w:sz="4" w:space="0"/>
                  </w:tcBorders>
                  <w:shd w:val="clear" w:color="auto" w:fill="auto"/>
                  <w:noWrap w:val="0"/>
                  <w:vAlign w:val="center"/>
                </w:tcPr>
                <w:p w14:paraId="21F7F278">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1.671 </w:t>
                  </w:r>
                </w:p>
              </w:tc>
            </w:tr>
            <w:tr w14:paraId="1B145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82" w:type="pct"/>
                  <w:vMerge w:val="continue"/>
                  <w:shd w:val="clear" w:color="auto" w:fill="auto"/>
                  <w:noWrap w:val="0"/>
                  <w:vAlign w:val="center"/>
                </w:tcPr>
                <w:p w14:paraId="7DBA0256">
                  <w:pPr>
                    <w:jc w:val="center"/>
                    <w:rPr>
                      <w:rFonts w:hint="eastAsia"/>
                      <w:szCs w:val="21"/>
                    </w:rPr>
                  </w:pPr>
                </w:p>
              </w:tc>
              <w:tc>
                <w:tcPr>
                  <w:tcW w:w="727" w:type="pct"/>
                  <w:vMerge w:val="continue"/>
                  <w:shd w:val="clear" w:color="auto" w:fill="auto"/>
                  <w:noWrap w:val="0"/>
                  <w:vAlign w:val="center"/>
                </w:tcPr>
                <w:p w14:paraId="6E4D38A2">
                  <w:pPr>
                    <w:jc w:val="center"/>
                    <w:rPr>
                      <w:rFonts w:hint="eastAsia"/>
                      <w:szCs w:val="21"/>
                    </w:rPr>
                  </w:pPr>
                </w:p>
              </w:tc>
              <w:tc>
                <w:tcPr>
                  <w:tcW w:w="454" w:type="pct"/>
                  <w:vMerge w:val="continue"/>
                  <w:tcBorders>
                    <w:right w:val="single" w:color="auto" w:sz="4" w:space="0"/>
                  </w:tcBorders>
                  <w:shd w:val="clear" w:color="auto" w:fill="auto"/>
                  <w:noWrap w:val="0"/>
                  <w:vAlign w:val="center"/>
                </w:tcPr>
                <w:p w14:paraId="04E03EC7">
                  <w:pPr>
                    <w:jc w:val="center"/>
                    <w:rPr>
                      <w:rFonts w:hint="eastAsia"/>
                      <w:szCs w:val="21"/>
                    </w:rPr>
                  </w:pPr>
                </w:p>
              </w:tc>
              <w:tc>
                <w:tcPr>
                  <w:tcW w:w="813" w:type="pct"/>
                  <w:tcBorders>
                    <w:right w:val="single" w:color="auto" w:sz="4" w:space="0"/>
                  </w:tcBorders>
                  <w:shd w:val="clear" w:color="auto" w:fill="auto"/>
                  <w:noWrap w:val="0"/>
                  <w:vAlign w:val="center"/>
                </w:tcPr>
                <w:p w14:paraId="6D4AA0B4">
                  <w:pPr>
                    <w:jc w:val="center"/>
                    <w:rPr>
                      <w:rFonts w:hint="eastAsia" w:ascii="Times New Roman" w:hAnsi="Times New Roman"/>
                      <w:kern w:val="2"/>
                      <w:sz w:val="21"/>
                      <w:szCs w:val="21"/>
                      <w:lang w:val="en-US" w:eastAsia="zh-CN" w:bidi="ar-SA"/>
                    </w:rPr>
                  </w:pPr>
                  <w:r>
                    <w:rPr>
                      <w:rFonts w:hint="eastAsia"/>
                      <w:szCs w:val="21"/>
                      <w:lang w:eastAsia="zh-CN"/>
                    </w:rPr>
                    <w:t>非甲烷总烃</w:t>
                  </w:r>
                </w:p>
              </w:tc>
              <w:tc>
                <w:tcPr>
                  <w:tcW w:w="945" w:type="pct"/>
                  <w:tcBorders>
                    <w:right w:val="single" w:color="auto" w:sz="4" w:space="0"/>
                  </w:tcBorders>
                  <w:shd w:val="clear" w:color="auto" w:fill="auto"/>
                  <w:noWrap w:val="0"/>
                  <w:vAlign w:val="center"/>
                </w:tcPr>
                <w:p w14:paraId="791560E8">
                  <w:pPr>
                    <w:jc w:val="center"/>
                    <w:rPr>
                      <w:rFonts w:hint="default" w:ascii="Times New Roman" w:hAnsi="Times New Roman"/>
                      <w:kern w:val="2"/>
                      <w:sz w:val="21"/>
                      <w:szCs w:val="21"/>
                      <w:lang w:val="en-US" w:eastAsia="zh-CN" w:bidi="ar-SA"/>
                    </w:rPr>
                  </w:pPr>
                  <w:r>
                    <w:rPr>
                      <w:rFonts w:hint="eastAsia"/>
                      <w:kern w:val="2"/>
                      <w:sz w:val="21"/>
                      <w:szCs w:val="21"/>
                      <w:lang w:val="en-US" w:eastAsia="zh-CN" w:bidi="ar-SA"/>
                    </w:rPr>
                    <w:t>0.086</w:t>
                  </w:r>
                </w:p>
              </w:tc>
              <w:tc>
                <w:tcPr>
                  <w:tcW w:w="575" w:type="pct"/>
                  <w:vMerge w:val="continue"/>
                  <w:tcBorders>
                    <w:left w:val="single" w:color="auto" w:sz="4" w:space="0"/>
                    <w:right w:val="single" w:color="auto" w:sz="4" w:space="0"/>
                  </w:tcBorders>
                  <w:shd w:val="clear" w:color="auto" w:fill="auto"/>
                  <w:noWrap w:val="0"/>
                  <w:vAlign w:val="center"/>
                </w:tcPr>
                <w:p w14:paraId="44686FF3">
                  <w:pPr>
                    <w:jc w:val="center"/>
                    <w:rPr>
                      <w:rFonts w:hint="eastAsia" w:ascii="Times New Roman" w:hAnsi="Times New Roman"/>
                      <w:kern w:val="2"/>
                      <w:sz w:val="21"/>
                      <w:szCs w:val="21"/>
                      <w:lang w:val="en-US" w:eastAsia="zh-CN" w:bidi="ar-SA"/>
                    </w:rPr>
                  </w:pPr>
                </w:p>
              </w:tc>
              <w:tc>
                <w:tcPr>
                  <w:tcW w:w="575" w:type="pct"/>
                  <w:tcBorders>
                    <w:left w:val="single" w:color="auto" w:sz="4" w:space="0"/>
                    <w:right w:val="single" w:color="auto" w:sz="4" w:space="0"/>
                  </w:tcBorders>
                  <w:shd w:val="clear" w:color="auto" w:fill="auto"/>
                  <w:noWrap w:val="0"/>
                  <w:vAlign w:val="center"/>
                </w:tcPr>
                <w:p w14:paraId="2BE88ECB">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0.6192 </w:t>
                  </w:r>
                </w:p>
              </w:tc>
              <w:tc>
                <w:tcPr>
                  <w:tcW w:w="526" w:type="pct"/>
                  <w:tcBorders>
                    <w:left w:val="single" w:color="auto" w:sz="4" w:space="0"/>
                    <w:right w:val="single" w:color="auto" w:sz="4" w:space="0"/>
                  </w:tcBorders>
                  <w:shd w:val="clear" w:color="auto" w:fill="auto"/>
                  <w:noWrap w:val="0"/>
                  <w:vAlign w:val="center"/>
                </w:tcPr>
                <w:p w14:paraId="053D6359">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0.794 </w:t>
                  </w:r>
                </w:p>
              </w:tc>
            </w:tr>
            <w:tr w14:paraId="4AB0F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82" w:type="pct"/>
                  <w:vMerge w:val="continue"/>
                  <w:shd w:val="clear" w:color="auto" w:fill="auto"/>
                  <w:noWrap w:val="0"/>
                  <w:vAlign w:val="center"/>
                </w:tcPr>
                <w:p w14:paraId="27AD2AE4">
                  <w:pPr>
                    <w:jc w:val="center"/>
                    <w:rPr>
                      <w:rFonts w:hint="eastAsia"/>
                      <w:szCs w:val="21"/>
                    </w:rPr>
                  </w:pPr>
                </w:p>
              </w:tc>
              <w:tc>
                <w:tcPr>
                  <w:tcW w:w="727" w:type="pct"/>
                  <w:vMerge w:val="continue"/>
                  <w:shd w:val="clear" w:color="auto" w:fill="auto"/>
                  <w:noWrap w:val="0"/>
                  <w:vAlign w:val="center"/>
                </w:tcPr>
                <w:p w14:paraId="7007F7E2">
                  <w:pPr>
                    <w:jc w:val="center"/>
                    <w:rPr>
                      <w:rFonts w:hint="eastAsia"/>
                      <w:szCs w:val="21"/>
                    </w:rPr>
                  </w:pPr>
                </w:p>
              </w:tc>
              <w:tc>
                <w:tcPr>
                  <w:tcW w:w="454" w:type="pct"/>
                  <w:vMerge w:val="continue"/>
                  <w:tcBorders>
                    <w:right w:val="single" w:color="auto" w:sz="4" w:space="0"/>
                  </w:tcBorders>
                  <w:shd w:val="clear" w:color="auto" w:fill="auto"/>
                  <w:noWrap w:val="0"/>
                  <w:vAlign w:val="center"/>
                </w:tcPr>
                <w:p w14:paraId="7E08F397">
                  <w:pPr>
                    <w:jc w:val="center"/>
                    <w:rPr>
                      <w:rFonts w:hint="eastAsia"/>
                      <w:szCs w:val="21"/>
                    </w:rPr>
                  </w:pPr>
                </w:p>
              </w:tc>
              <w:tc>
                <w:tcPr>
                  <w:tcW w:w="813" w:type="pct"/>
                  <w:tcBorders>
                    <w:right w:val="single" w:color="auto" w:sz="4" w:space="0"/>
                  </w:tcBorders>
                  <w:shd w:val="clear" w:color="auto" w:fill="auto"/>
                  <w:noWrap w:val="0"/>
                  <w:vAlign w:val="center"/>
                </w:tcPr>
                <w:p w14:paraId="4DBD51F2">
                  <w:pPr>
                    <w:jc w:val="center"/>
                    <w:rPr>
                      <w:rFonts w:hint="eastAsia" w:ascii="Times New Roman" w:hAnsi="Times New Roman"/>
                      <w:kern w:val="2"/>
                      <w:sz w:val="21"/>
                      <w:szCs w:val="21"/>
                      <w:lang w:val="en-US" w:eastAsia="zh-CN" w:bidi="ar-SA"/>
                    </w:rPr>
                  </w:pPr>
                  <w:r>
                    <w:rPr>
                      <w:rFonts w:hint="eastAsia"/>
                      <w:szCs w:val="21"/>
                    </w:rPr>
                    <w:t>氮氧化物</w:t>
                  </w:r>
                </w:p>
              </w:tc>
              <w:tc>
                <w:tcPr>
                  <w:tcW w:w="945" w:type="pct"/>
                  <w:tcBorders>
                    <w:right w:val="single" w:color="auto" w:sz="4" w:space="0"/>
                  </w:tcBorders>
                  <w:shd w:val="clear" w:color="auto" w:fill="auto"/>
                  <w:noWrap w:val="0"/>
                  <w:vAlign w:val="center"/>
                </w:tcPr>
                <w:p w14:paraId="71EE4965">
                  <w:pPr>
                    <w:jc w:val="center"/>
                    <w:rPr>
                      <w:rFonts w:hint="default" w:ascii="Times New Roman" w:hAnsi="Times New Roman"/>
                      <w:kern w:val="2"/>
                      <w:sz w:val="21"/>
                      <w:szCs w:val="21"/>
                      <w:lang w:val="en-US" w:eastAsia="zh-CN" w:bidi="ar-SA"/>
                    </w:rPr>
                  </w:pPr>
                  <w:r>
                    <w:rPr>
                      <w:rFonts w:hint="eastAsia"/>
                      <w:kern w:val="2"/>
                      <w:sz w:val="21"/>
                      <w:szCs w:val="21"/>
                      <w:lang w:val="en-US" w:eastAsia="zh-CN" w:bidi="ar-SA"/>
                    </w:rPr>
                    <w:t>0.039</w:t>
                  </w:r>
                </w:p>
              </w:tc>
              <w:tc>
                <w:tcPr>
                  <w:tcW w:w="575" w:type="pct"/>
                  <w:vMerge w:val="continue"/>
                  <w:tcBorders>
                    <w:left w:val="single" w:color="auto" w:sz="4" w:space="0"/>
                    <w:right w:val="single" w:color="auto" w:sz="4" w:space="0"/>
                  </w:tcBorders>
                  <w:shd w:val="clear" w:color="auto" w:fill="auto"/>
                  <w:noWrap w:val="0"/>
                  <w:vAlign w:val="center"/>
                </w:tcPr>
                <w:p w14:paraId="64A3FAAF">
                  <w:pPr>
                    <w:jc w:val="center"/>
                    <w:rPr>
                      <w:rFonts w:hint="eastAsia" w:ascii="Times New Roman" w:hAnsi="Times New Roman"/>
                      <w:kern w:val="2"/>
                      <w:sz w:val="21"/>
                      <w:szCs w:val="21"/>
                      <w:lang w:val="en-US" w:eastAsia="zh-CN" w:bidi="ar-SA"/>
                    </w:rPr>
                  </w:pPr>
                </w:p>
              </w:tc>
              <w:tc>
                <w:tcPr>
                  <w:tcW w:w="575" w:type="pct"/>
                  <w:tcBorders>
                    <w:left w:val="single" w:color="auto" w:sz="4" w:space="0"/>
                    <w:right w:val="single" w:color="auto" w:sz="4" w:space="0"/>
                  </w:tcBorders>
                  <w:shd w:val="clear" w:color="auto" w:fill="auto"/>
                  <w:noWrap w:val="0"/>
                  <w:vAlign w:val="center"/>
                </w:tcPr>
                <w:p w14:paraId="406895F5">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0.2808 </w:t>
                  </w:r>
                </w:p>
              </w:tc>
              <w:tc>
                <w:tcPr>
                  <w:tcW w:w="526" w:type="pct"/>
                  <w:tcBorders>
                    <w:left w:val="single" w:color="auto" w:sz="4" w:space="0"/>
                    <w:right w:val="single" w:color="auto" w:sz="4" w:space="0"/>
                  </w:tcBorders>
                  <w:shd w:val="clear" w:color="auto" w:fill="auto"/>
                  <w:noWrap w:val="0"/>
                  <w:vAlign w:val="center"/>
                </w:tcPr>
                <w:p w14:paraId="76C0726F">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0.360 </w:t>
                  </w:r>
                </w:p>
              </w:tc>
            </w:tr>
          </w:tbl>
          <w:p w14:paraId="2CB8C387">
            <w:pPr>
              <w:spacing w:line="500" w:lineRule="exact"/>
              <w:ind w:firstLine="480" w:firstLineChars="200"/>
              <w:jc w:val="left"/>
              <w:rPr>
                <w:rFonts w:hint="eastAsia" w:ascii="宋体" w:hAnsi="宋体" w:cs="宋体"/>
                <w:kern w:val="0"/>
                <w:sz w:val="24"/>
              </w:rPr>
            </w:pPr>
            <w:r>
              <w:rPr>
                <w:rFonts w:hint="eastAsia" w:ascii="Times New Roman" w:hAnsi="Times New Roman" w:eastAsia="宋体" w:cs="Times New Roman"/>
                <w:b w:val="0"/>
                <w:bCs w:val="0"/>
                <w:sz w:val="24"/>
                <w:szCs w:val="24"/>
                <w:highlight w:val="none"/>
                <w:lang w:val="en-US" w:eastAsia="zh-CN"/>
              </w:rPr>
              <w:t>甲醛尾气的产生量为23809.7t，</w:t>
            </w:r>
            <w:r>
              <w:rPr>
                <w:rFonts w:hint="eastAsia" w:ascii="Times New Roman" w:hAnsi="Times New Roman" w:eastAsia="宋体" w:cs="Times New Roman"/>
                <w:b w:val="0"/>
                <w:bCs w:val="0"/>
                <w:sz w:val="24"/>
                <w:szCs w:val="24"/>
                <w:lang w:val="en-US" w:eastAsia="zh-CN"/>
              </w:rPr>
              <w:t>则燃烧</w:t>
            </w:r>
            <w:r>
              <w:rPr>
                <w:rFonts w:hint="eastAsia"/>
                <w:kern w:val="0"/>
                <w:sz w:val="24"/>
                <w:szCs w:val="24"/>
                <w:lang w:val="en-US" w:eastAsia="zh-CN"/>
              </w:rPr>
              <w:t>4162.79t</w:t>
            </w:r>
            <w:r>
              <w:rPr>
                <w:rFonts w:hint="eastAsia" w:ascii="Times New Roman" w:hAnsi="Times New Roman" w:eastAsia="宋体" w:cs="Times New Roman"/>
                <w:b w:val="0"/>
                <w:bCs w:val="0"/>
                <w:sz w:val="24"/>
                <w:szCs w:val="24"/>
                <w:lang w:val="en-US" w:eastAsia="zh-CN"/>
              </w:rPr>
              <w:t>甲醛尾气燃烧排放的污染物的量，见下表。</w:t>
            </w:r>
          </w:p>
          <w:p w14:paraId="10B4B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kern w:val="0"/>
                <w:sz w:val="24"/>
                <w:szCs w:val="24"/>
                <w:lang w:val="en-US" w:eastAsia="zh-CN"/>
              </w:rPr>
            </w:pPr>
            <w:r>
              <w:rPr>
                <w:rFonts w:hint="default" w:ascii="Times New Roman" w:hAnsi="Times New Roman" w:cs="Times New Roman"/>
                <w:kern w:val="0"/>
                <w:sz w:val="24"/>
                <w:lang w:eastAsia="zh-CN"/>
              </w:rPr>
              <w:t>表</w:t>
            </w:r>
            <w:r>
              <w:rPr>
                <w:rFonts w:hint="default" w:ascii="Times New Roman" w:hAnsi="Times New Roman" w:cs="Times New Roman"/>
                <w:kern w:val="0"/>
                <w:sz w:val="24"/>
                <w:lang w:val="en-US" w:eastAsia="zh-CN"/>
              </w:rPr>
              <w:t>4-</w:t>
            </w:r>
            <w:r>
              <w:rPr>
                <w:rFonts w:hint="eastAsia" w:cs="Times New Roman"/>
                <w:kern w:val="0"/>
                <w:sz w:val="24"/>
                <w:lang w:val="en-US" w:eastAsia="zh-CN"/>
              </w:rPr>
              <w:t>3</w:t>
            </w:r>
            <w:r>
              <w:rPr>
                <w:rFonts w:hint="default" w:ascii="Times New Roman" w:hAnsi="Times New Roman" w:cs="Times New Roman"/>
                <w:kern w:val="0"/>
                <w:sz w:val="24"/>
                <w:lang w:val="en-US" w:eastAsia="zh-CN"/>
              </w:rPr>
              <w:t xml:space="preserve">  </w:t>
            </w:r>
            <w:r>
              <w:rPr>
                <w:rFonts w:hint="eastAsia" w:cs="Times New Roman"/>
                <w:kern w:val="0"/>
                <w:sz w:val="24"/>
                <w:lang w:val="en-US" w:eastAsia="zh-CN"/>
              </w:rPr>
              <w:t>7200t减水剂粉剂需要</w:t>
            </w:r>
            <w:r>
              <w:rPr>
                <w:rFonts w:hint="default" w:ascii="Times New Roman" w:hAnsi="Times New Roman" w:eastAsia="宋体" w:cs="Times New Roman"/>
                <w:b w:val="0"/>
                <w:bCs w:val="0"/>
                <w:sz w:val="24"/>
                <w:szCs w:val="24"/>
                <w:lang w:val="en-US" w:eastAsia="zh-CN"/>
              </w:rPr>
              <w:t>燃烧</w:t>
            </w:r>
            <w:r>
              <w:rPr>
                <w:rFonts w:hint="default" w:ascii="Times New Roman" w:hAnsi="Times New Roman" w:cs="Times New Roman"/>
                <w:kern w:val="0"/>
                <w:sz w:val="24"/>
                <w:szCs w:val="24"/>
                <w:lang w:val="en-US" w:eastAsia="zh-CN"/>
              </w:rPr>
              <w:t>4162.79t</w:t>
            </w:r>
            <w:r>
              <w:rPr>
                <w:rFonts w:hint="default" w:ascii="Times New Roman" w:hAnsi="Times New Roman" w:eastAsia="宋体" w:cs="Times New Roman"/>
                <w:b w:val="0"/>
                <w:bCs w:val="0"/>
                <w:sz w:val="24"/>
                <w:szCs w:val="24"/>
                <w:lang w:val="en-US" w:eastAsia="zh-CN"/>
              </w:rPr>
              <w:t>甲醛尾气燃烧排放量</w:t>
            </w:r>
            <w:r>
              <w:rPr>
                <w:rFonts w:hint="default" w:ascii="Times New Roman" w:hAnsi="Times New Roman" w:cs="Times New Roman"/>
                <w:kern w:val="0"/>
                <w:sz w:val="24"/>
                <w:szCs w:val="24"/>
                <w:lang w:val="en-US" w:eastAsia="zh-CN"/>
              </w:rPr>
              <w:t>计算表</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29"/>
              <w:gridCol w:w="1968"/>
              <w:gridCol w:w="1690"/>
              <w:gridCol w:w="1779"/>
              <w:gridCol w:w="1029"/>
            </w:tblGrid>
            <w:tr w14:paraId="78271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17" w:hRule="atLeast"/>
              </w:trPr>
              <w:tc>
                <w:tcPr>
                  <w:tcW w:w="956" w:type="pct"/>
                  <w:tcBorders>
                    <w:right w:val="single" w:color="auto" w:sz="4" w:space="0"/>
                  </w:tcBorders>
                  <w:shd w:val="clear" w:color="auto" w:fill="auto"/>
                  <w:noWrap w:val="0"/>
                  <w:vAlign w:val="center"/>
                </w:tcPr>
                <w:p w14:paraId="527C4DD0">
                  <w:pPr>
                    <w:jc w:val="center"/>
                    <w:rPr>
                      <w:sz w:val="21"/>
                      <w:szCs w:val="21"/>
                    </w:rPr>
                  </w:pPr>
                  <w:r>
                    <w:rPr>
                      <w:rFonts w:hint="eastAsia"/>
                      <w:sz w:val="21"/>
                      <w:szCs w:val="21"/>
                    </w:rPr>
                    <w:t>污染物</w:t>
                  </w:r>
                </w:p>
              </w:tc>
              <w:tc>
                <w:tcPr>
                  <w:tcW w:w="1230" w:type="pct"/>
                  <w:tcBorders>
                    <w:right w:val="single" w:color="auto" w:sz="4" w:space="0"/>
                  </w:tcBorders>
                  <w:shd w:val="clear" w:color="auto" w:fill="auto"/>
                  <w:noWrap w:val="0"/>
                  <w:vAlign w:val="center"/>
                </w:tcPr>
                <w:p w14:paraId="44EFEC52">
                  <w:pPr>
                    <w:jc w:val="center"/>
                    <w:rPr>
                      <w:rFonts w:hint="eastAsia" w:eastAsia="宋体"/>
                      <w:sz w:val="21"/>
                      <w:szCs w:val="21"/>
                      <w:lang w:eastAsia="zh-CN"/>
                    </w:rPr>
                  </w:pPr>
                  <w:r>
                    <w:rPr>
                      <w:rFonts w:hint="eastAsia"/>
                      <w:sz w:val="21"/>
                      <w:szCs w:val="21"/>
                      <w:lang w:eastAsia="zh-CN"/>
                    </w:rPr>
                    <w:t>尾气燃烧量（</w:t>
                  </w:r>
                  <w:r>
                    <w:rPr>
                      <w:rFonts w:hint="eastAsia"/>
                      <w:sz w:val="21"/>
                      <w:szCs w:val="21"/>
                      <w:lang w:val="en-US" w:eastAsia="zh-CN"/>
                    </w:rPr>
                    <w:t>t/a</w:t>
                  </w:r>
                  <w:r>
                    <w:rPr>
                      <w:rFonts w:hint="eastAsia"/>
                      <w:sz w:val="21"/>
                      <w:szCs w:val="21"/>
                      <w:lang w:eastAsia="zh-CN"/>
                    </w:rPr>
                    <w:t>）</w:t>
                  </w:r>
                </w:p>
              </w:tc>
              <w:tc>
                <w:tcPr>
                  <w:tcW w:w="1056" w:type="pct"/>
                  <w:tcBorders>
                    <w:right w:val="single" w:color="auto" w:sz="4" w:space="0"/>
                  </w:tcBorders>
                  <w:shd w:val="clear" w:color="auto" w:fill="auto"/>
                  <w:noWrap w:val="0"/>
                  <w:vAlign w:val="center"/>
                </w:tcPr>
                <w:p w14:paraId="241F15D3">
                  <w:pPr>
                    <w:jc w:val="center"/>
                    <w:rPr>
                      <w:rFonts w:hint="eastAsia" w:eastAsia="宋体"/>
                      <w:sz w:val="21"/>
                      <w:szCs w:val="21"/>
                      <w:lang w:eastAsia="zh-CN"/>
                    </w:rPr>
                  </w:pPr>
                  <w:r>
                    <w:rPr>
                      <w:rFonts w:hint="eastAsia"/>
                      <w:sz w:val="21"/>
                      <w:szCs w:val="21"/>
                    </w:rPr>
                    <w:t>满负荷排放量</w:t>
                  </w:r>
                  <w:r>
                    <w:rPr>
                      <w:rFonts w:hint="eastAsia"/>
                      <w:sz w:val="21"/>
                      <w:szCs w:val="21"/>
                      <w:lang w:eastAsia="zh-CN"/>
                    </w:rPr>
                    <w:t>（</w:t>
                  </w:r>
                  <w:r>
                    <w:rPr>
                      <w:rFonts w:hint="eastAsia"/>
                      <w:sz w:val="21"/>
                      <w:szCs w:val="21"/>
                      <w:lang w:val="en-US" w:eastAsia="zh-CN"/>
                    </w:rPr>
                    <w:t>t/a</w:t>
                  </w:r>
                  <w:r>
                    <w:rPr>
                      <w:rFonts w:hint="eastAsia"/>
                      <w:sz w:val="21"/>
                      <w:szCs w:val="21"/>
                      <w:lang w:eastAsia="zh-CN"/>
                    </w:rPr>
                    <w:t>）</w:t>
                  </w:r>
                </w:p>
              </w:tc>
              <w:tc>
                <w:tcPr>
                  <w:tcW w:w="1112" w:type="pct"/>
                  <w:tcBorders>
                    <w:left w:val="single" w:color="auto" w:sz="4" w:space="0"/>
                    <w:right w:val="single" w:color="auto" w:sz="4" w:space="0"/>
                  </w:tcBorders>
                  <w:shd w:val="clear" w:color="auto" w:fill="auto"/>
                  <w:noWrap w:val="0"/>
                  <w:vAlign w:val="center"/>
                </w:tcPr>
                <w:p w14:paraId="4EE20197">
                  <w:pPr>
                    <w:jc w:val="center"/>
                    <w:rPr>
                      <w:rFonts w:hint="eastAsia" w:eastAsia="宋体"/>
                      <w:sz w:val="21"/>
                      <w:szCs w:val="21"/>
                      <w:lang w:eastAsia="zh-CN"/>
                    </w:rPr>
                  </w:pPr>
                  <w:r>
                    <w:rPr>
                      <w:rFonts w:hint="eastAsia"/>
                      <w:sz w:val="21"/>
                      <w:szCs w:val="21"/>
                      <w:lang w:eastAsia="zh-CN"/>
                    </w:rPr>
                    <w:t>尾气燃烧量（</w:t>
                  </w:r>
                  <w:r>
                    <w:rPr>
                      <w:rFonts w:hint="eastAsia"/>
                      <w:sz w:val="21"/>
                      <w:szCs w:val="21"/>
                      <w:lang w:val="en-US" w:eastAsia="zh-CN"/>
                    </w:rPr>
                    <w:t>t/a</w:t>
                  </w:r>
                  <w:r>
                    <w:rPr>
                      <w:rFonts w:hint="eastAsia"/>
                      <w:sz w:val="21"/>
                      <w:szCs w:val="21"/>
                      <w:lang w:eastAsia="zh-CN"/>
                    </w:rPr>
                    <w:t>）</w:t>
                  </w:r>
                </w:p>
              </w:tc>
              <w:tc>
                <w:tcPr>
                  <w:tcW w:w="643" w:type="pct"/>
                  <w:tcBorders>
                    <w:left w:val="single" w:color="auto" w:sz="4" w:space="0"/>
                    <w:right w:val="single" w:color="auto" w:sz="4" w:space="0"/>
                  </w:tcBorders>
                  <w:shd w:val="clear" w:color="auto" w:fill="auto"/>
                  <w:noWrap w:val="0"/>
                  <w:vAlign w:val="center"/>
                </w:tcPr>
                <w:p w14:paraId="31D982F6">
                  <w:pPr>
                    <w:jc w:val="center"/>
                    <w:rPr>
                      <w:rFonts w:hint="eastAsia" w:eastAsia="宋体"/>
                      <w:sz w:val="21"/>
                      <w:szCs w:val="21"/>
                      <w:lang w:eastAsia="zh-CN"/>
                    </w:rPr>
                  </w:pPr>
                  <w:r>
                    <w:rPr>
                      <w:rFonts w:hint="eastAsia"/>
                      <w:sz w:val="21"/>
                      <w:szCs w:val="21"/>
                      <w:lang w:eastAsia="zh-CN"/>
                    </w:rPr>
                    <w:t>污染物</w:t>
                  </w:r>
                  <w:r>
                    <w:rPr>
                      <w:rFonts w:hint="eastAsia"/>
                      <w:sz w:val="21"/>
                      <w:szCs w:val="21"/>
                    </w:rPr>
                    <w:t>排放量</w:t>
                  </w:r>
                  <w:r>
                    <w:rPr>
                      <w:rFonts w:hint="eastAsia"/>
                      <w:sz w:val="21"/>
                      <w:szCs w:val="21"/>
                      <w:lang w:eastAsia="zh-CN"/>
                    </w:rPr>
                    <w:t>（</w:t>
                  </w:r>
                  <w:r>
                    <w:rPr>
                      <w:rFonts w:hint="eastAsia"/>
                      <w:sz w:val="21"/>
                      <w:szCs w:val="21"/>
                      <w:lang w:val="en-US" w:eastAsia="zh-CN"/>
                    </w:rPr>
                    <w:t>t/a</w:t>
                  </w:r>
                  <w:r>
                    <w:rPr>
                      <w:rFonts w:hint="eastAsia"/>
                      <w:sz w:val="21"/>
                      <w:szCs w:val="21"/>
                      <w:lang w:eastAsia="zh-CN"/>
                    </w:rPr>
                    <w:t>）</w:t>
                  </w:r>
                </w:p>
              </w:tc>
            </w:tr>
            <w:tr w14:paraId="251EA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956" w:type="pct"/>
                  <w:tcBorders>
                    <w:right w:val="single" w:color="auto" w:sz="4" w:space="0"/>
                  </w:tcBorders>
                  <w:shd w:val="clear" w:color="auto" w:fill="auto"/>
                  <w:noWrap w:val="0"/>
                  <w:vAlign w:val="center"/>
                </w:tcPr>
                <w:p w14:paraId="70FBA973">
                  <w:pPr>
                    <w:jc w:val="center"/>
                    <w:rPr>
                      <w:rFonts w:hint="eastAsia"/>
                      <w:sz w:val="21"/>
                      <w:szCs w:val="21"/>
                      <w:lang w:eastAsia="zh-CN"/>
                    </w:rPr>
                  </w:pPr>
                  <w:r>
                    <w:rPr>
                      <w:rFonts w:hint="eastAsia"/>
                      <w:szCs w:val="21"/>
                    </w:rPr>
                    <w:t>颗粒物</w:t>
                  </w:r>
                </w:p>
              </w:tc>
              <w:tc>
                <w:tcPr>
                  <w:tcW w:w="1230" w:type="pct"/>
                  <w:vMerge w:val="restart"/>
                  <w:tcBorders>
                    <w:right w:val="single" w:color="auto" w:sz="4" w:space="0"/>
                  </w:tcBorders>
                  <w:shd w:val="clear" w:color="auto" w:fill="auto"/>
                  <w:noWrap w:val="0"/>
                  <w:vAlign w:val="center"/>
                </w:tcPr>
                <w:p w14:paraId="250FC1DC">
                  <w:pPr>
                    <w:jc w:val="center"/>
                    <w:rPr>
                      <w:rFonts w:hint="default"/>
                      <w:sz w:val="21"/>
                      <w:szCs w:val="21"/>
                      <w:lang w:val="en-US"/>
                    </w:rPr>
                  </w:pPr>
                  <w:r>
                    <w:rPr>
                      <w:rFonts w:hint="eastAsia" w:ascii="Times New Roman" w:hAnsi="Times New Roman" w:eastAsia="宋体" w:cs="Times New Roman"/>
                      <w:b w:val="0"/>
                      <w:bCs w:val="0"/>
                      <w:sz w:val="21"/>
                      <w:szCs w:val="21"/>
                      <w:lang w:val="en-US" w:eastAsia="zh-CN"/>
                    </w:rPr>
                    <w:t>34818.63</w:t>
                  </w:r>
                </w:p>
              </w:tc>
              <w:tc>
                <w:tcPr>
                  <w:tcW w:w="1056" w:type="pct"/>
                  <w:tcBorders>
                    <w:right w:val="single" w:color="auto" w:sz="4" w:space="0"/>
                  </w:tcBorders>
                  <w:shd w:val="clear" w:color="auto" w:fill="auto"/>
                  <w:noWrap w:val="0"/>
                  <w:vAlign w:val="center"/>
                </w:tcPr>
                <w:p w14:paraId="389888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0.083</w:t>
                  </w:r>
                </w:p>
              </w:tc>
              <w:tc>
                <w:tcPr>
                  <w:tcW w:w="1112" w:type="pct"/>
                  <w:vMerge w:val="restart"/>
                  <w:tcBorders>
                    <w:left w:val="single" w:color="auto" w:sz="4" w:space="0"/>
                    <w:right w:val="single" w:color="auto" w:sz="4" w:space="0"/>
                  </w:tcBorders>
                  <w:shd w:val="clear" w:color="auto" w:fill="auto"/>
                  <w:noWrap w:val="0"/>
                  <w:vAlign w:val="center"/>
                </w:tcPr>
                <w:p w14:paraId="551744C7">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kern w:val="0"/>
                      <w:sz w:val="21"/>
                      <w:szCs w:val="21"/>
                      <w:lang w:val="en-US" w:eastAsia="zh-CN"/>
                    </w:rPr>
                    <w:t>4162.79</w:t>
                  </w:r>
                </w:p>
              </w:tc>
              <w:tc>
                <w:tcPr>
                  <w:tcW w:w="643" w:type="pct"/>
                  <w:tcBorders>
                    <w:left w:val="single" w:color="auto" w:sz="4" w:space="0"/>
                    <w:right w:val="single" w:color="auto" w:sz="4" w:space="0"/>
                  </w:tcBorders>
                  <w:shd w:val="clear" w:color="auto" w:fill="auto"/>
                  <w:noWrap w:val="0"/>
                  <w:vAlign w:val="center"/>
                </w:tcPr>
                <w:p w14:paraId="6C399D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0.01</w:t>
                  </w:r>
                </w:p>
              </w:tc>
            </w:tr>
            <w:tr w14:paraId="3E4BC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956" w:type="pct"/>
                  <w:tcBorders>
                    <w:right w:val="single" w:color="auto" w:sz="4" w:space="0"/>
                  </w:tcBorders>
                  <w:shd w:val="clear" w:color="auto" w:fill="auto"/>
                  <w:noWrap w:val="0"/>
                  <w:vAlign w:val="center"/>
                </w:tcPr>
                <w:p w14:paraId="282D02D0">
                  <w:pPr>
                    <w:jc w:val="center"/>
                    <w:rPr>
                      <w:rFonts w:hint="eastAsia" w:ascii="Times New Roman" w:hAnsi="Times New Roman" w:eastAsia="宋体"/>
                      <w:kern w:val="2"/>
                      <w:sz w:val="21"/>
                      <w:szCs w:val="21"/>
                      <w:lang w:val="en-US" w:eastAsia="zh-CN" w:bidi="ar-SA"/>
                    </w:rPr>
                  </w:pPr>
                  <w:r>
                    <w:rPr>
                      <w:rFonts w:hint="eastAsia"/>
                      <w:sz w:val="21"/>
                      <w:szCs w:val="21"/>
                      <w:lang w:eastAsia="zh-CN"/>
                    </w:rPr>
                    <w:t>甲醛</w:t>
                  </w:r>
                </w:p>
              </w:tc>
              <w:tc>
                <w:tcPr>
                  <w:tcW w:w="1230" w:type="pct"/>
                  <w:vMerge w:val="continue"/>
                  <w:tcBorders>
                    <w:right w:val="single" w:color="auto" w:sz="4" w:space="0"/>
                  </w:tcBorders>
                  <w:shd w:val="clear" w:color="auto" w:fill="auto"/>
                  <w:noWrap w:val="0"/>
                  <w:vAlign w:val="center"/>
                </w:tcPr>
                <w:p w14:paraId="644D676B">
                  <w:pPr>
                    <w:jc w:val="center"/>
                    <w:rPr>
                      <w:rFonts w:hint="default"/>
                      <w:sz w:val="21"/>
                      <w:szCs w:val="21"/>
                      <w:lang w:val="en-US"/>
                    </w:rPr>
                  </w:pPr>
                </w:p>
              </w:tc>
              <w:tc>
                <w:tcPr>
                  <w:tcW w:w="1056" w:type="pct"/>
                  <w:tcBorders>
                    <w:right w:val="single" w:color="auto" w:sz="4" w:space="0"/>
                  </w:tcBorders>
                  <w:shd w:val="clear" w:color="auto" w:fill="auto"/>
                  <w:noWrap w:val="0"/>
                  <w:vAlign w:val="center"/>
                </w:tcPr>
                <w:p w14:paraId="4EF520CD">
                  <w:pPr>
                    <w:keepNext w:val="0"/>
                    <w:keepLines w:val="0"/>
                    <w:widowControl/>
                    <w:suppressLineNumbers w:val="0"/>
                    <w:jc w:val="center"/>
                    <w:textAlignment w:val="center"/>
                    <w:rPr>
                      <w:rFonts w:hint="default" w:ascii="Times New Roman" w:hAnsi="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0.055 </w:t>
                  </w:r>
                </w:p>
              </w:tc>
              <w:tc>
                <w:tcPr>
                  <w:tcW w:w="1112" w:type="pct"/>
                  <w:vMerge w:val="continue"/>
                  <w:tcBorders>
                    <w:left w:val="single" w:color="auto" w:sz="4" w:space="0"/>
                    <w:right w:val="single" w:color="auto" w:sz="4" w:space="0"/>
                  </w:tcBorders>
                  <w:shd w:val="clear" w:color="auto" w:fill="auto"/>
                  <w:noWrap w:val="0"/>
                  <w:vAlign w:val="center"/>
                </w:tcPr>
                <w:p w14:paraId="753608D6">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643" w:type="pct"/>
                  <w:tcBorders>
                    <w:left w:val="single" w:color="auto" w:sz="4" w:space="0"/>
                    <w:right w:val="single" w:color="auto" w:sz="4" w:space="0"/>
                  </w:tcBorders>
                  <w:shd w:val="clear" w:color="auto" w:fill="auto"/>
                  <w:noWrap w:val="0"/>
                  <w:vAlign w:val="center"/>
                </w:tcPr>
                <w:p w14:paraId="1D874C6F">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w:t>
                  </w:r>
                  <w:r>
                    <w:rPr>
                      <w:rFonts w:hint="eastAsia" w:ascii="Times New Roman" w:hAnsi="Times New Roman" w:eastAsia="宋体" w:cs="Times New Roman"/>
                      <w:i w:val="0"/>
                      <w:iCs w:val="0"/>
                      <w:color w:val="000000"/>
                      <w:kern w:val="0"/>
                      <w:sz w:val="21"/>
                      <w:szCs w:val="21"/>
                      <w:u w:val="none"/>
                      <w:lang w:val="en-US" w:eastAsia="zh-CN" w:bidi="zh-HK"/>
                    </w:rPr>
                    <w:t>07</w:t>
                  </w:r>
                  <w:r>
                    <w:rPr>
                      <w:rFonts w:hint="default" w:ascii="Times New Roman" w:hAnsi="Times New Roman" w:eastAsia="宋体" w:cs="Times New Roman"/>
                      <w:i w:val="0"/>
                      <w:iCs w:val="0"/>
                      <w:color w:val="000000"/>
                      <w:kern w:val="0"/>
                      <w:sz w:val="21"/>
                      <w:szCs w:val="21"/>
                      <w:u w:val="none"/>
                      <w:lang w:val="en-US" w:eastAsia="zh-CN" w:bidi="zh-HK"/>
                    </w:rPr>
                    <w:t xml:space="preserve"> </w:t>
                  </w:r>
                </w:p>
              </w:tc>
            </w:tr>
            <w:tr w14:paraId="2FECA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956" w:type="pct"/>
                  <w:tcBorders>
                    <w:right w:val="single" w:color="auto" w:sz="4" w:space="0"/>
                  </w:tcBorders>
                  <w:shd w:val="clear" w:color="auto" w:fill="auto"/>
                  <w:noWrap w:val="0"/>
                  <w:vAlign w:val="center"/>
                </w:tcPr>
                <w:p w14:paraId="66BCD08D">
                  <w:pPr>
                    <w:jc w:val="center"/>
                    <w:rPr>
                      <w:rFonts w:hint="eastAsia" w:ascii="Times New Roman" w:hAnsi="Times New Roman"/>
                      <w:kern w:val="2"/>
                      <w:sz w:val="21"/>
                      <w:szCs w:val="21"/>
                      <w:lang w:val="en-US" w:eastAsia="zh-CN" w:bidi="ar-SA"/>
                    </w:rPr>
                  </w:pPr>
                  <w:r>
                    <w:rPr>
                      <w:rFonts w:hint="eastAsia"/>
                      <w:sz w:val="21"/>
                      <w:szCs w:val="21"/>
                      <w:lang w:eastAsia="zh-CN"/>
                    </w:rPr>
                    <w:t>甲醇</w:t>
                  </w:r>
                </w:p>
              </w:tc>
              <w:tc>
                <w:tcPr>
                  <w:tcW w:w="1230" w:type="pct"/>
                  <w:vMerge w:val="continue"/>
                  <w:tcBorders>
                    <w:right w:val="single" w:color="auto" w:sz="4" w:space="0"/>
                  </w:tcBorders>
                  <w:shd w:val="clear" w:color="auto" w:fill="auto"/>
                  <w:noWrap w:val="0"/>
                  <w:vAlign w:val="center"/>
                </w:tcPr>
                <w:p w14:paraId="096E549A">
                  <w:pPr>
                    <w:jc w:val="center"/>
                    <w:rPr>
                      <w:rFonts w:hint="eastAsia"/>
                      <w:sz w:val="21"/>
                      <w:szCs w:val="21"/>
                      <w:lang w:eastAsia="zh-CN"/>
                    </w:rPr>
                  </w:pPr>
                </w:p>
              </w:tc>
              <w:tc>
                <w:tcPr>
                  <w:tcW w:w="1056" w:type="pct"/>
                  <w:tcBorders>
                    <w:right w:val="single" w:color="auto" w:sz="4" w:space="0"/>
                  </w:tcBorders>
                  <w:shd w:val="clear" w:color="auto" w:fill="auto"/>
                  <w:noWrap w:val="0"/>
                  <w:vAlign w:val="center"/>
                </w:tcPr>
                <w:p w14:paraId="568D92D8">
                  <w:pPr>
                    <w:keepNext w:val="0"/>
                    <w:keepLines w:val="0"/>
                    <w:widowControl/>
                    <w:suppressLineNumbers w:val="0"/>
                    <w:jc w:val="center"/>
                    <w:textAlignment w:val="center"/>
                    <w:rPr>
                      <w:rFonts w:hint="default" w:ascii="Times New Roman" w:hAnsi="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1.671 </w:t>
                  </w:r>
                </w:p>
              </w:tc>
              <w:tc>
                <w:tcPr>
                  <w:tcW w:w="1112" w:type="pct"/>
                  <w:vMerge w:val="continue"/>
                  <w:tcBorders>
                    <w:left w:val="single" w:color="auto" w:sz="4" w:space="0"/>
                    <w:right w:val="single" w:color="auto" w:sz="4" w:space="0"/>
                  </w:tcBorders>
                  <w:shd w:val="clear" w:color="auto" w:fill="auto"/>
                  <w:noWrap w:val="0"/>
                  <w:vAlign w:val="center"/>
                </w:tcPr>
                <w:p w14:paraId="1C89A68E">
                  <w:pPr>
                    <w:keepNext w:val="0"/>
                    <w:keepLines w:val="0"/>
                    <w:widowControl/>
                    <w:suppressLineNumbers w:val="0"/>
                    <w:jc w:val="center"/>
                    <w:textAlignment w:val="center"/>
                    <w:rPr>
                      <w:rFonts w:hint="default" w:ascii="Times New Roman" w:hAnsi="Times New Roman" w:cs="Times New Roman"/>
                      <w:sz w:val="21"/>
                      <w:szCs w:val="21"/>
                    </w:rPr>
                  </w:pPr>
                </w:p>
              </w:tc>
              <w:tc>
                <w:tcPr>
                  <w:tcW w:w="643" w:type="pct"/>
                  <w:tcBorders>
                    <w:left w:val="single" w:color="auto" w:sz="4" w:space="0"/>
                    <w:right w:val="single" w:color="auto" w:sz="4" w:space="0"/>
                  </w:tcBorders>
                  <w:shd w:val="clear" w:color="auto" w:fill="auto"/>
                  <w:noWrap w:val="0"/>
                  <w:vAlign w:val="center"/>
                </w:tcPr>
                <w:p w14:paraId="241B0E42">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w:t>
                  </w:r>
                  <w:r>
                    <w:rPr>
                      <w:rFonts w:hint="eastAsia" w:ascii="Times New Roman" w:hAnsi="Times New Roman" w:eastAsia="宋体" w:cs="Times New Roman"/>
                      <w:i w:val="0"/>
                      <w:iCs w:val="0"/>
                      <w:color w:val="000000"/>
                      <w:kern w:val="0"/>
                      <w:sz w:val="21"/>
                      <w:szCs w:val="21"/>
                      <w:u w:val="none"/>
                      <w:lang w:val="en-US" w:eastAsia="zh-CN" w:bidi="zh-HK"/>
                    </w:rPr>
                    <w:t>2</w:t>
                  </w:r>
                </w:p>
              </w:tc>
            </w:tr>
            <w:tr w14:paraId="4E94C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956" w:type="pct"/>
                  <w:tcBorders>
                    <w:right w:val="single" w:color="auto" w:sz="4" w:space="0"/>
                  </w:tcBorders>
                  <w:shd w:val="clear" w:color="auto" w:fill="auto"/>
                  <w:noWrap w:val="0"/>
                  <w:vAlign w:val="center"/>
                </w:tcPr>
                <w:p w14:paraId="69E30A51">
                  <w:pPr>
                    <w:jc w:val="center"/>
                    <w:rPr>
                      <w:rFonts w:hint="eastAsia" w:ascii="Times New Roman" w:hAnsi="Times New Roman"/>
                      <w:kern w:val="2"/>
                      <w:sz w:val="21"/>
                      <w:szCs w:val="21"/>
                      <w:lang w:val="en-US" w:eastAsia="zh-CN" w:bidi="ar-SA"/>
                    </w:rPr>
                  </w:pPr>
                  <w:r>
                    <w:rPr>
                      <w:rFonts w:hint="eastAsia"/>
                      <w:sz w:val="21"/>
                      <w:szCs w:val="21"/>
                      <w:lang w:eastAsia="zh-CN"/>
                    </w:rPr>
                    <w:t>非甲烷总烃</w:t>
                  </w:r>
                </w:p>
              </w:tc>
              <w:tc>
                <w:tcPr>
                  <w:tcW w:w="1230" w:type="pct"/>
                  <w:vMerge w:val="continue"/>
                  <w:tcBorders>
                    <w:right w:val="single" w:color="auto" w:sz="4" w:space="0"/>
                  </w:tcBorders>
                  <w:shd w:val="clear" w:color="auto" w:fill="auto"/>
                  <w:noWrap w:val="0"/>
                  <w:vAlign w:val="center"/>
                </w:tcPr>
                <w:p w14:paraId="742C8236">
                  <w:pPr>
                    <w:jc w:val="center"/>
                    <w:rPr>
                      <w:rFonts w:hint="eastAsia"/>
                      <w:sz w:val="21"/>
                      <w:szCs w:val="21"/>
                      <w:lang w:eastAsia="zh-CN"/>
                    </w:rPr>
                  </w:pPr>
                </w:p>
              </w:tc>
              <w:tc>
                <w:tcPr>
                  <w:tcW w:w="1056" w:type="pct"/>
                  <w:tcBorders>
                    <w:right w:val="single" w:color="auto" w:sz="4" w:space="0"/>
                  </w:tcBorders>
                  <w:shd w:val="clear" w:color="auto" w:fill="auto"/>
                  <w:noWrap w:val="0"/>
                  <w:vAlign w:val="center"/>
                </w:tcPr>
                <w:p w14:paraId="40B0454C">
                  <w:pPr>
                    <w:keepNext w:val="0"/>
                    <w:keepLines w:val="0"/>
                    <w:widowControl/>
                    <w:suppressLineNumbers w:val="0"/>
                    <w:jc w:val="center"/>
                    <w:textAlignment w:val="center"/>
                    <w:rPr>
                      <w:rFonts w:hint="default" w:ascii="Times New Roman" w:hAnsi="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0.794 </w:t>
                  </w:r>
                </w:p>
              </w:tc>
              <w:tc>
                <w:tcPr>
                  <w:tcW w:w="1112" w:type="pct"/>
                  <w:vMerge w:val="continue"/>
                  <w:tcBorders>
                    <w:left w:val="single" w:color="auto" w:sz="4" w:space="0"/>
                    <w:right w:val="single" w:color="auto" w:sz="4" w:space="0"/>
                  </w:tcBorders>
                  <w:shd w:val="clear" w:color="auto" w:fill="auto"/>
                  <w:noWrap w:val="0"/>
                  <w:vAlign w:val="center"/>
                </w:tcPr>
                <w:p w14:paraId="3C457410">
                  <w:pPr>
                    <w:keepNext w:val="0"/>
                    <w:keepLines w:val="0"/>
                    <w:widowControl/>
                    <w:suppressLineNumbers w:val="0"/>
                    <w:jc w:val="center"/>
                    <w:textAlignment w:val="center"/>
                    <w:rPr>
                      <w:rFonts w:hint="default" w:ascii="Times New Roman" w:hAnsi="Times New Roman" w:cs="Times New Roman"/>
                      <w:sz w:val="21"/>
                      <w:szCs w:val="21"/>
                    </w:rPr>
                  </w:pPr>
                </w:p>
              </w:tc>
              <w:tc>
                <w:tcPr>
                  <w:tcW w:w="643" w:type="pct"/>
                  <w:tcBorders>
                    <w:left w:val="single" w:color="auto" w:sz="4" w:space="0"/>
                    <w:right w:val="single" w:color="auto" w:sz="4" w:space="0"/>
                  </w:tcBorders>
                  <w:shd w:val="clear" w:color="auto" w:fill="auto"/>
                  <w:noWrap w:val="0"/>
                  <w:vAlign w:val="center"/>
                </w:tcPr>
                <w:p w14:paraId="5AA77F05">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w:t>
                  </w:r>
                  <w:r>
                    <w:rPr>
                      <w:rFonts w:hint="eastAsia" w:ascii="Times New Roman" w:hAnsi="Times New Roman" w:eastAsia="宋体" w:cs="Times New Roman"/>
                      <w:i w:val="0"/>
                      <w:iCs w:val="0"/>
                      <w:color w:val="000000"/>
                      <w:kern w:val="0"/>
                      <w:sz w:val="21"/>
                      <w:szCs w:val="21"/>
                      <w:u w:val="none"/>
                      <w:lang w:val="en-US" w:eastAsia="zh-CN" w:bidi="zh-HK"/>
                    </w:rPr>
                    <w:t>095</w:t>
                  </w:r>
                  <w:r>
                    <w:rPr>
                      <w:rFonts w:hint="default" w:ascii="Times New Roman" w:hAnsi="Times New Roman" w:eastAsia="宋体" w:cs="Times New Roman"/>
                      <w:i w:val="0"/>
                      <w:iCs w:val="0"/>
                      <w:color w:val="000000"/>
                      <w:kern w:val="0"/>
                      <w:sz w:val="21"/>
                      <w:szCs w:val="21"/>
                      <w:u w:val="none"/>
                      <w:lang w:val="en-US" w:eastAsia="zh-CN" w:bidi="zh-HK"/>
                    </w:rPr>
                    <w:t xml:space="preserve"> </w:t>
                  </w:r>
                </w:p>
              </w:tc>
            </w:tr>
            <w:tr w14:paraId="33783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956" w:type="pct"/>
                  <w:tcBorders>
                    <w:right w:val="single" w:color="auto" w:sz="4" w:space="0"/>
                  </w:tcBorders>
                  <w:shd w:val="clear" w:color="auto" w:fill="auto"/>
                  <w:noWrap w:val="0"/>
                  <w:vAlign w:val="center"/>
                </w:tcPr>
                <w:p w14:paraId="77B3ACB1">
                  <w:pPr>
                    <w:jc w:val="center"/>
                    <w:rPr>
                      <w:rFonts w:hint="eastAsia" w:ascii="Times New Roman" w:hAnsi="Times New Roman"/>
                      <w:kern w:val="2"/>
                      <w:sz w:val="21"/>
                      <w:szCs w:val="21"/>
                      <w:lang w:val="en-US" w:eastAsia="zh-CN" w:bidi="ar-SA"/>
                    </w:rPr>
                  </w:pPr>
                  <w:r>
                    <w:rPr>
                      <w:rFonts w:hint="eastAsia"/>
                      <w:sz w:val="21"/>
                      <w:szCs w:val="21"/>
                    </w:rPr>
                    <w:t>氮氧化物</w:t>
                  </w:r>
                </w:p>
              </w:tc>
              <w:tc>
                <w:tcPr>
                  <w:tcW w:w="1230" w:type="pct"/>
                  <w:vMerge w:val="continue"/>
                  <w:tcBorders>
                    <w:right w:val="single" w:color="auto" w:sz="4" w:space="0"/>
                  </w:tcBorders>
                  <w:shd w:val="clear" w:color="auto" w:fill="auto"/>
                  <w:noWrap w:val="0"/>
                  <w:vAlign w:val="center"/>
                </w:tcPr>
                <w:p w14:paraId="2629699C">
                  <w:pPr>
                    <w:jc w:val="center"/>
                    <w:rPr>
                      <w:rFonts w:hint="eastAsia"/>
                      <w:sz w:val="21"/>
                      <w:szCs w:val="21"/>
                      <w:lang w:eastAsia="zh-CN"/>
                    </w:rPr>
                  </w:pPr>
                </w:p>
              </w:tc>
              <w:tc>
                <w:tcPr>
                  <w:tcW w:w="1056" w:type="pct"/>
                  <w:tcBorders>
                    <w:right w:val="single" w:color="auto" w:sz="4" w:space="0"/>
                  </w:tcBorders>
                  <w:shd w:val="clear" w:color="auto" w:fill="auto"/>
                  <w:noWrap w:val="0"/>
                  <w:vAlign w:val="center"/>
                </w:tcPr>
                <w:p w14:paraId="0A2971E2">
                  <w:pPr>
                    <w:keepNext w:val="0"/>
                    <w:keepLines w:val="0"/>
                    <w:widowControl/>
                    <w:suppressLineNumbers w:val="0"/>
                    <w:jc w:val="center"/>
                    <w:textAlignment w:val="center"/>
                    <w:rPr>
                      <w:rFonts w:hint="default" w:ascii="Times New Roman" w:hAnsi="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 xml:space="preserve">0.360 </w:t>
                  </w:r>
                </w:p>
              </w:tc>
              <w:tc>
                <w:tcPr>
                  <w:tcW w:w="1112" w:type="pct"/>
                  <w:vMerge w:val="continue"/>
                  <w:tcBorders>
                    <w:left w:val="single" w:color="auto" w:sz="4" w:space="0"/>
                    <w:right w:val="single" w:color="auto" w:sz="4" w:space="0"/>
                  </w:tcBorders>
                  <w:shd w:val="clear" w:color="auto" w:fill="auto"/>
                  <w:noWrap w:val="0"/>
                  <w:vAlign w:val="center"/>
                </w:tcPr>
                <w:p w14:paraId="51C03095">
                  <w:pPr>
                    <w:keepNext w:val="0"/>
                    <w:keepLines w:val="0"/>
                    <w:widowControl/>
                    <w:suppressLineNumbers w:val="0"/>
                    <w:jc w:val="center"/>
                    <w:textAlignment w:val="center"/>
                    <w:rPr>
                      <w:rFonts w:hint="default" w:ascii="Times New Roman" w:hAnsi="Times New Roman" w:cs="Times New Roman"/>
                      <w:sz w:val="21"/>
                      <w:szCs w:val="21"/>
                    </w:rPr>
                  </w:pPr>
                </w:p>
              </w:tc>
              <w:tc>
                <w:tcPr>
                  <w:tcW w:w="643" w:type="pct"/>
                  <w:tcBorders>
                    <w:left w:val="single" w:color="auto" w:sz="4" w:space="0"/>
                    <w:right w:val="single" w:color="auto" w:sz="4" w:space="0"/>
                  </w:tcBorders>
                  <w:shd w:val="clear" w:color="auto" w:fill="auto"/>
                  <w:noWrap w:val="0"/>
                  <w:vAlign w:val="center"/>
                </w:tcPr>
                <w:p w14:paraId="068FAE5F">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0.043</w:t>
                  </w:r>
                </w:p>
              </w:tc>
            </w:tr>
          </w:tbl>
          <w:p w14:paraId="761F42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eastAsia="zh-CN"/>
              </w:rPr>
              <w:t>本项目年运行时间为</w:t>
            </w:r>
            <w:r>
              <w:rPr>
                <w:rFonts w:hint="default" w:ascii="Times New Roman" w:hAnsi="Times New Roman" w:cs="Times New Roman"/>
                <w:kern w:val="0"/>
                <w:sz w:val="24"/>
                <w:szCs w:val="24"/>
                <w:lang w:val="en-US" w:eastAsia="zh-CN"/>
              </w:rPr>
              <w:t>7200h，风量为</w:t>
            </w:r>
            <w:r>
              <w:rPr>
                <w:rFonts w:hint="default" w:ascii="Times New Roman" w:hAnsi="Times New Roman" w:eastAsia="宋体" w:cs="Times New Roman"/>
                <w:i w:val="0"/>
                <w:iCs w:val="0"/>
                <w:color w:val="000000"/>
                <w:kern w:val="0"/>
                <w:sz w:val="24"/>
                <w:szCs w:val="24"/>
                <w:u w:val="none"/>
                <w:lang w:val="en-US" w:eastAsia="zh-CN" w:bidi="zh-HK"/>
              </w:rPr>
              <w:t>21830</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/h</w:t>
            </w:r>
            <w:r>
              <w:rPr>
                <w:rFonts w:hint="default" w:ascii="Times New Roman" w:hAnsi="Times New Roman" w:eastAsia="宋体" w:cs="Times New Roman"/>
                <w:i w:val="0"/>
                <w:iCs w:val="0"/>
                <w:color w:val="000000"/>
                <w:kern w:val="0"/>
                <w:sz w:val="24"/>
                <w:szCs w:val="24"/>
                <w:u w:val="none"/>
                <w:lang w:val="en-US" w:eastAsia="zh-CN" w:bidi="zh-HK"/>
              </w:rPr>
              <w:t>-38202</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/h，本次取</w:t>
            </w:r>
            <w:r>
              <w:rPr>
                <w:rFonts w:hint="default" w:ascii="Times New Roman" w:hAnsi="Times New Roman" w:eastAsia="宋体" w:cs="Times New Roman"/>
                <w:i w:val="0"/>
                <w:iCs w:val="0"/>
                <w:color w:val="000000"/>
                <w:kern w:val="0"/>
                <w:sz w:val="24"/>
                <w:szCs w:val="24"/>
                <w:u w:val="none"/>
                <w:lang w:val="en-US" w:eastAsia="zh-CN" w:bidi="zh-HK"/>
              </w:rPr>
              <w:t>21830</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/h计</w:t>
            </w:r>
            <w:r>
              <w:rPr>
                <w:rFonts w:hint="default" w:ascii="Times New Roman" w:hAnsi="Times New Roman" w:eastAsia="宋体" w:cs="Times New Roman"/>
                <w:sz w:val="24"/>
                <w:szCs w:val="24"/>
                <w:vertAlign w:val="baseline"/>
                <w:lang w:val="en-US" w:eastAsia="zh-CN"/>
              </w:rPr>
              <w:t>算，</w:t>
            </w:r>
            <w:r>
              <w:rPr>
                <w:rFonts w:hint="eastAsia" w:ascii="Times New Roman" w:hAnsi="Times New Roman" w:eastAsia="宋体" w:cs="Times New Roman"/>
                <w:sz w:val="24"/>
                <w:szCs w:val="24"/>
                <w:vertAlign w:val="baseline"/>
                <w:lang w:val="en-US" w:eastAsia="zh-CN"/>
              </w:rPr>
              <w:t>旋风除尘器（颗粒物去除效率按95%计）+二级水膜除尘（水溶性有机物去除效率按70%计，颗粒物去除效率按95%计）</w:t>
            </w:r>
            <w:r>
              <w:rPr>
                <w:rFonts w:hint="default" w:ascii="Times New Roman" w:hAnsi="Times New Roman" w:eastAsia="宋体" w:cs="Times New Roman"/>
                <w:sz w:val="24"/>
                <w:szCs w:val="24"/>
                <w:vertAlign w:val="baseline"/>
                <w:lang w:val="en-US" w:eastAsia="zh-CN"/>
              </w:rPr>
              <w:t>，</w:t>
            </w:r>
            <w:r>
              <w:rPr>
                <w:rFonts w:hint="default" w:ascii="Times New Roman" w:hAnsi="Times New Roman" w:cs="Times New Roman"/>
                <w:sz w:val="24"/>
                <w:szCs w:val="24"/>
                <w:vertAlign w:val="baseline"/>
                <w:lang w:val="en-US" w:eastAsia="zh-CN"/>
              </w:rPr>
              <w:t>则本项目污染物产排污情况见下表。</w:t>
            </w:r>
          </w:p>
          <w:p w14:paraId="37C9BE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eastAsia="zh-CN"/>
              </w:rPr>
              <w:t>表</w:t>
            </w:r>
            <w:r>
              <w:rPr>
                <w:rFonts w:hint="default" w:ascii="Times New Roman" w:hAnsi="Times New Roman" w:cs="Times New Roman"/>
                <w:kern w:val="0"/>
                <w:sz w:val="24"/>
                <w:lang w:val="en-US" w:eastAsia="zh-CN"/>
              </w:rPr>
              <w:t>4-4  热风炉燃烧废气污染物产生量一览表</w:t>
            </w:r>
          </w:p>
          <w:tbl>
            <w:tblPr>
              <w:tblStyle w:val="1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91"/>
              <w:gridCol w:w="899"/>
              <w:gridCol w:w="710"/>
              <w:gridCol w:w="942"/>
              <w:gridCol w:w="1064"/>
              <w:gridCol w:w="446"/>
              <w:gridCol w:w="794"/>
              <w:gridCol w:w="824"/>
              <w:gridCol w:w="1006"/>
              <w:gridCol w:w="622"/>
            </w:tblGrid>
            <w:tr w14:paraId="50FCD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8" w:hRule="atLeast"/>
              </w:trPr>
              <w:tc>
                <w:tcPr>
                  <w:tcW w:w="441" w:type="pct"/>
                  <w:vMerge w:val="restart"/>
                  <w:tcBorders>
                    <w:right w:val="single" w:color="auto" w:sz="4" w:space="0"/>
                  </w:tcBorders>
                  <w:shd w:val="clear" w:color="auto" w:fill="auto"/>
                  <w:noWrap w:val="0"/>
                  <w:vAlign w:val="center"/>
                </w:tcPr>
                <w:p w14:paraId="2679039E">
                  <w:pPr>
                    <w:jc w:val="center"/>
                    <w:rPr>
                      <w:sz w:val="21"/>
                      <w:szCs w:val="21"/>
                    </w:rPr>
                  </w:pPr>
                  <w:r>
                    <w:rPr>
                      <w:rFonts w:hint="eastAsia"/>
                      <w:sz w:val="21"/>
                      <w:szCs w:val="21"/>
                    </w:rPr>
                    <w:t>污染物</w:t>
                  </w:r>
                </w:p>
              </w:tc>
              <w:tc>
                <w:tcPr>
                  <w:tcW w:w="479" w:type="pct"/>
                  <w:vMerge w:val="restart"/>
                  <w:tcBorders>
                    <w:left w:val="single" w:color="auto" w:sz="4" w:space="0"/>
                    <w:right w:val="single" w:color="auto" w:sz="4" w:space="0"/>
                  </w:tcBorders>
                  <w:shd w:val="clear" w:color="auto" w:fill="auto"/>
                  <w:noWrap w:val="0"/>
                  <w:vAlign w:val="center"/>
                </w:tcPr>
                <w:p w14:paraId="1926F210">
                  <w:pPr>
                    <w:jc w:val="center"/>
                    <w:rPr>
                      <w:rFonts w:hint="eastAsia" w:eastAsia="宋体"/>
                      <w:sz w:val="21"/>
                      <w:szCs w:val="21"/>
                      <w:lang w:eastAsia="zh-CN"/>
                    </w:rPr>
                  </w:pPr>
                  <w:r>
                    <w:rPr>
                      <w:rFonts w:hint="eastAsia"/>
                      <w:sz w:val="21"/>
                      <w:szCs w:val="21"/>
                      <w:lang w:eastAsia="zh-CN"/>
                    </w:rPr>
                    <w:t>尾气燃烧量（</w:t>
                  </w:r>
                  <w:r>
                    <w:rPr>
                      <w:rFonts w:hint="eastAsia"/>
                      <w:sz w:val="21"/>
                      <w:szCs w:val="21"/>
                      <w:lang w:val="en-US" w:eastAsia="zh-CN"/>
                    </w:rPr>
                    <w:t>t/a</w:t>
                  </w:r>
                  <w:r>
                    <w:rPr>
                      <w:rFonts w:hint="eastAsia"/>
                      <w:sz w:val="21"/>
                      <w:szCs w:val="21"/>
                      <w:lang w:eastAsia="zh-CN"/>
                    </w:rPr>
                    <w:t>）</w:t>
                  </w:r>
                </w:p>
              </w:tc>
              <w:tc>
                <w:tcPr>
                  <w:tcW w:w="1725" w:type="pct"/>
                  <w:gridSpan w:val="3"/>
                  <w:tcBorders>
                    <w:left w:val="single" w:color="auto" w:sz="4" w:space="0"/>
                    <w:right w:val="single" w:color="auto" w:sz="4" w:space="0"/>
                  </w:tcBorders>
                  <w:shd w:val="clear" w:color="auto" w:fill="auto"/>
                  <w:noWrap w:val="0"/>
                  <w:vAlign w:val="center"/>
                </w:tcPr>
                <w:p w14:paraId="20E7F9A9">
                  <w:pPr>
                    <w:jc w:val="center"/>
                    <w:rPr>
                      <w:rFonts w:hint="eastAsia"/>
                      <w:sz w:val="21"/>
                      <w:szCs w:val="21"/>
                      <w:lang w:eastAsia="zh-CN"/>
                    </w:rPr>
                  </w:pPr>
                  <w:r>
                    <w:rPr>
                      <w:rFonts w:hint="eastAsia"/>
                      <w:sz w:val="21"/>
                      <w:szCs w:val="21"/>
                      <w:lang w:eastAsia="zh-CN"/>
                    </w:rPr>
                    <w:t>污染物产生情况</w:t>
                  </w:r>
                </w:p>
              </w:tc>
              <w:tc>
                <w:tcPr>
                  <w:tcW w:w="288" w:type="pct"/>
                  <w:vMerge w:val="restart"/>
                  <w:tcBorders>
                    <w:left w:val="single" w:color="auto" w:sz="4" w:space="0"/>
                    <w:right w:val="single" w:color="auto" w:sz="4" w:space="0"/>
                  </w:tcBorders>
                  <w:shd w:val="clear" w:color="auto" w:fill="auto"/>
                  <w:noWrap w:val="0"/>
                  <w:vAlign w:val="center"/>
                </w:tcPr>
                <w:p w14:paraId="0A2E8482">
                  <w:pPr>
                    <w:jc w:val="center"/>
                    <w:rPr>
                      <w:rFonts w:hint="eastAsia"/>
                      <w:sz w:val="21"/>
                      <w:szCs w:val="21"/>
                      <w:lang w:eastAsia="zh-CN"/>
                    </w:rPr>
                  </w:pPr>
                  <w:r>
                    <w:rPr>
                      <w:rFonts w:hint="eastAsia"/>
                      <w:sz w:val="21"/>
                      <w:szCs w:val="21"/>
                      <w:lang w:eastAsia="zh-CN"/>
                    </w:rPr>
                    <w:t>治理措施</w:t>
                  </w:r>
                </w:p>
              </w:tc>
              <w:tc>
                <w:tcPr>
                  <w:tcW w:w="1666" w:type="pct"/>
                  <w:gridSpan w:val="3"/>
                  <w:tcBorders>
                    <w:left w:val="single" w:color="auto" w:sz="4" w:space="0"/>
                    <w:right w:val="single" w:color="auto" w:sz="4" w:space="0"/>
                  </w:tcBorders>
                  <w:shd w:val="clear" w:color="auto" w:fill="auto"/>
                  <w:noWrap w:val="0"/>
                  <w:vAlign w:val="center"/>
                </w:tcPr>
                <w:p w14:paraId="19E36B50">
                  <w:pPr>
                    <w:jc w:val="center"/>
                    <w:rPr>
                      <w:rFonts w:hint="eastAsia"/>
                      <w:sz w:val="21"/>
                      <w:szCs w:val="21"/>
                      <w:lang w:eastAsia="zh-CN"/>
                    </w:rPr>
                  </w:pPr>
                  <w:r>
                    <w:rPr>
                      <w:rFonts w:hint="eastAsia"/>
                      <w:sz w:val="21"/>
                      <w:szCs w:val="21"/>
                      <w:lang w:eastAsia="zh-CN"/>
                    </w:rPr>
                    <w:t>污染物排放情况</w:t>
                  </w:r>
                </w:p>
              </w:tc>
              <w:tc>
                <w:tcPr>
                  <w:tcW w:w="397" w:type="pct"/>
                  <w:vMerge w:val="restart"/>
                  <w:tcBorders>
                    <w:left w:val="single" w:color="auto" w:sz="4" w:space="0"/>
                    <w:right w:val="single" w:color="auto" w:sz="4" w:space="0"/>
                  </w:tcBorders>
                  <w:shd w:val="clear" w:color="auto" w:fill="auto"/>
                  <w:noWrap w:val="0"/>
                  <w:vAlign w:val="center"/>
                </w:tcPr>
                <w:p w14:paraId="1F774FEC">
                  <w:pPr>
                    <w:jc w:val="center"/>
                    <w:rPr>
                      <w:rFonts w:hint="eastAsia"/>
                      <w:sz w:val="21"/>
                      <w:szCs w:val="21"/>
                      <w:lang w:eastAsia="zh-CN"/>
                    </w:rPr>
                  </w:pPr>
                  <w:r>
                    <w:rPr>
                      <w:rFonts w:hint="eastAsia"/>
                      <w:sz w:val="21"/>
                      <w:szCs w:val="21"/>
                      <w:lang w:eastAsia="zh-CN"/>
                    </w:rPr>
                    <w:t>计算方法</w:t>
                  </w:r>
                </w:p>
              </w:tc>
            </w:tr>
            <w:tr w14:paraId="0E490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41" w:type="pct"/>
                  <w:vMerge w:val="continue"/>
                  <w:tcBorders>
                    <w:right w:val="single" w:color="auto" w:sz="4" w:space="0"/>
                  </w:tcBorders>
                  <w:shd w:val="clear" w:color="auto" w:fill="auto"/>
                  <w:noWrap w:val="0"/>
                  <w:vAlign w:val="center"/>
                </w:tcPr>
                <w:p w14:paraId="6DF33F17">
                  <w:pPr>
                    <w:jc w:val="center"/>
                    <w:rPr>
                      <w:rFonts w:hint="eastAsia"/>
                      <w:sz w:val="21"/>
                      <w:szCs w:val="21"/>
                    </w:rPr>
                  </w:pPr>
                </w:p>
              </w:tc>
              <w:tc>
                <w:tcPr>
                  <w:tcW w:w="479" w:type="pct"/>
                  <w:vMerge w:val="continue"/>
                  <w:tcBorders>
                    <w:left w:val="single" w:color="auto" w:sz="4" w:space="0"/>
                    <w:right w:val="single" w:color="auto" w:sz="4" w:space="0"/>
                  </w:tcBorders>
                  <w:shd w:val="clear" w:color="auto" w:fill="auto"/>
                  <w:noWrap w:val="0"/>
                  <w:vAlign w:val="center"/>
                </w:tcPr>
                <w:p w14:paraId="5D92BB91">
                  <w:pPr>
                    <w:jc w:val="center"/>
                    <w:rPr>
                      <w:rFonts w:hint="eastAsia"/>
                      <w:sz w:val="21"/>
                      <w:szCs w:val="21"/>
                      <w:lang w:eastAsia="zh-CN"/>
                    </w:rPr>
                  </w:pPr>
                </w:p>
              </w:tc>
              <w:tc>
                <w:tcPr>
                  <w:tcW w:w="453" w:type="pct"/>
                  <w:tcBorders>
                    <w:top w:val="single" w:color="auto" w:sz="4" w:space="0"/>
                    <w:left w:val="single" w:color="auto" w:sz="4" w:space="0"/>
                    <w:right w:val="single" w:color="auto" w:sz="4" w:space="0"/>
                  </w:tcBorders>
                  <w:shd w:val="clear" w:color="auto" w:fill="auto"/>
                  <w:noWrap w:val="0"/>
                  <w:vAlign w:val="center"/>
                </w:tcPr>
                <w:p w14:paraId="7340C8AC">
                  <w:pPr>
                    <w:jc w:val="center"/>
                    <w:rPr>
                      <w:rFonts w:hint="eastAsia" w:ascii="Times New Roman" w:hAnsi="Times New Roman"/>
                      <w:kern w:val="2"/>
                      <w:sz w:val="21"/>
                      <w:szCs w:val="21"/>
                      <w:lang w:val="en-US" w:eastAsia="zh-CN" w:bidi="ar-SA"/>
                    </w:rPr>
                  </w:pPr>
                  <w:r>
                    <w:rPr>
                      <w:rFonts w:hint="eastAsia"/>
                      <w:sz w:val="21"/>
                      <w:szCs w:val="21"/>
                      <w:lang w:eastAsia="zh-CN"/>
                    </w:rPr>
                    <w:t>产生</w:t>
                  </w:r>
                  <w:r>
                    <w:rPr>
                      <w:sz w:val="21"/>
                      <w:szCs w:val="21"/>
                    </w:rPr>
                    <w:t>量</w:t>
                  </w:r>
                  <w:r>
                    <w:rPr>
                      <w:rFonts w:hint="eastAsia"/>
                      <w:sz w:val="21"/>
                      <w:szCs w:val="21"/>
                      <w:lang w:val="en-US" w:eastAsia="zh-CN"/>
                    </w:rPr>
                    <w:t>(t/a)</w:t>
                  </w:r>
                </w:p>
              </w:tc>
              <w:tc>
                <w:tcPr>
                  <w:tcW w:w="598" w:type="pct"/>
                  <w:tcBorders>
                    <w:top w:val="single" w:color="auto" w:sz="4" w:space="0"/>
                    <w:left w:val="single" w:color="auto" w:sz="4" w:space="0"/>
                    <w:right w:val="single" w:color="auto" w:sz="4" w:space="0"/>
                  </w:tcBorders>
                  <w:shd w:val="clear" w:color="auto" w:fill="auto"/>
                  <w:noWrap w:val="0"/>
                  <w:vAlign w:val="center"/>
                </w:tcPr>
                <w:p w14:paraId="7AFE9F0B">
                  <w:pPr>
                    <w:jc w:val="center"/>
                    <w:rPr>
                      <w:rFonts w:hint="eastAsia"/>
                      <w:sz w:val="21"/>
                      <w:szCs w:val="21"/>
                      <w:lang w:eastAsia="zh-CN"/>
                    </w:rPr>
                  </w:pPr>
                  <w:r>
                    <w:rPr>
                      <w:rFonts w:hint="eastAsia"/>
                      <w:sz w:val="21"/>
                      <w:szCs w:val="21"/>
                      <w:lang w:eastAsia="zh-CN"/>
                    </w:rPr>
                    <w:t>产生</w:t>
                  </w:r>
                </w:p>
                <w:p w14:paraId="29E1711E">
                  <w:pPr>
                    <w:jc w:val="center"/>
                    <w:rPr>
                      <w:rFonts w:hint="eastAsia" w:ascii="Times New Roman" w:hAnsi="Times New Roman"/>
                      <w:kern w:val="2"/>
                      <w:sz w:val="21"/>
                      <w:szCs w:val="21"/>
                      <w:lang w:val="en-US" w:eastAsia="zh-CN" w:bidi="ar-SA"/>
                    </w:rPr>
                  </w:pPr>
                  <w:r>
                    <w:rPr>
                      <w:rFonts w:hint="eastAsia"/>
                      <w:sz w:val="21"/>
                      <w:szCs w:val="21"/>
                      <w:lang w:eastAsia="zh-CN"/>
                    </w:rPr>
                    <w:t>速率（</w:t>
                  </w:r>
                  <w:r>
                    <w:rPr>
                      <w:rFonts w:hint="eastAsia"/>
                      <w:sz w:val="21"/>
                      <w:szCs w:val="21"/>
                      <w:lang w:val="en-US" w:eastAsia="zh-CN"/>
                    </w:rPr>
                    <w:t>kg/h)</w:t>
                  </w:r>
                </w:p>
              </w:tc>
              <w:tc>
                <w:tcPr>
                  <w:tcW w:w="673" w:type="pct"/>
                  <w:tcBorders>
                    <w:top w:val="single" w:color="auto" w:sz="4" w:space="0"/>
                    <w:left w:val="single" w:color="auto" w:sz="4" w:space="0"/>
                    <w:right w:val="single" w:color="auto" w:sz="4" w:space="0"/>
                  </w:tcBorders>
                  <w:shd w:val="clear" w:color="auto" w:fill="auto"/>
                  <w:noWrap w:val="0"/>
                  <w:vAlign w:val="center"/>
                </w:tcPr>
                <w:p w14:paraId="5DC8E626">
                  <w:pPr>
                    <w:jc w:val="center"/>
                    <w:rPr>
                      <w:rFonts w:hint="eastAsia"/>
                      <w:sz w:val="21"/>
                      <w:szCs w:val="21"/>
                      <w:lang w:eastAsia="zh-CN"/>
                    </w:rPr>
                  </w:pPr>
                  <w:r>
                    <w:rPr>
                      <w:rFonts w:hint="eastAsia"/>
                      <w:sz w:val="21"/>
                      <w:szCs w:val="21"/>
                      <w:lang w:eastAsia="zh-CN"/>
                    </w:rPr>
                    <w:t>产生</w:t>
                  </w:r>
                </w:p>
                <w:p w14:paraId="214A78F3">
                  <w:pPr>
                    <w:jc w:val="center"/>
                    <w:rPr>
                      <w:rFonts w:hint="eastAsia" w:ascii="Times New Roman" w:hAnsi="Times New Roman"/>
                      <w:kern w:val="2"/>
                      <w:sz w:val="21"/>
                      <w:szCs w:val="21"/>
                      <w:lang w:val="en-US" w:eastAsia="zh-CN" w:bidi="ar-SA"/>
                    </w:rPr>
                  </w:pPr>
                  <w:r>
                    <w:rPr>
                      <w:rFonts w:hint="eastAsia"/>
                      <w:sz w:val="21"/>
                      <w:szCs w:val="21"/>
                      <w:lang w:eastAsia="zh-CN"/>
                    </w:rPr>
                    <w:t>浓度（</w:t>
                  </w:r>
                  <w:r>
                    <w:rPr>
                      <w:rFonts w:hint="eastAsia"/>
                      <w:sz w:val="21"/>
                      <w:szCs w:val="21"/>
                      <w:lang w:val="en-US" w:eastAsia="zh-CN"/>
                    </w:rPr>
                    <w:t>mg/m</w:t>
                  </w:r>
                  <w:r>
                    <w:rPr>
                      <w:rFonts w:hint="eastAsia"/>
                      <w:sz w:val="21"/>
                      <w:szCs w:val="21"/>
                      <w:vertAlign w:val="superscript"/>
                      <w:lang w:val="en-US" w:eastAsia="zh-CN"/>
                    </w:rPr>
                    <w:t>3</w:t>
                  </w:r>
                  <w:r>
                    <w:rPr>
                      <w:rFonts w:hint="eastAsia"/>
                      <w:sz w:val="21"/>
                      <w:szCs w:val="21"/>
                      <w:lang w:val="en-US" w:eastAsia="zh-CN"/>
                    </w:rPr>
                    <w:t>)</w:t>
                  </w:r>
                </w:p>
              </w:tc>
              <w:tc>
                <w:tcPr>
                  <w:tcW w:w="288" w:type="pct"/>
                  <w:vMerge w:val="continue"/>
                  <w:tcBorders>
                    <w:left w:val="single" w:color="auto" w:sz="4" w:space="0"/>
                    <w:right w:val="single" w:color="auto" w:sz="4" w:space="0"/>
                  </w:tcBorders>
                  <w:shd w:val="clear" w:color="auto" w:fill="auto"/>
                  <w:noWrap w:val="0"/>
                  <w:vAlign w:val="center"/>
                </w:tcPr>
                <w:p w14:paraId="1158F01C">
                  <w:pPr>
                    <w:jc w:val="center"/>
                    <w:rPr>
                      <w:rFonts w:hint="eastAsia"/>
                      <w:sz w:val="21"/>
                      <w:szCs w:val="21"/>
                      <w:lang w:eastAsia="zh-CN"/>
                    </w:rPr>
                  </w:pPr>
                </w:p>
              </w:tc>
              <w:tc>
                <w:tcPr>
                  <w:tcW w:w="501" w:type="pct"/>
                  <w:tcBorders>
                    <w:top w:val="single" w:color="auto" w:sz="4" w:space="0"/>
                    <w:left w:val="single" w:color="auto" w:sz="4" w:space="0"/>
                    <w:right w:val="single" w:color="auto" w:sz="4" w:space="0"/>
                  </w:tcBorders>
                  <w:shd w:val="clear" w:color="auto" w:fill="auto"/>
                  <w:noWrap w:val="0"/>
                  <w:vAlign w:val="center"/>
                </w:tcPr>
                <w:p w14:paraId="753D5F4E">
                  <w:pPr>
                    <w:jc w:val="center"/>
                    <w:rPr>
                      <w:rFonts w:hint="eastAsia" w:ascii="Times New Roman" w:hAnsi="Times New Roman"/>
                      <w:kern w:val="2"/>
                      <w:sz w:val="21"/>
                      <w:szCs w:val="21"/>
                      <w:lang w:val="en-US" w:eastAsia="zh-CN" w:bidi="ar-SA"/>
                    </w:rPr>
                  </w:pPr>
                  <w:r>
                    <w:rPr>
                      <w:rFonts w:hint="eastAsia"/>
                      <w:sz w:val="21"/>
                      <w:szCs w:val="21"/>
                      <w:lang w:eastAsia="zh-CN"/>
                    </w:rPr>
                    <w:t>产生</w:t>
                  </w:r>
                  <w:r>
                    <w:rPr>
                      <w:sz w:val="21"/>
                      <w:szCs w:val="21"/>
                    </w:rPr>
                    <w:t>量</w:t>
                  </w:r>
                  <w:r>
                    <w:rPr>
                      <w:rFonts w:hint="eastAsia"/>
                      <w:sz w:val="21"/>
                      <w:szCs w:val="21"/>
                      <w:lang w:val="en-US" w:eastAsia="zh-CN"/>
                    </w:rPr>
                    <w:t>(t/a)</w:t>
                  </w:r>
                </w:p>
              </w:tc>
              <w:tc>
                <w:tcPr>
                  <w:tcW w:w="528" w:type="pct"/>
                  <w:tcBorders>
                    <w:top w:val="single" w:color="auto" w:sz="4" w:space="0"/>
                    <w:left w:val="single" w:color="auto" w:sz="4" w:space="0"/>
                    <w:right w:val="single" w:color="auto" w:sz="4" w:space="0"/>
                  </w:tcBorders>
                  <w:shd w:val="clear" w:color="auto" w:fill="auto"/>
                  <w:noWrap w:val="0"/>
                  <w:vAlign w:val="center"/>
                </w:tcPr>
                <w:p w14:paraId="154DDCDF">
                  <w:pPr>
                    <w:jc w:val="center"/>
                    <w:rPr>
                      <w:rFonts w:hint="eastAsia" w:ascii="Times New Roman" w:hAnsi="Times New Roman"/>
                      <w:kern w:val="2"/>
                      <w:sz w:val="21"/>
                      <w:szCs w:val="21"/>
                      <w:lang w:val="en-US" w:eastAsia="zh-CN" w:bidi="ar-SA"/>
                    </w:rPr>
                  </w:pPr>
                  <w:r>
                    <w:rPr>
                      <w:rFonts w:hint="eastAsia"/>
                      <w:sz w:val="21"/>
                      <w:szCs w:val="21"/>
                      <w:lang w:eastAsia="zh-CN"/>
                    </w:rPr>
                    <w:t>速率</w:t>
                  </w:r>
                  <w:r>
                    <w:rPr>
                      <w:rFonts w:hint="eastAsia"/>
                      <w:sz w:val="21"/>
                      <w:szCs w:val="21"/>
                      <w:lang w:val="en-US" w:eastAsia="zh-CN"/>
                    </w:rPr>
                    <w:t>(kg/h)</w:t>
                  </w:r>
                </w:p>
              </w:tc>
              <w:tc>
                <w:tcPr>
                  <w:tcW w:w="637" w:type="pct"/>
                  <w:tcBorders>
                    <w:top w:val="single" w:color="auto" w:sz="4" w:space="0"/>
                    <w:left w:val="single" w:color="auto" w:sz="4" w:space="0"/>
                    <w:right w:val="single" w:color="auto" w:sz="4" w:space="0"/>
                  </w:tcBorders>
                  <w:shd w:val="clear" w:color="auto" w:fill="auto"/>
                  <w:noWrap w:val="0"/>
                  <w:vAlign w:val="center"/>
                </w:tcPr>
                <w:p w14:paraId="32C51B1A">
                  <w:pPr>
                    <w:jc w:val="center"/>
                    <w:rPr>
                      <w:rFonts w:hint="eastAsia" w:ascii="Times New Roman" w:hAnsi="Times New Roman"/>
                      <w:kern w:val="2"/>
                      <w:sz w:val="21"/>
                      <w:szCs w:val="21"/>
                      <w:lang w:val="en-US" w:eastAsia="zh-CN" w:bidi="ar-SA"/>
                    </w:rPr>
                  </w:pPr>
                  <w:r>
                    <w:rPr>
                      <w:rFonts w:hint="eastAsia"/>
                      <w:sz w:val="21"/>
                      <w:szCs w:val="21"/>
                      <w:lang w:eastAsia="zh-CN"/>
                    </w:rPr>
                    <w:t>浓度</w:t>
                  </w:r>
                  <w:r>
                    <w:rPr>
                      <w:rFonts w:hint="eastAsia"/>
                      <w:sz w:val="21"/>
                      <w:szCs w:val="21"/>
                      <w:lang w:val="en-US" w:eastAsia="zh-CN"/>
                    </w:rPr>
                    <w:t>(mg/m</w:t>
                  </w:r>
                  <w:r>
                    <w:rPr>
                      <w:rFonts w:hint="eastAsia"/>
                      <w:sz w:val="21"/>
                      <w:szCs w:val="21"/>
                      <w:vertAlign w:val="superscript"/>
                      <w:lang w:val="en-US" w:eastAsia="zh-CN"/>
                    </w:rPr>
                    <w:t>3</w:t>
                  </w:r>
                  <w:r>
                    <w:rPr>
                      <w:rFonts w:hint="eastAsia"/>
                      <w:sz w:val="21"/>
                      <w:szCs w:val="21"/>
                      <w:lang w:val="en-US" w:eastAsia="zh-CN"/>
                    </w:rPr>
                    <w:t>)</w:t>
                  </w:r>
                </w:p>
              </w:tc>
              <w:tc>
                <w:tcPr>
                  <w:tcW w:w="397" w:type="pct"/>
                  <w:vMerge w:val="continue"/>
                  <w:tcBorders>
                    <w:left w:val="single" w:color="auto" w:sz="4" w:space="0"/>
                    <w:right w:val="single" w:color="auto" w:sz="4" w:space="0"/>
                  </w:tcBorders>
                  <w:shd w:val="clear" w:color="auto" w:fill="auto"/>
                  <w:noWrap w:val="0"/>
                  <w:vAlign w:val="center"/>
                </w:tcPr>
                <w:p w14:paraId="2F5059F4">
                  <w:pPr>
                    <w:jc w:val="center"/>
                    <w:rPr>
                      <w:rFonts w:hint="eastAsia"/>
                      <w:sz w:val="21"/>
                      <w:szCs w:val="21"/>
                      <w:lang w:eastAsia="zh-CN"/>
                    </w:rPr>
                  </w:pPr>
                </w:p>
              </w:tc>
            </w:tr>
            <w:tr w14:paraId="475B6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441" w:type="pct"/>
                  <w:tcBorders>
                    <w:right w:val="single" w:color="auto" w:sz="4" w:space="0"/>
                  </w:tcBorders>
                  <w:shd w:val="clear" w:color="auto" w:fill="auto"/>
                  <w:noWrap w:val="0"/>
                  <w:vAlign w:val="center"/>
                </w:tcPr>
                <w:p w14:paraId="4061BCAA">
                  <w:pPr>
                    <w:jc w:val="center"/>
                    <w:rPr>
                      <w:rFonts w:hint="eastAsia" w:ascii="Times New Roman" w:hAnsi="Times New Roman" w:eastAsia="宋体"/>
                      <w:kern w:val="2"/>
                      <w:sz w:val="21"/>
                      <w:szCs w:val="21"/>
                      <w:lang w:val="en-US" w:eastAsia="zh-CN" w:bidi="ar-SA"/>
                    </w:rPr>
                  </w:pPr>
                  <w:r>
                    <w:rPr>
                      <w:rFonts w:hint="eastAsia"/>
                      <w:sz w:val="21"/>
                      <w:szCs w:val="21"/>
                      <w:lang w:eastAsia="zh-CN"/>
                    </w:rPr>
                    <w:t>甲醛</w:t>
                  </w:r>
                </w:p>
              </w:tc>
              <w:tc>
                <w:tcPr>
                  <w:tcW w:w="479" w:type="pct"/>
                  <w:vMerge w:val="restart"/>
                  <w:tcBorders>
                    <w:left w:val="single" w:color="auto" w:sz="4" w:space="0"/>
                    <w:right w:val="single" w:color="auto" w:sz="4" w:space="0"/>
                  </w:tcBorders>
                  <w:shd w:val="clear" w:color="auto" w:fill="auto"/>
                  <w:noWrap w:val="0"/>
                  <w:vAlign w:val="center"/>
                </w:tcPr>
                <w:p w14:paraId="10463D03">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kern w:val="0"/>
                      <w:sz w:val="21"/>
                      <w:szCs w:val="21"/>
                      <w:lang w:val="en-US" w:eastAsia="zh-CN"/>
                    </w:rPr>
                    <w:t>4162.79</w:t>
                  </w:r>
                </w:p>
              </w:tc>
              <w:tc>
                <w:tcPr>
                  <w:tcW w:w="453" w:type="pct"/>
                  <w:tcBorders>
                    <w:left w:val="single" w:color="auto" w:sz="4" w:space="0"/>
                    <w:right w:val="single" w:color="auto" w:sz="4" w:space="0"/>
                  </w:tcBorders>
                  <w:shd w:val="clear" w:color="auto" w:fill="auto"/>
                  <w:noWrap w:val="0"/>
                  <w:vAlign w:val="center"/>
                </w:tcPr>
                <w:p w14:paraId="707C67BA">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0.007</w:t>
                  </w:r>
                </w:p>
              </w:tc>
              <w:tc>
                <w:tcPr>
                  <w:tcW w:w="598" w:type="pct"/>
                  <w:tcBorders>
                    <w:left w:val="single" w:color="auto" w:sz="4" w:space="0"/>
                    <w:right w:val="single" w:color="auto" w:sz="4" w:space="0"/>
                  </w:tcBorders>
                  <w:shd w:val="clear" w:color="auto" w:fill="auto"/>
                  <w:noWrap w:val="0"/>
                  <w:vAlign w:val="center"/>
                </w:tcPr>
                <w:p w14:paraId="10B628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0.0010 </w:t>
                  </w:r>
                </w:p>
              </w:tc>
              <w:tc>
                <w:tcPr>
                  <w:tcW w:w="673" w:type="pct"/>
                  <w:tcBorders>
                    <w:left w:val="single" w:color="auto" w:sz="4" w:space="0"/>
                    <w:right w:val="single" w:color="auto" w:sz="4" w:space="0"/>
                  </w:tcBorders>
                  <w:shd w:val="clear" w:color="auto" w:fill="auto"/>
                  <w:noWrap w:val="0"/>
                  <w:vAlign w:val="center"/>
                </w:tcPr>
                <w:p w14:paraId="2DE7A4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0.0445 </w:t>
                  </w:r>
                </w:p>
              </w:tc>
              <w:tc>
                <w:tcPr>
                  <w:tcW w:w="288" w:type="pct"/>
                  <w:vMerge w:val="restart"/>
                  <w:tcBorders>
                    <w:left w:val="single" w:color="auto" w:sz="4" w:space="0"/>
                    <w:right w:val="single" w:color="auto" w:sz="4" w:space="0"/>
                  </w:tcBorders>
                  <w:shd w:val="clear" w:color="auto" w:fill="auto"/>
                  <w:noWrap w:val="0"/>
                  <w:vAlign w:val="center"/>
                </w:tcPr>
                <w:p w14:paraId="176D3E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旋风除尘器+二级水膜除尘</w:t>
                  </w:r>
                </w:p>
              </w:tc>
              <w:tc>
                <w:tcPr>
                  <w:tcW w:w="501" w:type="pct"/>
                  <w:tcBorders>
                    <w:left w:val="single" w:color="auto" w:sz="4" w:space="0"/>
                    <w:right w:val="single" w:color="auto" w:sz="4" w:space="0"/>
                  </w:tcBorders>
                  <w:shd w:val="clear" w:color="auto" w:fill="auto"/>
                  <w:noWrap w:val="0"/>
                  <w:vAlign w:val="center"/>
                </w:tcPr>
                <w:p w14:paraId="46C37C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0.0021</w:t>
                  </w:r>
                </w:p>
              </w:tc>
              <w:tc>
                <w:tcPr>
                  <w:tcW w:w="528" w:type="pct"/>
                  <w:tcBorders>
                    <w:left w:val="single" w:color="auto" w:sz="4" w:space="0"/>
                    <w:right w:val="single" w:color="auto" w:sz="4" w:space="0"/>
                  </w:tcBorders>
                  <w:shd w:val="clear" w:color="auto" w:fill="auto"/>
                  <w:noWrap w:val="0"/>
                  <w:vAlign w:val="center"/>
                </w:tcPr>
                <w:p w14:paraId="0C830D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0.0003</w:t>
                  </w:r>
                </w:p>
              </w:tc>
              <w:tc>
                <w:tcPr>
                  <w:tcW w:w="637" w:type="pct"/>
                  <w:tcBorders>
                    <w:left w:val="single" w:color="auto" w:sz="4" w:space="0"/>
                    <w:right w:val="single" w:color="auto" w:sz="4" w:space="0"/>
                  </w:tcBorders>
                  <w:shd w:val="clear" w:color="auto" w:fill="auto"/>
                  <w:noWrap w:val="0"/>
                  <w:vAlign w:val="center"/>
                </w:tcPr>
                <w:p w14:paraId="7232B3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0.0134</w:t>
                  </w:r>
                </w:p>
              </w:tc>
              <w:tc>
                <w:tcPr>
                  <w:tcW w:w="397" w:type="pct"/>
                  <w:tcBorders>
                    <w:left w:val="single" w:color="auto" w:sz="4" w:space="0"/>
                    <w:right w:val="single" w:color="auto" w:sz="4" w:space="0"/>
                  </w:tcBorders>
                  <w:shd w:val="clear" w:color="auto" w:fill="auto"/>
                  <w:noWrap w:val="0"/>
                  <w:vAlign w:val="center"/>
                </w:tcPr>
                <w:p w14:paraId="712B78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实测法</w:t>
                  </w:r>
                </w:p>
              </w:tc>
            </w:tr>
            <w:tr w14:paraId="4A133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441" w:type="pct"/>
                  <w:tcBorders>
                    <w:right w:val="single" w:color="auto" w:sz="4" w:space="0"/>
                  </w:tcBorders>
                  <w:shd w:val="clear" w:color="auto" w:fill="auto"/>
                  <w:noWrap w:val="0"/>
                  <w:vAlign w:val="center"/>
                </w:tcPr>
                <w:p w14:paraId="2F5B93CF">
                  <w:pPr>
                    <w:jc w:val="center"/>
                    <w:rPr>
                      <w:rFonts w:hint="default"/>
                      <w:sz w:val="21"/>
                      <w:szCs w:val="21"/>
                      <w:lang w:val="en-US" w:eastAsia="zh-CN"/>
                    </w:rPr>
                  </w:pPr>
                  <w:r>
                    <w:rPr>
                      <w:rFonts w:hint="eastAsia"/>
                      <w:sz w:val="21"/>
                      <w:szCs w:val="21"/>
                      <w:lang w:val="en-US" w:eastAsia="zh-CN"/>
                    </w:rPr>
                    <w:t>TSP</w:t>
                  </w:r>
                </w:p>
              </w:tc>
              <w:tc>
                <w:tcPr>
                  <w:tcW w:w="479" w:type="pct"/>
                  <w:vMerge w:val="continue"/>
                  <w:tcBorders>
                    <w:left w:val="single" w:color="auto" w:sz="4" w:space="0"/>
                    <w:right w:val="single" w:color="auto" w:sz="4" w:space="0"/>
                  </w:tcBorders>
                  <w:shd w:val="clear" w:color="auto" w:fill="auto"/>
                  <w:noWrap w:val="0"/>
                  <w:vAlign w:val="center"/>
                </w:tcPr>
                <w:p w14:paraId="24628BAA">
                  <w:pPr>
                    <w:keepNext w:val="0"/>
                    <w:keepLines w:val="0"/>
                    <w:widowControl/>
                    <w:suppressLineNumbers w:val="0"/>
                    <w:jc w:val="center"/>
                    <w:textAlignment w:val="center"/>
                    <w:rPr>
                      <w:rFonts w:hint="eastAsia"/>
                      <w:kern w:val="0"/>
                      <w:sz w:val="21"/>
                      <w:szCs w:val="21"/>
                      <w:lang w:val="en-US" w:eastAsia="zh-CN"/>
                    </w:rPr>
                  </w:pPr>
                </w:p>
              </w:tc>
              <w:tc>
                <w:tcPr>
                  <w:tcW w:w="453" w:type="pct"/>
                  <w:tcBorders>
                    <w:left w:val="single" w:color="auto" w:sz="4" w:space="0"/>
                    <w:right w:val="single" w:color="auto" w:sz="4" w:space="0"/>
                  </w:tcBorders>
                  <w:shd w:val="clear" w:color="auto" w:fill="auto"/>
                  <w:noWrap w:val="0"/>
                  <w:vAlign w:val="center"/>
                </w:tcPr>
                <w:p w14:paraId="42C878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0.01</w:t>
                  </w:r>
                </w:p>
              </w:tc>
              <w:tc>
                <w:tcPr>
                  <w:tcW w:w="598" w:type="pct"/>
                  <w:tcBorders>
                    <w:left w:val="single" w:color="auto" w:sz="4" w:space="0"/>
                    <w:right w:val="single" w:color="auto" w:sz="4" w:space="0"/>
                  </w:tcBorders>
                  <w:shd w:val="clear" w:color="auto" w:fill="auto"/>
                  <w:noWrap w:val="0"/>
                  <w:vAlign w:val="center"/>
                </w:tcPr>
                <w:p w14:paraId="60E988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0.0014 </w:t>
                  </w:r>
                </w:p>
              </w:tc>
              <w:tc>
                <w:tcPr>
                  <w:tcW w:w="673" w:type="pct"/>
                  <w:tcBorders>
                    <w:left w:val="single" w:color="auto" w:sz="4" w:space="0"/>
                    <w:right w:val="single" w:color="auto" w:sz="4" w:space="0"/>
                  </w:tcBorders>
                  <w:shd w:val="clear" w:color="auto" w:fill="auto"/>
                  <w:noWrap w:val="0"/>
                  <w:vAlign w:val="center"/>
                </w:tcPr>
                <w:p w14:paraId="2E21D6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0.0636 </w:t>
                  </w:r>
                </w:p>
              </w:tc>
              <w:tc>
                <w:tcPr>
                  <w:tcW w:w="288" w:type="pct"/>
                  <w:vMerge w:val="continue"/>
                  <w:tcBorders>
                    <w:left w:val="single" w:color="auto" w:sz="4" w:space="0"/>
                    <w:right w:val="single" w:color="auto" w:sz="4" w:space="0"/>
                  </w:tcBorders>
                  <w:shd w:val="clear" w:color="auto" w:fill="auto"/>
                  <w:noWrap w:val="0"/>
                  <w:vAlign w:val="center"/>
                </w:tcPr>
                <w:p w14:paraId="5C4DBDE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zh-HK"/>
                    </w:rPr>
                  </w:pPr>
                </w:p>
              </w:tc>
              <w:tc>
                <w:tcPr>
                  <w:tcW w:w="501" w:type="pct"/>
                  <w:tcBorders>
                    <w:left w:val="single" w:color="auto" w:sz="4" w:space="0"/>
                    <w:right w:val="single" w:color="auto" w:sz="4" w:space="0"/>
                  </w:tcBorders>
                  <w:shd w:val="clear" w:color="auto" w:fill="auto"/>
                  <w:noWrap w:val="0"/>
                  <w:vAlign w:val="center"/>
                </w:tcPr>
                <w:p w14:paraId="7F6C56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0.0005</w:t>
                  </w:r>
                </w:p>
              </w:tc>
              <w:tc>
                <w:tcPr>
                  <w:tcW w:w="528" w:type="pct"/>
                  <w:tcBorders>
                    <w:left w:val="single" w:color="auto" w:sz="4" w:space="0"/>
                    <w:right w:val="single" w:color="auto" w:sz="4" w:space="0"/>
                  </w:tcBorders>
                  <w:shd w:val="clear" w:color="auto" w:fill="auto"/>
                  <w:noWrap w:val="0"/>
                  <w:vAlign w:val="center"/>
                </w:tcPr>
                <w:p w14:paraId="7BB46B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0.0001</w:t>
                  </w:r>
                </w:p>
              </w:tc>
              <w:tc>
                <w:tcPr>
                  <w:tcW w:w="637" w:type="pct"/>
                  <w:tcBorders>
                    <w:left w:val="single" w:color="auto" w:sz="4" w:space="0"/>
                    <w:right w:val="single" w:color="auto" w:sz="4" w:space="0"/>
                  </w:tcBorders>
                  <w:shd w:val="clear" w:color="auto" w:fill="auto"/>
                  <w:noWrap w:val="0"/>
                  <w:vAlign w:val="center"/>
                </w:tcPr>
                <w:p w14:paraId="3126B1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0.0032</w:t>
                  </w:r>
                </w:p>
              </w:tc>
              <w:tc>
                <w:tcPr>
                  <w:tcW w:w="397" w:type="pct"/>
                  <w:tcBorders>
                    <w:left w:val="single" w:color="auto" w:sz="4" w:space="0"/>
                    <w:right w:val="single" w:color="auto" w:sz="4" w:space="0"/>
                  </w:tcBorders>
                  <w:shd w:val="clear" w:color="auto" w:fill="auto"/>
                  <w:noWrap w:val="0"/>
                  <w:vAlign w:val="center"/>
                </w:tcPr>
                <w:p w14:paraId="11DC7CC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实测法</w:t>
                  </w:r>
                </w:p>
              </w:tc>
            </w:tr>
            <w:tr w14:paraId="7A1D0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441" w:type="pct"/>
                  <w:tcBorders>
                    <w:right w:val="single" w:color="auto" w:sz="4" w:space="0"/>
                  </w:tcBorders>
                  <w:shd w:val="clear" w:color="auto" w:fill="auto"/>
                  <w:noWrap w:val="0"/>
                  <w:vAlign w:val="center"/>
                </w:tcPr>
                <w:p w14:paraId="2FAB0BE5">
                  <w:pPr>
                    <w:jc w:val="center"/>
                    <w:rPr>
                      <w:rFonts w:hint="eastAsia" w:ascii="Times New Roman" w:hAnsi="Times New Roman"/>
                      <w:kern w:val="2"/>
                      <w:sz w:val="21"/>
                      <w:szCs w:val="21"/>
                      <w:lang w:val="en-US" w:eastAsia="zh-CN" w:bidi="ar-SA"/>
                    </w:rPr>
                  </w:pPr>
                  <w:r>
                    <w:rPr>
                      <w:rFonts w:hint="eastAsia"/>
                      <w:sz w:val="21"/>
                      <w:szCs w:val="21"/>
                      <w:lang w:eastAsia="zh-CN"/>
                    </w:rPr>
                    <w:t>甲醇</w:t>
                  </w:r>
                </w:p>
              </w:tc>
              <w:tc>
                <w:tcPr>
                  <w:tcW w:w="479" w:type="pct"/>
                  <w:vMerge w:val="continue"/>
                  <w:tcBorders>
                    <w:left w:val="single" w:color="auto" w:sz="4" w:space="0"/>
                    <w:right w:val="single" w:color="auto" w:sz="4" w:space="0"/>
                  </w:tcBorders>
                  <w:shd w:val="clear" w:color="auto" w:fill="auto"/>
                  <w:noWrap w:val="0"/>
                  <w:vAlign w:val="center"/>
                </w:tcPr>
                <w:p w14:paraId="54485207">
                  <w:pPr>
                    <w:keepNext w:val="0"/>
                    <w:keepLines w:val="0"/>
                    <w:widowControl/>
                    <w:suppressLineNumbers w:val="0"/>
                    <w:jc w:val="center"/>
                    <w:textAlignment w:val="center"/>
                    <w:rPr>
                      <w:rFonts w:hint="default" w:ascii="Times New Roman" w:hAnsi="Times New Roman" w:cs="Times New Roman"/>
                      <w:sz w:val="21"/>
                      <w:szCs w:val="21"/>
                    </w:rPr>
                  </w:pPr>
                </w:p>
              </w:tc>
              <w:tc>
                <w:tcPr>
                  <w:tcW w:w="453" w:type="pct"/>
                  <w:tcBorders>
                    <w:left w:val="single" w:color="auto" w:sz="4" w:space="0"/>
                    <w:right w:val="single" w:color="auto" w:sz="4" w:space="0"/>
                  </w:tcBorders>
                  <w:shd w:val="clear" w:color="auto" w:fill="auto"/>
                  <w:noWrap w:val="0"/>
                  <w:vAlign w:val="center"/>
                </w:tcPr>
                <w:p w14:paraId="37846C0F">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0.2</w:t>
                  </w:r>
                </w:p>
              </w:tc>
              <w:tc>
                <w:tcPr>
                  <w:tcW w:w="598" w:type="pct"/>
                  <w:tcBorders>
                    <w:left w:val="single" w:color="auto" w:sz="4" w:space="0"/>
                    <w:right w:val="single" w:color="auto" w:sz="4" w:space="0"/>
                  </w:tcBorders>
                  <w:shd w:val="clear" w:color="auto" w:fill="auto"/>
                  <w:noWrap w:val="0"/>
                  <w:vAlign w:val="center"/>
                </w:tcPr>
                <w:p w14:paraId="36CB6A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0.0278 </w:t>
                  </w:r>
                </w:p>
              </w:tc>
              <w:tc>
                <w:tcPr>
                  <w:tcW w:w="673" w:type="pct"/>
                  <w:tcBorders>
                    <w:left w:val="single" w:color="auto" w:sz="4" w:space="0"/>
                    <w:right w:val="single" w:color="auto" w:sz="4" w:space="0"/>
                  </w:tcBorders>
                  <w:shd w:val="clear" w:color="auto" w:fill="auto"/>
                  <w:noWrap w:val="0"/>
                  <w:vAlign w:val="center"/>
                </w:tcPr>
                <w:p w14:paraId="5327D2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1.2725 </w:t>
                  </w:r>
                </w:p>
              </w:tc>
              <w:tc>
                <w:tcPr>
                  <w:tcW w:w="288" w:type="pct"/>
                  <w:vMerge w:val="continue"/>
                  <w:tcBorders>
                    <w:left w:val="single" w:color="auto" w:sz="4" w:space="0"/>
                    <w:right w:val="single" w:color="auto" w:sz="4" w:space="0"/>
                  </w:tcBorders>
                  <w:shd w:val="clear" w:color="auto" w:fill="auto"/>
                  <w:noWrap w:val="0"/>
                  <w:vAlign w:val="center"/>
                </w:tcPr>
                <w:p w14:paraId="420FD3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501" w:type="pct"/>
                  <w:tcBorders>
                    <w:left w:val="single" w:color="auto" w:sz="4" w:space="0"/>
                    <w:right w:val="single" w:color="auto" w:sz="4" w:space="0"/>
                  </w:tcBorders>
                  <w:shd w:val="clear" w:color="auto" w:fill="auto"/>
                  <w:noWrap w:val="0"/>
                  <w:vAlign w:val="center"/>
                </w:tcPr>
                <w:p w14:paraId="2F33D4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0.06</w:t>
                  </w:r>
                </w:p>
              </w:tc>
              <w:tc>
                <w:tcPr>
                  <w:tcW w:w="528" w:type="pct"/>
                  <w:tcBorders>
                    <w:left w:val="single" w:color="auto" w:sz="4" w:space="0"/>
                    <w:right w:val="single" w:color="auto" w:sz="4" w:space="0"/>
                  </w:tcBorders>
                  <w:shd w:val="clear" w:color="auto" w:fill="auto"/>
                  <w:noWrap w:val="0"/>
                  <w:vAlign w:val="center"/>
                </w:tcPr>
                <w:p w14:paraId="6E038A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0.0083</w:t>
                  </w:r>
                </w:p>
              </w:tc>
              <w:tc>
                <w:tcPr>
                  <w:tcW w:w="637" w:type="pct"/>
                  <w:tcBorders>
                    <w:left w:val="single" w:color="auto" w:sz="4" w:space="0"/>
                    <w:right w:val="single" w:color="auto" w:sz="4" w:space="0"/>
                  </w:tcBorders>
                  <w:shd w:val="clear" w:color="auto" w:fill="auto"/>
                  <w:noWrap w:val="0"/>
                  <w:vAlign w:val="center"/>
                </w:tcPr>
                <w:p w14:paraId="5DDA97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0.3817</w:t>
                  </w:r>
                </w:p>
              </w:tc>
              <w:tc>
                <w:tcPr>
                  <w:tcW w:w="397" w:type="pct"/>
                  <w:tcBorders>
                    <w:left w:val="single" w:color="auto" w:sz="4" w:space="0"/>
                    <w:right w:val="single" w:color="auto" w:sz="4" w:space="0"/>
                  </w:tcBorders>
                  <w:shd w:val="clear" w:color="auto" w:fill="auto"/>
                  <w:noWrap w:val="0"/>
                  <w:vAlign w:val="center"/>
                </w:tcPr>
                <w:p w14:paraId="31D5A3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实测法</w:t>
                  </w:r>
                </w:p>
              </w:tc>
            </w:tr>
            <w:tr w14:paraId="66D68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441" w:type="pct"/>
                  <w:tcBorders>
                    <w:right w:val="single" w:color="auto" w:sz="4" w:space="0"/>
                  </w:tcBorders>
                  <w:shd w:val="clear" w:color="auto" w:fill="auto"/>
                  <w:noWrap w:val="0"/>
                  <w:vAlign w:val="center"/>
                </w:tcPr>
                <w:p w14:paraId="03CAE82A">
                  <w:pPr>
                    <w:jc w:val="center"/>
                    <w:rPr>
                      <w:rFonts w:hint="eastAsia" w:ascii="Times New Roman" w:hAnsi="Times New Roman"/>
                      <w:kern w:val="2"/>
                      <w:sz w:val="21"/>
                      <w:szCs w:val="21"/>
                      <w:lang w:val="en-US" w:eastAsia="zh-CN" w:bidi="ar-SA"/>
                    </w:rPr>
                  </w:pPr>
                  <w:r>
                    <w:rPr>
                      <w:rFonts w:hint="eastAsia"/>
                      <w:sz w:val="21"/>
                      <w:szCs w:val="21"/>
                      <w:lang w:eastAsia="zh-CN"/>
                    </w:rPr>
                    <w:t>非甲烷总烃</w:t>
                  </w:r>
                </w:p>
              </w:tc>
              <w:tc>
                <w:tcPr>
                  <w:tcW w:w="479" w:type="pct"/>
                  <w:vMerge w:val="continue"/>
                  <w:tcBorders>
                    <w:left w:val="single" w:color="auto" w:sz="4" w:space="0"/>
                    <w:right w:val="single" w:color="auto" w:sz="4" w:space="0"/>
                  </w:tcBorders>
                  <w:shd w:val="clear" w:color="auto" w:fill="auto"/>
                  <w:noWrap w:val="0"/>
                  <w:vAlign w:val="center"/>
                </w:tcPr>
                <w:p w14:paraId="79DBD269">
                  <w:pPr>
                    <w:keepNext w:val="0"/>
                    <w:keepLines w:val="0"/>
                    <w:widowControl/>
                    <w:suppressLineNumbers w:val="0"/>
                    <w:jc w:val="center"/>
                    <w:textAlignment w:val="center"/>
                    <w:rPr>
                      <w:rFonts w:hint="default" w:ascii="Times New Roman" w:hAnsi="Times New Roman" w:cs="Times New Roman"/>
                      <w:sz w:val="21"/>
                      <w:szCs w:val="21"/>
                    </w:rPr>
                  </w:pPr>
                </w:p>
              </w:tc>
              <w:tc>
                <w:tcPr>
                  <w:tcW w:w="453" w:type="pct"/>
                  <w:tcBorders>
                    <w:left w:val="single" w:color="auto" w:sz="4" w:space="0"/>
                    <w:right w:val="single" w:color="auto" w:sz="4" w:space="0"/>
                  </w:tcBorders>
                  <w:shd w:val="clear" w:color="auto" w:fill="auto"/>
                  <w:noWrap w:val="0"/>
                  <w:vAlign w:val="center"/>
                </w:tcPr>
                <w:p w14:paraId="2D9CE0E0">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0.095</w:t>
                  </w:r>
                </w:p>
              </w:tc>
              <w:tc>
                <w:tcPr>
                  <w:tcW w:w="598" w:type="pct"/>
                  <w:tcBorders>
                    <w:left w:val="single" w:color="auto" w:sz="4" w:space="0"/>
                    <w:right w:val="single" w:color="auto" w:sz="4" w:space="0"/>
                  </w:tcBorders>
                  <w:shd w:val="clear" w:color="auto" w:fill="auto"/>
                  <w:noWrap w:val="0"/>
                  <w:vAlign w:val="center"/>
                </w:tcPr>
                <w:p w14:paraId="45E14E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0.0132 </w:t>
                  </w:r>
                </w:p>
              </w:tc>
              <w:tc>
                <w:tcPr>
                  <w:tcW w:w="673" w:type="pct"/>
                  <w:tcBorders>
                    <w:left w:val="single" w:color="auto" w:sz="4" w:space="0"/>
                    <w:right w:val="single" w:color="auto" w:sz="4" w:space="0"/>
                  </w:tcBorders>
                  <w:shd w:val="clear" w:color="auto" w:fill="auto"/>
                  <w:noWrap w:val="0"/>
                  <w:vAlign w:val="center"/>
                </w:tcPr>
                <w:p w14:paraId="2241D8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0.6044 </w:t>
                  </w:r>
                </w:p>
              </w:tc>
              <w:tc>
                <w:tcPr>
                  <w:tcW w:w="288" w:type="pct"/>
                  <w:vMerge w:val="continue"/>
                  <w:tcBorders>
                    <w:left w:val="single" w:color="auto" w:sz="4" w:space="0"/>
                    <w:right w:val="single" w:color="auto" w:sz="4" w:space="0"/>
                  </w:tcBorders>
                  <w:shd w:val="clear" w:color="auto" w:fill="auto"/>
                  <w:noWrap w:val="0"/>
                  <w:vAlign w:val="center"/>
                </w:tcPr>
                <w:p w14:paraId="36848A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501" w:type="pct"/>
                  <w:tcBorders>
                    <w:left w:val="single" w:color="auto" w:sz="4" w:space="0"/>
                    <w:right w:val="single" w:color="auto" w:sz="4" w:space="0"/>
                  </w:tcBorders>
                  <w:shd w:val="clear" w:color="auto" w:fill="auto"/>
                  <w:noWrap w:val="0"/>
                  <w:vAlign w:val="center"/>
                </w:tcPr>
                <w:p w14:paraId="209EF7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0.0285</w:t>
                  </w:r>
                </w:p>
              </w:tc>
              <w:tc>
                <w:tcPr>
                  <w:tcW w:w="528" w:type="pct"/>
                  <w:tcBorders>
                    <w:left w:val="single" w:color="auto" w:sz="4" w:space="0"/>
                    <w:right w:val="single" w:color="auto" w:sz="4" w:space="0"/>
                  </w:tcBorders>
                  <w:shd w:val="clear" w:color="auto" w:fill="auto"/>
                  <w:noWrap w:val="0"/>
                  <w:vAlign w:val="center"/>
                </w:tcPr>
                <w:p w14:paraId="15626B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0.0040 </w:t>
                  </w:r>
                </w:p>
              </w:tc>
              <w:tc>
                <w:tcPr>
                  <w:tcW w:w="637" w:type="pct"/>
                  <w:tcBorders>
                    <w:left w:val="single" w:color="auto" w:sz="4" w:space="0"/>
                    <w:right w:val="single" w:color="auto" w:sz="4" w:space="0"/>
                  </w:tcBorders>
                  <w:shd w:val="clear" w:color="auto" w:fill="auto"/>
                  <w:noWrap w:val="0"/>
                  <w:vAlign w:val="center"/>
                </w:tcPr>
                <w:p w14:paraId="0398F2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0.1813</w:t>
                  </w:r>
                </w:p>
              </w:tc>
              <w:tc>
                <w:tcPr>
                  <w:tcW w:w="397" w:type="pct"/>
                  <w:tcBorders>
                    <w:left w:val="single" w:color="auto" w:sz="4" w:space="0"/>
                    <w:right w:val="single" w:color="auto" w:sz="4" w:space="0"/>
                  </w:tcBorders>
                  <w:shd w:val="clear" w:color="auto" w:fill="auto"/>
                  <w:noWrap w:val="0"/>
                  <w:vAlign w:val="center"/>
                </w:tcPr>
                <w:p w14:paraId="74FF93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实测法</w:t>
                  </w:r>
                </w:p>
              </w:tc>
            </w:tr>
            <w:tr w14:paraId="19FAB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441" w:type="pct"/>
                  <w:tcBorders>
                    <w:right w:val="single" w:color="auto" w:sz="4" w:space="0"/>
                  </w:tcBorders>
                  <w:shd w:val="clear" w:color="auto" w:fill="auto"/>
                  <w:noWrap w:val="0"/>
                  <w:vAlign w:val="center"/>
                </w:tcPr>
                <w:p w14:paraId="757D0643">
                  <w:pPr>
                    <w:jc w:val="center"/>
                    <w:rPr>
                      <w:rFonts w:hint="eastAsia" w:ascii="Times New Roman" w:hAnsi="Times New Roman"/>
                      <w:kern w:val="2"/>
                      <w:sz w:val="21"/>
                      <w:szCs w:val="21"/>
                      <w:lang w:val="en-US" w:eastAsia="zh-CN" w:bidi="ar-SA"/>
                    </w:rPr>
                  </w:pPr>
                  <w:r>
                    <w:rPr>
                      <w:rFonts w:hint="eastAsia"/>
                      <w:sz w:val="21"/>
                      <w:szCs w:val="21"/>
                    </w:rPr>
                    <w:t>氮氧化物</w:t>
                  </w:r>
                </w:p>
              </w:tc>
              <w:tc>
                <w:tcPr>
                  <w:tcW w:w="479" w:type="pct"/>
                  <w:vMerge w:val="continue"/>
                  <w:tcBorders>
                    <w:left w:val="single" w:color="auto" w:sz="4" w:space="0"/>
                    <w:right w:val="single" w:color="auto" w:sz="4" w:space="0"/>
                  </w:tcBorders>
                  <w:shd w:val="clear" w:color="auto" w:fill="auto"/>
                  <w:noWrap w:val="0"/>
                  <w:vAlign w:val="center"/>
                </w:tcPr>
                <w:p w14:paraId="73A63031">
                  <w:pPr>
                    <w:keepNext w:val="0"/>
                    <w:keepLines w:val="0"/>
                    <w:widowControl/>
                    <w:suppressLineNumbers w:val="0"/>
                    <w:jc w:val="center"/>
                    <w:textAlignment w:val="center"/>
                    <w:rPr>
                      <w:rFonts w:hint="default" w:ascii="Times New Roman" w:hAnsi="Times New Roman" w:cs="Times New Roman"/>
                      <w:sz w:val="21"/>
                      <w:szCs w:val="21"/>
                    </w:rPr>
                  </w:pPr>
                </w:p>
              </w:tc>
              <w:tc>
                <w:tcPr>
                  <w:tcW w:w="453" w:type="pct"/>
                  <w:tcBorders>
                    <w:left w:val="single" w:color="auto" w:sz="4" w:space="0"/>
                    <w:right w:val="single" w:color="auto" w:sz="4" w:space="0"/>
                  </w:tcBorders>
                  <w:shd w:val="clear" w:color="auto" w:fill="auto"/>
                  <w:noWrap w:val="0"/>
                  <w:vAlign w:val="center"/>
                </w:tcPr>
                <w:p w14:paraId="40F6EC91">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0.043</w:t>
                  </w:r>
                </w:p>
              </w:tc>
              <w:tc>
                <w:tcPr>
                  <w:tcW w:w="598" w:type="pct"/>
                  <w:tcBorders>
                    <w:left w:val="single" w:color="auto" w:sz="4" w:space="0"/>
                    <w:right w:val="single" w:color="auto" w:sz="4" w:space="0"/>
                  </w:tcBorders>
                  <w:shd w:val="clear" w:color="auto" w:fill="auto"/>
                  <w:noWrap w:val="0"/>
                  <w:vAlign w:val="center"/>
                </w:tcPr>
                <w:p w14:paraId="279185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0.0060 </w:t>
                  </w:r>
                </w:p>
              </w:tc>
              <w:tc>
                <w:tcPr>
                  <w:tcW w:w="673" w:type="pct"/>
                  <w:tcBorders>
                    <w:left w:val="single" w:color="auto" w:sz="4" w:space="0"/>
                    <w:right w:val="single" w:color="auto" w:sz="4" w:space="0"/>
                  </w:tcBorders>
                  <w:shd w:val="clear" w:color="auto" w:fill="auto"/>
                  <w:noWrap w:val="0"/>
                  <w:vAlign w:val="center"/>
                </w:tcPr>
                <w:p w14:paraId="43FB33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0.2736 </w:t>
                  </w:r>
                </w:p>
              </w:tc>
              <w:tc>
                <w:tcPr>
                  <w:tcW w:w="288" w:type="pct"/>
                  <w:vMerge w:val="continue"/>
                  <w:tcBorders>
                    <w:left w:val="single" w:color="auto" w:sz="4" w:space="0"/>
                    <w:right w:val="single" w:color="auto" w:sz="4" w:space="0"/>
                  </w:tcBorders>
                  <w:shd w:val="clear" w:color="auto" w:fill="auto"/>
                  <w:noWrap w:val="0"/>
                  <w:vAlign w:val="center"/>
                </w:tcPr>
                <w:p w14:paraId="711606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794" w:type="dxa"/>
                  <w:tcBorders>
                    <w:left w:val="single" w:color="auto" w:sz="4" w:space="0"/>
                    <w:right w:val="single" w:color="auto" w:sz="4" w:space="0"/>
                  </w:tcBorders>
                  <w:shd w:val="clear" w:color="auto" w:fill="auto"/>
                  <w:noWrap w:val="0"/>
                  <w:vAlign w:val="center"/>
                </w:tcPr>
                <w:p w14:paraId="19D744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0.043</w:t>
                  </w:r>
                </w:p>
              </w:tc>
              <w:tc>
                <w:tcPr>
                  <w:tcW w:w="824" w:type="dxa"/>
                  <w:tcBorders>
                    <w:left w:val="single" w:color="auto" w:sz="4" w:space="0"/>
                    <w:right w:val="single" w:color="auto" w:sz="4" w:space="0"/>
                  </w:tcBorders>
                  <w:shd w:val="clear" w:color="auto" w:fill="auto"/>
                  <w:noWrap w:val="0"/>
                  <w:vAlign w:val="center"/>
                </w:tcPr>
                <w:p w14:paraId="2D7755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0.0060 </w:t>
                  </w:r>
                </w:p>
              </w:tc>
              <w:tc>
                <w:tcPr>
                  <w:tcW w:w="1006" w:type="dxa"/>
                  <w:tcBorders>
                    <w:left w:val="single" w:color="auto" w:sz="4" w:space="0"/>
                    <w:right w:val="single" w:color="auto" w:sz="4" w:space="0"/>
                  </w:tcBorders>
                  <w:shd w:val="clear" w:color="auto" w:fill="auto"/>
                  <w:noWrap w:val="0"/>
                  <w:vAlign w:val="center"/>
                </w:tcPr>
                <w:p w14:paraId="17EAE5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0.2736 </w:t>
                  </w:r>
                </w:p>
              </w:tc>
              <w:tc>
                <w:tcPr>
                  <w:tcW w:w="397" w:type="pct"/>
                  <w:tcBorders>
                    <w:left w:val="single" w:color="auto" w:sz="4" w:space="0"/>
                    <w:right w:val="single" w:color="auto" w:sz="4" w:space="0"/>
                  </w:tcBorders>
                  <w:shd w:val="clear" w:color="auto" w:fill="auto"/>
                  <w:noWrap w:val="0"/>
                  <w:vAlign w:val="center"/>
                </w:tcPr>
                <w:p w14:paraId="35C840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实测法</w:t>
                  </w:r>
                </w:p>
              </w:tc>
            </w:tr>
          </w:tbl>
          <w:p w14:paraId="6E38AF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s="Times New Roman"/>
                <w:kern w:val="0"/>
                <w:sz w:val="24"/>
                <w:szCs w:val="24"/>
                <w:lang w:val="en-US" w:eastAsia="zh-CN"/>
              </w:rPr>
            </w:pPr>
            <w:r>
              <w:rPr>
                <w:rFonts w:hint="eastAsia" w:eastAsia="宋体" w:cs="Times New Roman"/>
                <w:kern w:val="0"/>
                <w:sz w:val="24"/>
                <w:szCs w:val="24"/>
                <w:lang w:eastAsia="zh-CN"/>
              </w:rPr>
              <w:t>同等产能情况下的减排量，具体见表</w:t>
            </w:r>
            <w:r>
              <w:rPr>
                <w:rFonts w:hint="eastAsia" w:eastAsia="宋体" w:cs="Times New Roman"/>
                <w:kern w:val="0"/>
                <w:sz w:val="24"/>
                <w:szCs w:val="24"/>
                <w:lang w:val="en-US" w:eastAsia="zh-CN"/>
              </w:rPr>
              <w:t>4-5。</w:t>
            </w:r>
          </w:p>
          <w:p w14:paraId="29F25E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eastAsia="zh-CN"/>
              </w:rPr>
              <w:t>表</w:t>
            </w:r>
            <w:r>
              <w:rPr>
                <w:rFonts w:hint="default" w:ascii="Times New Roman" w:hAnsi="Times New Roman" w:cs="Times New Roman"/>
                <w:kern w:val="0"/>
                <w:sz w:val="24"/>
                <w:lang w:val="en-US" w:eastAsia="zh-CN"/>
              </w:rPr>
              <w:t>4-</w:t>
            </w:r>
            <w:r>
              <w:rPr>
                <w:rFonts w:hint="eastAsia" w:ascii="Times New Roman" w:hAnsi="Times New Roman" w:cs="Times New Roman"/>
                <w:kern w:val="0"/>
                <w:sz w:val="24"/>
                <w:lang w:val="en-US" w:eastAsia="zh-CN"/>
              </w:rPr>
              <w:t>5</w:t>
            </w:r>
            <w:r>
              <w:rPr>
                <w:rFonts w:hint="default" w:ascii="Times New Roman" w:hAnsi="Times New Roman" w:cs="Times New Roman"/>
                <w:kern w:val="0"/>
                <w:sz w:val="24"/>
                <w:lang w:val="en-US" w:eastAsia="zh-CN"/>
              </w:rPr>
              <w:t xml:space="preserve">  </w:t>
            </w:r>
            <w:r>
              <w:rPr>
                <w:rFonts w:hint="eastAsia" w:ascii="Times New Roman" w:hAnsi="Times New Roman" w:cs="Times New Roman"/>
                <w:kern w:val="0"/>
                <w:sz w:val="24"/>
                <w:lang w:val="en-US" w:eastAsia="zh-CN"/>
              </w:rPr>
              <w:t>7200t产能下燃料更换的减排量</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020"/>
              <w:gridCol w:w="1865"/>
              <w:gridCol w:w="2291"/>
              <w:gridCol w:w="1819"/>
            </w:tblGrid>
            <w:tr w14:paraId="500DD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458" w:hRule="atLeast"/>
              </w:trPr>
              <w:tc>
                <w:tcPr>
                  <w:tcW w:w="1263" w:type="pct"/>
                  <w:tcBorders>
                    <w:right w:val="single" w:color="auto" w:sz="4" w:space="0"/>
                  </w:tcBorders>
                  <w:shd w:val="clear" w:color="auto" w:fill="auto"/>
                  <w:noWrap w:val="0"/>
                  <w:vAlign w:val="center"/>
                </w:tcPr>
                <w:p w14:paraId="65FB8866">
                  <w:pPr>
                    <w:jc w:val="center"/>
                    <w:rPr>
                      <w:sz w:val="21"/>
                      <w:szCs w:val="21"/>
                    </w:rPr>
                  </w:pPr>
                  <w:r>
                    <w:rPr>
                      <w:rFonts w:hint="eastAsia"/>
                      <w:sz w:val="21"/>
                      <w:szCs w:val="21"/>
                    </w:rPr>
                    <w:t>污染物</w:t>
                  </w:r>
                </w:p>
              </w:tc>
              <w:tc>
                <w:tcPr>
                  <w:tcW w:w="1166" w:type="pct"/>
                  <w:tcBorders>
                    <w:left w:val="single" w:color="auto" w:sz="4" w:space="0"/>
                    <w:right w:val="single" w:color="auto" w:sz="4" w:space="0"/>
                  </w:tcBorders>
                  <w:shd w:val="clear" w:color="auto" w:fill="auto"/>
                  <w:noWrap w:val="0"/>
                  <w:vAlign w:val="center"/>
                </w:tcPr>
                <w:p w14:paraId="2A90EC58">
                  <w:pPr>
                    <w:jc w:val="center"/>
                    <w:rPr>
                      <w:rFonts w:hint="eastAsia"/>
                      <w:sz w:val="21"/>
                      <w:szCs w:val="21"/>
                      <w:lang w:eastAsia="zh-CN"/>
                    </w:rPr>
                  </w:pPr>
                  <w:r>
                    <w:rPr>
                      <w:rFonts w:hint="eastAsia"/>
                      <w:sz w:val="21"/>
                      <w:szCs w:val="21"/>
                      <w:lang w:eastAsia="zh-CN"/>
                    </w:rPr>
                    <w:t>生物质燃料污染物产生情况</w:t>
                  </w:r>
                  <w:r>
                    <w:rPr>
                      <w:rFonts w:hint="eastAsia"/>
                      <w:sz w:val="21"/>
                      <w:szCs w:val="21"/>
                      <w:lang w:val="en-US" w:eastAsia="zh-CN"/>
                    </w:rPr>
                    <w:t>(t/a)</w:t>
                  </w:r>
                </w:p>
              </w:tc>
              <w:tc>
                <w:tcPr>
                  <w:tcW w:w="1432" w:type="pct"/>
                  <w:tcBorders>
                    <w:left w:val="single" w:color="auto" w:sz="4" w:space="0"/>
                    <w:right w:val="single" w:color="auto" w:sz="4" w:space="0"/>
                  </w:tcBorders>
                  <w:shd w:val="clear" w:color="auto" w:fill="auto"/>
                  <w:noWrap w:val="0"/>
                  <w:vAlign w:val="center"/>
                </w:tcPr>
                <w:p w14:paraId="3B0444AC">
                  <w:pPr>
                    <w:jc w:val="center"/>
                    <w:rPr>
                      <w:rFonts w:hint="eastAsia"/>
                      <w:sz w:val="21"/>
                      <w:szCs w:val="21"/>
                      <w:lang w:eastAsia="zh-CN"/>
                    </w:rPr>
                  </w:pPr>
                  <w:r>
                    <w:rPr>
                      <w:rFonts w:hint="eastAsia"/>
                      <w:sz w:val="21"/>
                      <w:szCs w:val="21"/>
                      <w:lang w:eastAsia="zh-CN"/>
                    </w:rPr>
                    <w:t>甲醛尾气污染物排放情况</w:t>
                  </w:r>
                  <w:r>
                    <w:rPr>
                      <w:rFonts w:hint="eastAsia"/>
                      <w:sz w:val="21"/>
                      <w:szCs w:val="21"/>
                      <w:lang w:val="en-US" w:eastAsia="zh-CN"/>
                    </w:rPr>
                    <w:t>(t/a)</w:t>
                  </w:r>
                </w:p>
              </w:tc>
              <w:tc>
                <w:tcPr>
                  <w:tcW w:w="1137" w:type="pct"/>
                  <w:tcBorders>
                    <w:left w:val="single" w:color="auto" w:sz="4" w:space="0"/>
                    <w:right w:val="single" w:color="auto" w:sz="4" w:space="0"/>
                  </w:tcBorders>
                  <w:shd w:val="clear" w:color="auto" w:fill="auto"/>
                  <w:noWrap w:val="0"/>
                  <w:vAlign w:val="center"/>
                </w:tcPr>
                <w:p w14:paraId="53F05CAF">
                  <w:pPr>
                    <w:jc w:val="center"/>
                    <w:rPr>
                      <w:rFonts w:hint="eastAsia"/>
                      <w:sz w:val="21"/>
                      <w:szCs w:val="21"/>
                      <w:lang w:eastAsia="zh-CN"/>
                    </w:rPr>
                  </w:pPr>
                  <w:r>
                    <w:rPr>
                      <w:rFonts w:hint="eastAsia"/>
                      <w:sz w:val="21"/>
                      <w:szCs w:val="21"/>
                      <w:lang w:eastAsia="zh-CN"/>
                    </w:rPr>
                    <w:t>变化情况</w:t>
                  </w:r>
                </w:p>
              </w:tc>
            </w:tr>
            <w:tr w14:paraId="24F62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1263" w:type="pct"/>
                  <w:tcBorders>
                    <w:right w:val="single" w:color="auto" w:sz="4" w:space="0"/>
                  </w:tcBorders>
                  <w:shd w:val="clear" w:color="auto" w:fill="auto"/>
                  <w:noWrap w:val="0"/>
                  <w:vAlign w:val="center"/>
                </w:tcPr>
                <w:p w14:paraId="6FD453C0">
                  <w:pPr>
                    <w:jc w:val="center"/>
                    <w:rPr>
                      <w:rFonts w:hint="eastAsia" w:ascii="Times New Roman" w:hAnsi="Times New Roman" w:eastAsia="宋体"/>
                      <w:kern w:val="2"/>
                      <w:sz w:val="21"/>
                      <w:szCs w:val="21"/>
                      <w:lang w:val="en-US" w:eastAsia="zh-CN" w:bidi="ar-SA"/>
                    </w:rPr>
                  </w:pPr>
                  <w:r>
                    <w:rPr>
                      <w:rFonts w:hint="eastAsia"/>
                      <w:sz w:val="21"/>
                      <w:szCs w:val="21"/>
                      <w:lang w:eastAsia="zh-CN"/>
                    </w:rPr>
                    <w:t>甲醛</w:t>
                  </w:r>
                </w:p>
              </w:tc>
              <w:tc>
                <w:tcPr>
                  <w:tcW w:w="1166" w:type="pct"/>
                  <w:tcBorders>
                    <w:left w:val="single" w:color="auto" w:sz="4" w:space="0"/>
                    <w:right w:val="single" w:color="auto" w:sz="4" w:space="0"/>
                  </w:tcBorders>
                  <w:shd w:val="clear" w:color="auto" w:fill="auto"/>
                  <w:noWrap w:val="0"/>
                  <w:vAlign w:val="center"/>
                </w:tcPr>
                <w:p w14:paraId="152AD62C">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0.0</w:t>
                  </w:r>
                </w:p>
              </w:tc>
              <w:tc>
                <w:tcPr>
                  <w:tcW w:w="1432" w:type="pct"/>
                  <w:tcBorders>
                    <w:left w:val="single" w:color="auto" w:sz="4" w:space="0"/>
                    <w:right w:val="single" w:color="auto" w:sz="4" w:space="0"/>
                  </w:tcBorders>
                  <w:shd w:val="clear" w:color="auto" w:fill="auto"/>
                  <w:noWrap w:val="0"/>
                  <w:vAlign w:val="center"/>
                </w:tcPr>
                <w:p w14:paraId="03D1A8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0.0021</w:t>
                  </w:r>
                </w:p>
              </w:tc>
              <w:tc>
                <w:tcPr>
                  <w:tcW w:w="1137" w:type="pct"/>
                  <w:tcBorders>
                    <w:left w:val="single" w:color="auto" w:sz="4" w:space="0"/>
                    <w:right w:val="single" w:color="auto" w:sz="4" w:space="0"/>
                  </w:tcBorders>
                  <w:shd w:val="clear" w:color="auto" w:fill="auto"/>
                  <w:noWrap w:val="0"/>
                  <w:vAlign w:val="center"/>
                </w:tcPr>
                <w:p w14:paraId="24FA5B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+0.0021</w:t>
                  </w:r>
                </w:p>
              </w:tc>
            </w:tr>
            <w:tr w14:paraId="48679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1263" w:type="pct"/>
                  <w:tcBorders>
                    <w:right w:val="single" w:color="auto" w:sz="4" w:space="0"/>
                  </w:tcBorders>
                  <w:shd w:val="clear" w:color="auto" w:fill="auto"/>
                  <w:noWrap w:val="0"/>
                  <w:vAlign w:val="center"/>
                </w:tcPr>
                <w:p w14:paraId="43430A8E">
                  <w:pPr>
                    <w:jc w:val="center"/>
                    <w:rPr>
                      <w:rFonts w:hint="default"/>
                      <w:sz w:val="21"/>
                      <w:szCs w:val="21"/>
                      <w:lang w:val="en-US" w:eastAsia="zh-CN"/>
                    </w:rPr>
                  </w:pPr>
                  <w:r>
                    <w:rPr>
                      <w:rFonts w:hint="eastAsia"/>
                      <w:sz w:val="21"/>
                      <w:szCs w:val="21"/>
                      <w:lang w:val="en-US" w:eastAsia="zh-CN"/>
                    </w:rPr>
                    <w:t>TSP</w:t>
                  </w:r>
                </w:p>
              </w:tc>
              <w:tc>
                <w:tcPr>
                  <w:tcW w:w="1166" w:type="pct"/>
                  <w:tcBorders>
                    <w:left w:val="single" w:color="auto" w:sz="4" w:space="0"/>
                    <w:right w:val="single" w:color="auto" w:sz="4" w:space="0"/>
                  </w:tcBorders>
                  <w:shd w:val="clear" w:color="auto" w:fill="auto"/>
                  <w:noWrap w:val="0"/>
                  <w:vAlign w:val="center"/>
                </w:tcPr>
                <w:p w14:paraId="22D824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9.48</w:t>
                  </w:r>
                </w:p>
              </w:tc>
              <w:tc>
                <w:tcPr>
                  <w:tcW w:w="1432" w:type="pct"/>
                  <w:tcBorders>
                    <w:left w:val="single" w:color="auto" w:sz="4" w:space="0"/>
                    <w:right w:val="single" w:color="auto" w:sz="4" w:space="0"/>
                  </w:tcBorders>
                  <w:shd w:val="clear" w:color="auto" w:fill="auto"/>
                  <w:noWrap w:val="0"/>
                  <w:vAlign w:val="center"/>
                </w:tcPr>
                <w:p w14:paraId="72A71E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0.0005</w:t>
                  </w:r>
                </w:p>
              </w:tc>
              <w:tc>
                <w:tcPr>
                  <w:tcW w:w="1137" w:type="pct"/>
                  <w:tcBorders>
                    <w:left w:val="single" w:color="auto" w:sz="4" w:space="0"/>
                    <w:right w:val="single" w:color="auto" w:sz="4" w:space="0"/>
                  </w:tcBorders>
                  <w:shd w:val="clear" w:color="auto" w:fill="auto"/>
                  <w:noWrap w:val="0"/>
                  <w:vAlign w:val="center"/>
                </w:tcPr>
                <w:p w14:paraId="4FF120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-9.48</w:t>
                  </w:r>
                </w:p>
              </w:tc>
            </w:tr>
            <w:tr w14:paraId="0548E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1263" w:type="pct"/>
                  <w:tcBorders>
                    <w:right w:val="single" w:color="auto" w:sz="4" w:space="0"/>
                  </w:tcBorders>
                  <w:shd w:val="clear" w:color="auto" w:fill="auto"/>
                  <w:noWrap w:val="0"/>
                  <w:vAlign w:val="center"/>
                </w:tcPr>
                <w:p w14:paraId="49C3B8A5">
                  <w:pPr>
                    <w:jc w:val="center"/>
                    <w:rPr>
                      <w:rFonts w:hint="eastAsia" w:ascii="Times New Roman" w:hAnsi="Times New Roman"/>
                      <w:kern w:val="2"/>
                      <w:sz w:val="21"/>
                      <w:szCs w:val="21"/>
                      <w:lang w:val="en-US" w:eastAsia="zh-CN" w:bidi="ar-SA"/>
                    </w:rPr>
                  </w:pPr>
                  <w:r>
                    <w:rPr>
                      <w:rFonts w:hint="eastAsia"/>
                      <w:sz w:val="21"/>
                      <w:szCs w:val="21"/>
                      <w:lang w:eastAsia="zh-CN"/>
                    </w:rPr>
                    <w:t>甲醇</w:t>
                  </w:r>
                </w:p>
              </w:tc>
              <w:tc>
                <w:tcPr>
                  <w:tcW w:w="1166" w:type="pct"/>
                  <w:tcBorders>
                    <w:left w:val="single" w:color="auto" w:sz="4" w:space="0"/>
                    <w:right w:val="single" w:color="auto" w:sz="4" w:space="0"/>
                  </w:tcBorders>
                  <w:shd w:val="clear" w:color="auto" w:fill="auto"/>
                  <w:noWrap w:val="0"/>
                  <w:vAlign w:val="center"/>
                </w:tcPr>
                <w:p w14:paraId="3A03DFAB">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0.0</w:t>
                  </w:r>
                </w:p>
              </w:tc>
              <w:tc>
                <w:tcPr>
                  <w:tcW w:w="1432" w:type="pct"/>
                  <w:tcBorders>
                    <w:left w:val="single" w:color="auto" w:sz="4" w:space="0"/>
                    <w:right w:val="single" w:color="auto" w:sz="4" w:space="0"/>
                  </w:tcBorders>
                  <w:shd w:val="clear" w:color="auto" w:fill="auto"/>
                  <w:noWrap w:val="0"/>
                  <w:vAlign w:val="center"/>
                </w:tcPr>
                <w:p w14:paraId="4FD1F7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0.06</w:t>
                  </w:r>
                </w:p>
              </w:tc>
              <w:tc>
                <w:tcPr>
                  <w:tcW w:w="1137" w:type="pct"/>
                  <w:tcBorders>
                    <w:left w:val="single" w:color="auto" w:sz="4" w:space="0"/>
                    <w:right w:val="single" w:color="auto" w:sz="4" w:space="0"/>
                  </w:tcBorders>
                  <w:shd w:val="clear" w:color="auto" w:fill="auto"/>
                  <w:noWrap w:val="0"/>
                  <w:vAlign w:val="center"/>
                </w:tcPr>
                <w:p w14:paraId="5E3788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+0.06</w:t>
                  </w:r>
                </w:p>
              </w:tc>
            </w:tr>
            <w:tr w14:paraId="6FBE7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1263" w:type="pct"/>
                  <w:tcBorders>
                    <w:right w:val="single" w:color="auto" w:sz="4" w:space="0"/>
                  </w:tcBorders>
                  <w:shd w:val="clear" w:color="auto" w:fill="auto"/>
                  <w:noWrap w:val="0"/>
                  <w:vAlign w:val="center"/>
                </w:tcPr>
                <w:p w14:paraId="4F6347D8">
                  <w:pPr>
                    <w:jc w:val="center"/>
                    <w:rPr>
                      <w:rFonts w:hint="eastAsia" w:ascii="Times New Roman" w:hAnsi="Times New Roman"/>
                      <w:kern w:val="2"/>
                      <w:sz w:val="21"/>
                      <w:szCs w:val="21"/>
                      <w:lang w:val="en-US" w:eastAsia="zh-CN" w:bidi="ar-SA"/>
                    </w:rPr>
                  </w:pPr>
                  <w:r>
                    <w:rPr>
                      <w:rFonts w:hint="eastAsia"/>
                      <w:sz w:val="21"/>
                      <w:szCs w:val="21"/>
                      <w:lang w:eastAsia="zh-CN"/>
                    </w:rPr>
                    <w:t>非甲烷总烃</w:t>
                  </w:r>
                </w:p>
              </w:tc>
              <w:tc>
                <w:tcPr>
                  <w:tcW w:w="1166" w:type="pct"/>
                  <w:tcBorders>
                    <w:left w:val="single" w:color="auto" w:sz="4" w:space="0"/>
                    <w:right w:val="single" w:color="auto" w:sz="4" w:space="0"/>
                  </w:tcBorders>
                  <w:shd w:val="clear" w:color="auto" w:fill="auto"/>
                  <w:noWrap w:val="0"/>
                  <w:vAlign w:val="center"/>
                </w:tcPr>
                <w:p w14:paraId="638FE84A">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0.0</w:t>
                  </w:r>
                </w:p>
              </w:tc>
              <w:tc>
                <w:tcPr>
                  <w:tcW w:w="1432" w:type="pct"/>
                  <w:tcBorders>
                    <w:left w:val="single" w:color="auto" w:sz="4" w:space="0"/>
                    <w:right w:val="single" w:color="auto" w:sz="4" w:space="0"/>
                  </w:tcBorders>
                  <w:shd w:val="clear" w:color="auto" w:fill="auto"/>
                  <w:noWrap w:val="0"/>
                  <w:vAlign w:val="center"/>
                </w:tcPr>
                <w:p w14:paraId="7E1177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0.0285</w:t>
                  </w:r>
                </w:p>
              </w:tc>
              <w:tc>
                <w:tcPr>
                  <w:tcW w:w="1137" w:type="pct"/>
                  <w:tcBorders>
                    <w:left w:val="single" w:color="auto" w:sz="4" w:space="0"/>
                    <w:right w:val="single" w:color="auto" w:sz="4" w:space="0"/>
                  </w:tcBorders>
                  <w:shd w:val="clear" w:color="auto" w:fill="auto"/>
                  <w:noWrap w:val="0"/>
                  <w:vAlign w:val="center"/>
                </w:tcPr>
                <w:p w14:paraId="7344E4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+0.0285</w:t>
                  </w:r>
                </w:p>
              </w:tc>
            </w:tr>
            <w:tr w14:paraId="4D3D0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1263" w:type="pct"/>
                  <w:tcBorders>
                    <w:right w:val="single" w:color="auto" w:sz="4" w:space="0"/>
                  </w:tcBorders>
                  <w:shd w:val="clear" w:color="auto" w:fill="auto"/>
                  <w:noWrap w:val="0"/>
                  <w:vAlign w:val="center"/>
                </w:tcPr>
                <w:p w14:paraId="36F72909">
                  <w:pPr>
                    <w:jc w:val="center"/>
                    <w:rPr>
                      <w:rFonts w:hint="eastAsia" w:ascii="Times New Roman" w:hAnsi="Times New Roman"/>
                      <w:kern w:val="2"/>
                      <w:sz w:val="21"/>
                      <w:szCs w:val="21"/>
                      <w:lang w:val="en-US" w:eastAsia="zh-CN" w:bidi="ar-SA"/>
                    </w:rPr>
                  </w:pPr>
                  <w:r>
                    <w:rPr>
                      <w:rFonts w:hint="eastAsia"/>
                      <w:sz w:val="21"/>
                      <w:szCs w:val="21"/>
                    </w:rPr>
                    <w:t>氮氧化物</w:t>
                  </w:r>
                </w:p>
              </w:tc>
              <w:tc>
                <w:tcPr>
                  <w:tcW w:w="1166" w:type="pct"/>
                  <w:tcBorders>
                    <w:left w:val="single" w:color="auto" w:sz="4" w:space="0"/>
                    <w:right w:val="single" w:color="auto" w:sz="4" w:space="0"/>
                  </w:tcBorders>
                  <w:shd w:val="clear" w:color="auto" w:fill="auto"/>
                  <w:noWrap w:val="0"/>
                  <w:vAlign w:val="center"/>
                </w:tcPr>
                <w:p w14:paraId="5DA21A37">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5.72</w:t>
                  </w:r>
                </w:p>
              </w:tc>
              <w:tc>
                <w:tcPr>
                  <w:tcW w:w="1432" w:type="pct"/>
                  <w:tcBorders>
                    <w:left w:val="single" w:color="auto" w:sz="4" w:space="0"/>
                    <w:right w:val="single" w:color="auto" w:sz="4" w:space="0"/>
                  </w:tcBorders>
                  <w:shd w:val="clear" w:color="auto" w:fill="auto"/>
                  <w:noWrap w:val="0"/>
                  <w:vAlign w:val="center"/>
                </w:tcPr>
                <w:p w14:paraId="21BE0E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0.043</w:t>
                  </w:r>
                </w:p>
              </w:tc>
              <w:tc>
                <w:tcPr>
                  <w:tcW w:w="1137" w:type="pct"/>
                  <w:tcBorders>
                    <w:left w:val="single" w:color="auto" w:sz="4" w:space="0"/>
                    <w:right w:val="single" w:color="auto" w:sz="4" w:space="0"/>
                  </w:tcBorders>
                  <w:shd w:val="clear" w:color="auto" w:fill="auto"/>
                  <w:noWrap w:val="0"/>
                  <w:vAlign w:val="center"/>
                </w:tcPr>
                <w:p w14:paraId="58B03E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-5.677</w:t>
                  </w:r>
                </w:p>
              </w:tc>
            </w:tr>
            <w:tr w14:paraId="24F91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1263" w:type="pct"/>
                  <w:tcBorders>
                    <w:right w:val="single" w:color="auto" w:sz="4" w:space="0"/>
                  </w:tcBorders>
                  <w:shd w:val="clear" w:color="auto" w:fill="auto"/>
                  <w:noWrap w:val="0"/>
                  <w:vAlign w:val="center"/>
                </w:tcPr>
                <w:p w14:paraId="3F877F8B">
                  <w:pPr>
                    <w:jc w:val="center"/>
                    <w:rPr>
                      <w:rFonts w:hint="eastAsia" w:eastAsia="宋体"/>
                      <w:sz w:val="21"/>
                      <w:szCs w:val="21"/>
                      <w:lang w:eastAsia="zh-CN"/>
                    </w:rPr>
                  </w:pPr>
                  <w:r>
                    <w:rPr>
                      <w:rFonts w:hint="eastAsia"/>
                      <w:sz w:val="21"/>
                      <w:szCs w:val="21"/>
                      <w:lang w:eastAsia="zh-CN"/>
                    </w:rPr>
                    <w:t>二氧化硫</w:t>
                  </w:r>
                </w:p>
              </w:tc>
              <w:tc>
                <w:tcPr>
                  <w:tcW w:w="1166" w:type="pct"/>
                  <w:tcBorders>
                    <w:left w:val="single" w:color="auto" w:sz="4" w:space="0"/>
                    <w:right w:val="single" w:color="auto" w:sz="4" w:space="0"/>
                  </w:tcBorders>
                  <w:shd w:val="clear" w:color="auto" w:fill="auto"/>
                  <w:noWrap w:val="0"/>
                  <w:vAlign w:val="center"/>
                </w:tcPr>
                <w:p w14:paraId="0D4FA7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9.53</w:t>
                  </w:r>
                </w:p>
              </w:tc>
              <w:tc>
                <w:tcPr>
                  <w:tcW w:w="1432" w:type="pct"/>
                  <w:tcBorders>
                    <w:left w:val="single" w:color="auto" w:sz="4" w:space="0"/>
                    <w:right w:val="single" w:color="auto" w:sz="4" w:space="0"/>
                  </w:tcBorders>
                  <w:shd w:val="clear" w:color="auto" w:fill="auto"/>
                  <w:noWrap w:val="0"/>
                  <w:vAlign w:val="center"/>
                </w:tcPr>
                <w:p w14:paraId="5D266A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w:t>
                  </w:r>
                </w:p>
              </w:tc>
              <w:tc>
                <w:tcPr>
                  <w:tcW w:w="1137" w:type="pct"/>
                  <w:tcBorders>
                    <w:left w:val="single" w:color="auto" w:sz="4" w:space="0"/>
                    <w:right w:val="single" w:color="auto" w:sz="4" w:space="0"/>
                  </w:tcBorders>
                  <w:shd w:val="clear" w:color="auto" w:fill="auto"/>
                  <w:noWrap w:val="0"/>
                  <w:vAlign w:val="center"/>
                </w:tcPr>
                <w:p w14:paraId="2DB0F7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-9.53</w:t>
                  </w:r>
                </w:p>
              </w:tc>
            </w:tr>
          </w:tbl>
          <w:p w14:paraId="5F9AE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⑵</w:t>
            </w:r>
            <w:r>
              <w:rPr>
                <w:rFonts w:hint="default" w:ascii="Times New Roman" w:hAnsi="Times New Roman" w:eastAsia="宋体" w:cs="Times New Roman"/>
                <w:kern w:val="0"/>
                <w:sz w:val="24"/>
                <w:szCs w:val="24"/>
                <w:lang w:eastAsia="zh-CN"/>
              </w:rPr>
              <w:t>干燥废气</w:t>
            </w:r>
          </w:p>
          <w:p w14:paraId="6B0DC50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i w:val="0"/>
                <w:iCs w:val="0"/>
                <w:caps w:val="0"/>
                <w:color w:val="000000"/>
                <w:spacing w:val="0"/>
                <w:sz w:val="24"/>
                <w:szCs w:val="24"/>
                <w:lang w:val="en-US" w:eastAsia="zh-CN"/>
              </w:rPr>
            </w:pPr>
            <w:r>
              <w:rPr>
                <w:rFonts w:hint="default" w:ascii="Times New Roman" w:hAnsi="Times New Roman" w:eastAsia="宋体" w:cs="Times New Roman"/>
                <w:b w:val="0"/>
                <w:bCs w:val="0"/>
                <w:i w:val="0"/>
                <w:iCs w:val="0"/>
                <w:kern w:val="0"/>
                <w:sz w:val="24"/>
                <w:szCs w:val="24"/>
                <w:lang w:eastAsia="zh-CN"/>
              </w:rPr>
              <w:t>本次萘系减水剂粉剂干燥过程会产生颗粒物、甲醛及萘（以非甲烷总烃计），根据企业</w:t>
            </w:r>
            <w:r>
              <w:rPr>
                <w:rFonts w:hint="default" w:ascii="Times New Roman" w:hAnsi="Times New Roman" w:eastAsia="宋体" w:cs="Times New Roman"/>
                <w:b w:val="0"/>
                <w:bCs w:val="0"/>
                <w:i w:val="0"/>
                <w:iCs w:val="0"/>
                <w:caps w:val="0"/>
                <w:color w:val="000000"/>
                <w:spacing w:val="0"/>
                <w:sz w:val="24"/>
                <w:szCs w:val="24"/>
                <w:shd w:val="clear" w:color="auto" w:fill="FFFFFF"/>
                <w:lang w:eastAsia="zh-CN"/>
              </w:rPr>
              <w:t>提供</w:t>
            </w:r>
            <w:r>
              <w:rPr>
                <w:rFonts w:hint="eastAsia" w:ascii="Times New Roman" w:hAnsi="Times New Roman" w:eastAsia="宋体" w:cs="Times New Roman"/>
                <w:b w:val="0"/>
                <w:bCs w:val="0"/>
                <w:i w:val="0"/>
                <w:iCs w:val="0"/>
                <w:caps w:val="0"/>
                <w:color w:val="000000"/>
                <w:spacing w:val="0"/>
                <w:sz w:val="24"/>
                <w:szCs w:val="24"/>
                <w:shd w:val="clear" w:color="auto" w:fill="FFFFFF"/>
                <w:lang w:eastAsia="zh-CN"/>
              </w:rPr>
              <w:t>的高效减水剂中甲醛的检测</w:t>
            </w:r>
            <w:r>
              <w:rPr>
                <w:rFonts w:hint="default" w:ascii="Times New Roman" w:hAnsi="Times New Roman" w:eastAsia="宋体" w:cs="Times New Roman"/>
                <w:b w:val="0"/>
                <w:bCs w:val="0"/>
                <w:i w:val="0"/>
                <w:iCs w:val="0"/>
                <w:caps w:val="0"/>
                <w:color w:val="000000"/>
                <w:spacing w:val="0"/>
                <w:sz w:val="24"/>
                <w:szCs w:val="24"/>
                <w:shd w:val="clear" w:color="auto" w:fill="FFFFFF"/>
                <w:lang w:eastAsia="zh-CN"/>
              </w:rPr>
              <w:t>数据，</w:t>
            </w:r>
            <w:r>
              <w:rPr>
                <w:rFonts w:hint="eastAsia" w:ascii="Times New Roman" w:hAnsi="Times New Roman" w:eastAsia="宋体" w:cs="Times New Roman"/>
                <w:b w:val="0"/>
                <w:bCs w:val="0"/>
                <w:i w:val="0"/>
                <w:iCs w:val="0"/>
                <w:caps w:val="0"/>
                <w:color w:val="000000"/>
                <w:spacing w:val="0"/>
                <w:sz w:val="24"/>
                <w:szCs w:val="24"/>
                <w:shd w:val="clear" w:color="auto" w:fill="FFFFFF"/>
                <w:lang w:eastAsia="zh-CN"/>
              </w:rPr>
              <w:t>萘系减水剂中甲醛含量为</w:t>
            </w:r>
            <w:r>
              <w:rPr>
                <w:rFonts w:hint="default" w:ascii="Times New Roman" w:hAnsi="Times New Roman" w:eastAsia="宋体" w:cs="Times New Roman"/>
                <w:b w:val="0"/>
                <w:bCs w:val="0"/>
                <w:i w:val="0"/>
                <w:iCs w:val="0"/>
                <w:caps w:val="0"/>
                <w:color w:val="000000"/>
                <w:spacing w:val="0"/>
                <w:sz w:val="24"/>
                <w:szCs w:val="24"/>
                <w:shd w:val="clear" w:color="auto" w:fill="FFFFFF"/>
                <w:lang w:val="en-US" w:eastAsia="zh-CN"/>
              </w:rPr>
              <w:t>0.008%，</w:t>
            </w:r>
            <w:r>
              <w:rPr>
                <w:rFonts w:hint="eastAsia" w:ascii="Times New Roman" w:hAnsi="Times New Roman" w:eastAsia="宋体" w:cs="Times New Roman"/>
                <w:b w:val="0"/>
                <w:bCs w:val="0"/>
                <w:i w:val="0"/>
                <w:iCs w:val="0"/>
                <w:caps w:val="0"/>
                <w:color w:val="000000"/>
                <w:spacing w:val="0"/>
                <w:sz w:val="24"/>
                <w:szCs w:val="24"/>
                <w:shd w:val="clear" w:color="auto" w:fill="FFFFFF"/>
                <w:lang w:val="en-US" w:eastAsia="zh-CN"/>
              </w:rPr>
              <w:t>本次按照甲醛全部挥发考虑，则干燥过程产生的甲醛为1.21t。</w:t>
            </w:r>
          </w:p>
          <w:p w14:paraId="6FD7639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i w:val="0"/>
                <w:iCs w:val="0"/>
                <w:caps w:val="0"/>
                <w:color w:val="auto"/>
                <w:spacing w:val="0"/>
                <w:sz w:val="24"/>
                <w:szCs w:val="24"/>
                <w:lang w:val="en-US" w:eastAsia="zh-CN"/>
              </w:rPr>
            </w:pPr>
            <w:r>
              <w:rPr>
                <w:rFonts w:hint="eastAsia" w:ascii="Times New Roman" w:hAnsi="Times New Roman" w:eastAsia="宋体" w:cs="Times New Roman"/>
                <w:b w:val="0"/>
                <w:bCs w:val="0"/>
                <w:i w:val="0"/>
                <w:iCs w:val="0"/>
                <w:caps w:val="0"/>
                <w:color w:val="auto"/>
                <w:spacing w:val="0"/>
                <w:sz w:val="24"/>
                <w:szCs w:val="24"/>
                <w:shd w:val="clear" w:color="auto" w:fill="FFFFFF"/>
                <w:lang w:val="en-US" w:eastAsia="zh-CN"/>
              </w:rPr>
              <w:t>根据企业提供的高效萘系减水剂中含固量为38.2%，则萘系减水剂水剂中的含水率为61.8%，干燥后的粉剂减水剂含水率为5%。</w:t>
            </w:r>
          </w:p>
          <w:p w14:paraId="3EC1F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w:t>
            </w:r>
            <w:r>
              <w:rPr>
                <w:rFonts w:hint="eastAsia" w:ascii="Times New Roman" w:hAnsi="Times New Roman" w:eastAsia="宋体" w:cs="Times New Roman"/>
                <w:color w:val="auto"/>
                <w:kern w:val="0"/>
                <w:sz w:val="24"/>
                <w:lang w:eastAsia="zh-CN"/>
              </w:rPr>
              <w:t>表</w:t>
            </w:r>
            <w:r>
              <w:rPr>
                <w:rFonts w:hint="eastAsia" w:ascii="Times New Roman" w:hAnsi="Times New Roman" w:eastAsia="宋体" w:cs="Times New Roman"/>
                <w:color w:val="auto"/>
                <w:kern w:val="0"/>
                <w:sz w:val="24"/>
                <w:lang w:val="en-US" w:eastAsia="zh-CN"/>
              </w:rPr>
              <w:t>4-6  干燥前后颗粒物的产生量计算表</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996"/>
              <w:gridCol w:w="3999"/>
            </w:tblGrid>
            <w:tr w14:paraId="6AA5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2499" w:type="pct"/>
                  <w:shd w:val="clear" w:color="auto" w:fill="auto"/>
                  <w:noWrap w:val="0"/>
                  <w:vAlign w:val="center"/>
                </w:tcPr>
                <w:p w14:paraId="695A07F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lang w:eastAsia="zh-CN"/>
                    </w:rPr>
                  </w:pPr>
                  <w:r>
                    <w:rPr>
                      <w:rStyle w:val="43"/>
                      <w:rFonts w:hint="default" w:ascii="Times New Roman" w:hAnsi="Times New Roman" w:eastAsia="宋体" w:cs="Times New Roman"/>
                      <w:b w:val="0"/>
                      <w:bCs w:val="0"/>
                      <w:i w:val="0"/>
                      <w:iCs w:val="0"/>
                      <w:caps w:val="0"/>
                      <w:color w:val="auto"/>
                      <w:spacing w:val="0"/>
                      <w:sz w:val="21"/>
                      <w:szCs w:val="21"/>
                      <w:shd w:val="clear" w:color="auto" w:fill="FFFFFF"/>
                      <w:vertAlign w:val="baseline"/>
                      <w:lang w:eastAsia="zh-CN"/>
                    </w:rPr>
                    <w:t>项目</w:t>
                  </w:r>
                </w:p>
              </w:tc>
              <w:tc>
                <w:tcPr>
                  <w:tcW w:w="2500" w:type="pct"/>
                  <w:shd w:val="clear" w:color="auto" w:fill="auto"/>
                  <w:noWrap w:val="0"/>
                  <w:vAlign w:val="center"/>
                </w:tcPr>
                <w:p w14:paraId="3580A10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lang w:eastAsia="zh-CN"/>
                    </w:rPr>
                  </w:pPr>
                  <w:r>
                    <w:rPr>
                      <w:rStyle w:val="43"/>
                      <w:rFonts w:hint="default" w:ascii="Times New Roman" w:hAnsi="Times New Roman" w:eastAsia="宋体" w:cs="Times New Roman"/>
                      <w:b w:val="0"/>
                      <w:bCs w:val="0"/>
                      <w:i w:val="0"/>
                      <w:iCs w:val="0"/>
                      <w:caps w:val="0"/>
                      <w:color w:val="auto"/>
                      <w:spacing w:val="0"/>
                      <w:sz w:val="21"/>
                      <w:szCs w:val="21"/>
                      <w:shd w:val="clear" w:color="auto" w:fill="FFFFFF"/>
                      <w:vertAlign w:val="baseline"/>
                      <w:lang w:eastAsia="zh-CN"/>
                    </w:rPr>
                    <w:t>质量（</w:t>
                  </w:r>
                  <w:r>
                    <w:rPr>
                      <w:rStyle w:val="43"/>
                      <w:rFonts w:hint="default" w:ascii="Times New Roman" w:hAnsi="Times New Roman" w:eastAsia="宋体" w:cs="Times New Roman"/>
                      <w:b w:val="0"/>
                      <w:bCs w:val="0"/>
                      <w:i w:val="0"/>
                      <w:iCs w:val="0"/>
                      <w:caps w:val="0"/>
                      <w:color w:val="auto"/>
                      <w:spacing w:val="0"/>
                      <w:sz w:val="21"/>
                      <w:szCs w:val="21"/>
                      <w:shd w:val="clear" w:color="auto" w:fill="FFFFFF"/>
                      <w:vertAlign w:val="baseline"/>
                      <w:lang w:val="en-US" w:eastAsia="zh-CN"/>
                    </w:rPr>
                    <w:t>t</w:t>
                  </w:r>
                  <w:r>
                    <w:rPr>
                      <w:rStyle w:val="43"/>
                      <w:rFonts w:hint="default" w:ascii="Times New Roman" w:hAnsi="Times New Roman" w:eastAsia="宋体" w:cs="Times New Roman"/>
                      <w:b w:val="0"/>
                      <w:bCs w:val="0"/>
                      <w:i w:val="0"/>
                      <w:iCs w:val="0"/>
                      <w:caps w:val="0"/>
                      <w:color w:val="auto"/>
                      <w:spacing w:val="0"/>
                      <w:sz w:val="21"/>
                      <w:szCs w:val="21"/>
                      <w:shd w:val="clear" w:color="auto" w:fill="FFFFFF"/>
                      <w:vertAlign w:val="baseline"/>
                      <w:lang w:eastAsia="zh-CN"/>
                    </w:rPr>
                    <w:t>）</w:t>
                  </w:r>
                </w:p>
              </w:tc>
            </w:tr>
            <w:tr w14:paraId="5214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shd w:val="clear" w:color="auto" w:fill="auto"/>
                  <w:noWrap w:val="0"/>
                  <w:vAlign w:val="center"/>
                </w:tcPr>
                <w:p w14:paraId="4A41622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rPr>
                  </w:pPr>
                  <w:r>
                    <w:rPr>
                      <w:rFonts w:hint="default" w:ascii="Times New Roman" w:hAnsi="Times New Roman" w:eastAsia="Segoe UI" w:cs="Times New Roman"/>
                      <w:i w:val="0"/>
                      <w:iCs w:val="0"/>
                      <w:caps w:val="0"/>
                      <w:color w:val="auto"/>
                      <w:spacing w:val="0"/>
                      <w:sz w:val="21"/>
                      <w:szCs w:val="21"/>
                      <w:shd w:val="clear" w:color="auto" w:fill="EFF0F1"/>
                    </w:rPr>
                    <w:t>干燥前总质量</w:t>
                  </w:r>
                </w:p>
              </w:tc>
              <w:tc>
                <w:tcPr>
                  <w:tcW w:w="2500" w:type="pct"/>
                  <w:shd w:val="clear" w:color="auto" w:fill="auto"/>
                  <w:noWrap w:val="0"/>
                  <w:vAlign w:val="center"/>
                </w:tcPr>
                <w:p w14:paraId="5E2E37A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lang w:val="en-US" w:eastAsia="zh-CN"/>
                    </w:rPr>
                  </w:pPr>
                  <w:r>
                    <w:rPr>
                      <w:rStyle w:val="43"/>
                      <w:rFonts w:hint="eastAsia" w:ascii="Times New Roman" w:hAnsi="Times New Roman" w:eastAsia="宋体" w:cs="Times New Roman"/>
                      <w:b w:val="0"/>
                      <w:bCs w:val="0"/>
                      <w:i w:val="0"/>
                      <w:iCs w:val="0"/>
                      <w:caps w:val="0"/>
                      <w:color w:val="auto"/>
                      <w:spacing w:val="0"/>
                      <w:sz w:val="21"/>
                      <w:szCs w:val="21"/>
                      <w:shd w:val="clear" w:color="auto" w:fill="FFFFFF"/>
                      <w:vertAlign w:val="baseline"/>
                      <w:lang w:val="en-US" w:eastAsia="zh-CN"/>
                    </w:rPr>
                    <w:t>18000</w:t>
                  </w:r>
                </w:p>
              </w:tc>
            </w:tr>
            <w:tr w14:paraId="31A6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shd w:val="clear" w:color="auto" w:fill="auto"/>
                  <w:noWrap w:val="0"/>
                  <w:vAlign w:val="center"/>
                </w:tcPr>
                <w:p w14:paraId="08ECAF9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rPr>
                  </w:pPr>
                  <w:r>
                    <w:rPr>
                      <w:rFonts w:hint="default" w:ascii="Times New Roman" w:hAnsi="Times New Roman" w:eastAsia="Segoe UI" w:cs="Times New Roman"/>
                      <w:i w:val="0"/>
                      <w:iCs w:val="0"/>
                      <w:caps w:val="0"/>
                      <w:color w:val="auto"/>
                      <w:spacing w:val="0"/>
                      <w:sz w:val="21"/>
                      <w:szCs w:val="21"/>
                      <w:shd w:val="clear" w:color="auto" w:fill="EFF0F1"/>
                    </w:rPr>
                    <w:t>干燥前干物质质量</w:t>
                  </w:r>
                </w:p>
              </w:tc>
              <w:tc>
                <w:tcPr>
                  <w:tcW w:w="2500" w:type="pct"/>
                  <w:shd w:val="clear" w:color="auto" w:fill="auto"/>
                  <w:noWrap w:val="0"/>
                  <w:vAlign w:val="center"/>
                </w:tcPr>
                <w:p w14:paraId="7932E94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lang w:val="en-US" w:eastAsia="zh-CN"/>
                    </w:rPr>
                  </w:pPr>
                  <w:r>
                    <w:rPr>
                      <w:rStyle w:val="43"/>
                      <w:rFonts w:hint="eastAsia" w:eastAsia="宋体" w:cs="Times New Roman"/>
                      <w:b w:val="0"/>
                      <w:bCs w:val="0"/>
                      <w:i w:val="0"/>
                      <w:iCs w:val="0"/>
                      <w:caps w:val="0"/>
                      <w:color w:val="auto"/>
                      <w:spacing w:val="0"/>
                      <w:sz w:val="21"/>
                      <w:szCs w:val="21"/>
                      <w:shd w:val="clear" w:color="auto" w:fill="FFFFFF"/>
                      <w:vertAlign w:val="baseline"/>
                      <w:lang w:val="en-US" w:eastAsia="zh-CN"/>
                    </w:rPr>
                    <w:t>6876</w:t>
                  </w:r>
                </w:p>
              </w:tc>
            </w:tr>
            <w:tr w14:paraId="6404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shd w:val="clear" w:color="auto" w:fill="auto"/>
                  <w:noWrap w:val="0"/>
                  <w:vAlign w:val="center"/>
                </w:tcPr>
                <w:p w14:paraId="31C4DA9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rPr>
                  </w:pPr>
                  <w:r>
                    <w:rPr>
                      <w:rFonts w:hint="default" w:ascii="Times New Roman" w:hAnsi="Times New Roman" w:eastAsia="Segoe UI" w:cs="Times New Roman"/>
                      <w:i w:val="0"/>
                      <w:iCs w:val="0"/>
                      <w:caps w:val="0"/>
                      <w:color w:val="auto"/>
                      <w:spacing w:val="0"/>
                      <w:sz w:val="21"/>
                      <w:szCs w:val="21"/>
                      <w:shd w:val="clear" w:color="auto" w:fill="EFF0F1"/>
                    </w:rPr>
                    <w:t>干燥后总质量</w:t>
                  </w:r>
                </w:p>
              </w:tc>
              <w:tc>
                <w:tcPr>
                  <w:tcW w:w="2500" w:type="pct"/>
                  <w:shd w:val="clear" w:color="auto" w:fill="auto"/>
                  <w:noWrap w:val="0"/>
                  <w:vAlign w:val="center"/>
                </w:tcPr>
                <w:p w14:paraId="3F01EC2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lang w:val="en-US" w:eastAsia="zh-CN"/>
                    </w:rPr>
                  </w:pPr>
                  <w:r>
                    <w:rPr>
                      <w:rStyle w:val="43"/>
                      <w:rFonts w:hint="default" w:ascii="Times New Roman" w:hAnsi="Times New Roman" w:eastAsia="宋体" w:cs="Times New Roman"/>
                      <w:b w:val="0"/>
                      <w:bCs w:val="0"/>
                      <w:i w:val="0"/>
                      <w:iCs w:val="0"/>
                      <w:caps w:val="0"/>
                      <w:color w:val="auto"/>
                      <w:spacing w:val="0"/>
                      <w:sz w:val="21"/>
                      <w:szCs w:val="21"/>
                      <w:shd w:val="clear" w:color="auto" w:fill="FFFFFF"/>
                      <w:vertAlign w:val="baseline"/>
                      <w:lang w:val="en-US" w:eastAsia="zh-CN"/>
                    </w:rPr>
                    <w:t>7200</w:t>
                  </w:r>
                </w:p>
              </w:tc>
            </w:tr>
            <w:tr w14:paraId="3D8F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shd w:val="clear" w:color="auto" w:fill="auto"/>
                  <w:noWrap w:val="0"/>
                  <w:vAlign w:val="center"/>
                </w:tcPr>
                <w:p w14:paraId="33E20DE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rPr>
                  </w:pPr>
                  <w:r>
                    <w:rPr>
                      <w:rFonts w:hint="default" w:ascii="Times New Roman" w:hAnsi="Times New Roman" w:eastAsia="Segoe UI" w:cs="Times New Roman"/>
                      <w:i w:val="0"/>
                      <w:iCs w:val="0"/>
                      <w:caps w:val="0"/>
                      <w:color w:val="auto"/>
                      <w:spacing w:val="0"/>
                      <w:sz w:val="21"/>
                      <w:szCs w:val="21"/>
                      <w:shd w:val="clear" w:color="auto" w:fill="EFF0F1"/>
                    </w:rPr>
                    <w:t>干燥后水的质量</w:t>
                  </w:r>
                </w:p>
              </w:tc>
              <w:tc>
                <w:tcPr>
                  <w:tcW w:w="2500" w:type="pct"/>
                  <w:shd w:val="clear" w:color="auto" w:fill="auto"/>
                  <w:noWrap w:val="0"/>
                  <w:vAlign w:val="center"/>
                </w:tcPr>
                <w:p w14:paraId="29C92A8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lang w:val="en-US" w:eastAsia="zh-CN"/>
                    </w:rPr>
                  </w:pPr>
                  <w:r>
                    <w:rPr>
                      <w:rStyle w:val="43"/>
                      <w:rFonts w:hint="eastAsia" w:ascii="Times New Roman" w:hAnsi="Times New Roman" w:eastAsia="宋体" w:cs="Times New Roman"/>
                      <w:b w:val="0"/>
                      <w:bCs w:val="0"/>
                      <w:i w:val="0"/>
                      <w:iCs w:val="0"/>
                      <w:caps w:val="0"/>
                      <w:color w:val="auto"/>
                      <w:spacing w:val="0"/>
                      <w:sz w:val="21"/>
                      <w:szCs w:val="21"/>
                      <w:shd w:val="clear" w:color="auto" w:fill="FFFFFF"/>
                      <w:vertAlign w:val="baseline"/>
                      <w:lang w:val="en-US" w:eastAsia="zh-CN"/>
                    </w:rPr>
                    <w:t>360</w:t>
                  </w:r>
                </w:p>
              </w:tc>
            </w:tr>
            <w:tr w14:paraId="26F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shd w:val="clear" w:color="auto" w:fill="auto"/>
                  <w:noWrap w:val="0"/>
                  <w:vAlign w:val="center"/>
                </w:tcPr>
                <w:p w14:paraId="24CFA3E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rPr>
                  </w:pPr>
                  <w:r>
                    <w:rPr>
                      <w:rFonts w:hint="default" w:ascii="Times New Roman" w:hAnsi="Times New Roman" w:eastAsia="Segoe UI" w:cs="Times New Roman"/>
                      <w:i w:val="0"/>
                      <w:iCs w:val="0"/>
                      <w:caps w:val="0"/>
                      <w:color w:val="auto"/>
                      <w:spacing w:val="0"/>
                      <w:sz w:val="21"/>
                      <w:szCs w:val="21"/>
                      <w:shd w:val="clear" w:color="auto" w:fill="EFF0F1"/>
                    </w:rPr>
                    <w:t>干燥后干物质质量</w:t>
                  </w:r>
                </w:p>
              </w:tc>
              <w:tc>
                <w:tcPr>
                  <w:tcW w:w="2500" w:type="pct"/>
                  <w:shd w:val="clear" w:color="auto" w:fill="auto"/>
                  <w:noWrap w:val="0"/>
                  <w:vAlign w:val="center"/>
                </w:tcPr>
                <w:p w14:paraId="7D9A5B5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Style w:val="43"/>
                      <w:rFonts w:hint="default" w:ascii="Times New Roman" w:hAnsi="Times New Roman" w:eastAsia="宋体" w:cs="Times New Roman"/>
                      <w:b w:val="0"/>
                      <w:bCs w:val="0"/>
                      <w:i w:val="0"/>
                      <w:iCs w:val="0"/>
                      <w:caps w:val="0"/>
                      <w:color w:val="auto"/>
                      <w:spacing w:val="0"/>
                      <w:sz w:val="21"/>
                      <w:szCs w:val="21"/>
                      <w:vertAlign w:val="baseline"/>
                      <w:lang w:val="en-US" w:eastAsia="zh-CN"/>
                    </w:rPr>
                  </w:pPr>
                  <w:r>
                    <w:rPr>
                      <w:rStyle w:val="43"/>
                      <w:rFonts w:hint="eastAsia" w:ascii="Times New Roman" w:hAnsi="Times New Roman" w:eastAsia="宋体" w:cs="Times New Roman"/>
                      <w:b w:val="0"/>
                      <w:bCs w:val="0"/>
                      <w:i w:val="0"/>
                      <w:iCs w:val="0"/>
                      <w:caps w:val="0"/>
                      <w:color w:val="auto"/>
                      <w:spacing w:val="0"/>
                      <w:sz w:val="21"/>
                      <w:szCs w:val="21"/>
                      <w:shd w:val="clear" w:color="auto" w:fill="FFFFFF"/>
                      <w:vertAlign w:val="baseline"/>
                      <w:lang w:val="en-US" w:eastAsia="zh-CN"/>
                    </w:rPr>
                    <w:t>6840</w:t>
                  </w:r>
                </w:p>
              </w:tc>
            </w:tr>
          </w:tbl>
          <w:p w14:paraId="01C715C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sz w:val="24"/>
                <w:szCs w:val="24"/>
                <w:lang w:val="en-US" w:eastAsia="zh-CN"/>
              </w:rPr>
            </w:pP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根据质量守恒定律，干燥过程中颗粒物的产生量等于干燥后产品中颗粒物的质量减去干燥前半成品中颗粒物的质量，即：68</w:t>
            </w:r>
            <w:r>
              <w:rPr>
                <w:rFonts w:hint="eastAsia" w:ascii="Times New Roman" w:hAnsi="Times New Roman" w:eastAsia="宋体" w:cs="Times New Roman"/>
                <w:b w:val="0"/>
                <w:bCs w:val="0"/>
                <w:i w:val="0"/>
                <w:iCs w:val="0"/>
                <w:caps w:val="0"/>
                <w:color w:val="auto"/>
                <w:spacing w:val="0"/>
                <w:sz w:val="24"/>
                <w:szCs w:val="24"/>
                <w:shd w:val="clear" w:color="auto" w:fill="FFFFFF"/>
                <w:lang w:val="en-US" w:eastAsia="zh-CN"/>
              </w:rPr>
              <w:t>76</w:t>
            </w: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w:t>
            </w:r>
            <w:r>
              <w:rPr>
                <w:rFonts w:hint="eastAsia" w:ascii="Times New Roman" w:hAnsi="Times New Roman" w:eastAsia="宋体" w:cs="Times New Roman"/>
                <w:b w:val="0"/>
                <w:bCs w:val="0"/>
                <w:i w:val="0"/>
                <w:iCs w:val="0"/>
                <w:caps w:val="0"/>
                <w:color w:val="auto"/>
                <w:spacing w:val="0"/>
                <w:sz w:val="24"/>
                <w:szCs w:val="24"/>
                <w:shd w:val="clear" w:color="auto" w:fill="FFFFFF"/>
                <w:lang w:val="en-US" w:eastAsia="zh-CN"/>
              </w:rPr>
              <w:t>6840</w:t>
            </w: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w:t>
            </w:r>
            <w:r>
              <w:rPr>
                <w:rFonts w:hint="eastAsia" w:ascii="Times New Roman" w:hAnsi="Times New Roman" w:eastAsia="宋体" w:cs="Times New Roman"/>
                <w:b w:val="0"/>
                <w:bCs w:val="0"/>
                <w:i w:val="0"/>
                <w:iCs w:val="0"/>
                <w:caps w:val="0"/>
                <w:color w:val="auto"/>
                <w:spacing w:val="0"/>
                <w:sz w:val="24"/>
                <w:szCs w:val="24"/>
                <w:shd w:val="clear" w:color="auto" w:fill="FFFFFF"/>
                <w:lang w:val="en-US" w:eastAsia="zh-CN"/>
              </w:rPr>
              <w:t>36</w:t>
            </w: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t</w:t>
            </w:r>
            <w:r>
              <w:rPr>
                <w:rFonts w:hint="eastAsia" w:ascii="Times New Roman" w:hAnsi="Times New Roman" w:eastAsia="宋体" w:cs="Times New Roman"/>
                <w:b w:val="0"/>
                <w:bCs w:val="0"/>
                <w:i w:val="0"/>
                <w:iCs w:val="0"/>
                <w:caps w:val="0"/>
                <w:color w:val="auto"/>
                <w:spacing w:val="0"/>
                <w:sz w:val="24"/>
                <w:szCs w:val="24"/>
                <w:shd w:val="clear" w:color="auto" w:fill="FFFFFF"/>
                <w:lang w:val="en-US" w:eastAsia="zh-CN"/>
              </w:rPr>
              <w:t>。</w:t>
            </w:r>
          </w:p>
          <w:p w14:paraId="7BDBF33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Segoe UI" w:hAnsi="Segoe UI" w:eastAsia="宋体" w:cs="Segoe UI"/>
                <w:i w:val="0"/>
                <w:iCs w:val="0"/>
                <w:caps w:val="0"/>
                <w:spacing w:val="0"/>
                <w:sz w:val="21"/>
                <w:szCs w:val="21"/>
                <w:lang w:eastAsia="zh-CN"/>
              </w:rPr>
            </w:pPr>
            <w:r>
              <w:rPr>
                <w:rFonts w:hint="eastAsia" w:ascii="Segoe UI" w:hAnsi="Segoe UI" w:eastAsia="Segoe UI" w:cs="Segoe UI"/>
                <w:i w:val="0"/>
                <w:iCs w:val="0"/>
                <w:caps w:val="0"/>
                <w:spacing w:val="0"/>
                <w:kern w:val="0"/>
                <w:sz w:val="24"/>
                <w:szCs w:val="24"/>
                <w:shd w:val="clear" w:color="auto" w:fill="FFFFFF"/>
                <w:lang w:val="en-US" w:eastAsia="zh-CN" w:bidi="zh-HK"/>
              </w:rPr>
              <w:t>由于萘系减水剂没有行业标准，只有相关的性能标准，但相关性能标准未对产品中萘含量做出要求，查询相关文献也未有萘含量的说明，因此，本次根据实际生产实践和反应原理与化学平衡判断萘系减水剂生产过程中萘转化率。</w:t>
            </w:r>
          </w:p>
          <w:p w14:paraId="4D20774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Segoe UI" w:cs="Times New Roman"/>
                <w:i w:val="0"/>
                <w:iCs w:val="0"/>
                <w:caps w:val="0"/>
                <w:spacing w:val="0"/>
                <w:kern w:val="0"/>
                <w:sz w:val="24"/>
                <w:szCs w:val="24"/>
                <w:lang w:val="en-US" w:eastAsia="zh-CN" w:bidi="zh-HK"/>
              </w:rPr>
            </w:pPr>
            <w:r>
              <w:rPr>
                <w:rFonts w:hint="default" w:ascii="Times New Roman" w:hAnsi="Times New Roman" w:eastAsia="Segoe UI" w:cs="Times New Roman"/>
                <w:i w:val="0"/>
                <w:iCs w:val="0"/>
                <w:caps w:val="0"/>
                <w:spacing w:val="0"/>
                <w:kern w:val="0"/>
                <w:sz w:val="24"/>
                <w:szCs w:val="24"/>
                <w:shd w:val="clear" w:color="auto" w:fill="FFFFFF"/>
                <w:lang w:val="en-US" w:eastAsia="zh-CN" w:bidi="zh-HK"/>
              </w:rPr>
              <w:t>萘系减水剂的生产主要通过磺化、缩合等一系列化学反应来实现。在磺化反应中，萘与浓硫酸发生反应生成萘磺酸，该反应为可逆反应。从化学平衡角度来看，在合理的反应条件下，如适宜的温度、反应时间、硫酸浓度等，可以促使反应朝着生成萘磺酸的方向进行，尽可能提高萘的转化程度。但由于反应的可逆性，很难实现萘的100%转化，因此，</w:t>
            </w:r>
            <w:r>
              <w:rPr>
                <w:rFonts w:hint="eastAsia" w:ascii="Times New Roman" w:hAnsi="Times New Roman" w:eastAsia="Segoe UI" w:cs="Times New Roman"/>
                <w:i w:val="0"/>
                <w:iCs w:val="0"/>
                <w:caps w:val="0"/>
                <w:spacing w:val="0"/>
                <w:kern w:val="0"/>
                <w:sz w:val="24"/>
                <w:szCs w:val="24"/>
                <w:shd w:val="clear" w:color="auto" w:fill="FFFFFF"/>
                <w:lang w:val="en-US" w:eastAsia="zh-CN" w:bidi="zh-HK"/>
              </w:rPr>
              <w:t>靖源科技主要生产减水剂，生产时间较长，且减水剂的生产工艺成熟，生产过程中对温度、反应时间的把控较精确，因此，经与建设单位沟通后</w:t>
            </w:r>
            <w:r>
              <w:rPr>
                <w:rFonts w:hint="default" w:ascii="Times New Roman" w:hAnsi="Times New Roman" w:eastAsia="Segoe UI" w:cs="Times New Roman"/>
                <w:i w:val="0"/>
                <w:iCs w:val="0"/>
                <w:caps w:val="0"/>
                <w:spacing w:val="0"/>
                <w:kern w:val="0"/>
                <w:sz w:val="24"/>
                <w:szCs w:val="24"/>
                <w:shd w:val="clear" w:color="auto" w:fill="FFFFFF"/>
                <w:lang w:val="en-US" w:eastAsia="zh-CN" w:bidi="zh-HK"/>
              </w:rPr>
              <w:t>本次按照按9</w:t>
            </w:r>
            <w:r>
              <w:rPr>
                <w:rFonts w:hint="eastAsia" w:ascii="Times New Roman" w:hAnsi="Times New Roman" w:eastAsia="Segoe UI" w:cs="Times New Roman"/>
                <w:i w:val="0"/>
                <w:iCs w:val="0"/>
                <w:caps w:val="0"/>
                <w:spacing w:val="0"/>
                <w:kern w:val="0"/>
                <w:sz w:val="24"/>
                <w:szCs w:val="24"/>
                <w:shd w:val="clear" w:color="auto" w:fill="FFFFFF"/>
                <w:lang w:val="en-US" w:eastAsia="zh-CN" w:bidi="zh-HK"/>
              </w:rPr>
              <w:t>9</w:t>
            </w:r>
            <w:r>
              <w:rPr>
                <w:rFonts w:hint="default" w:ascii="Times New Roman" w:hAnsi="Times New Roman" w:eastAsia="Segoe UI" w:cs="Times New Roman"/>
                <w:i w:val="0"/>
                <w:iCs w:val="0"/>
                <w:caps w:val="0"/>
                <w:spacing w:val="0"/>
                <w:kern w:val="0"/>
                <w:sz w:val="24"/>
                <w:szCs w:val="24"/>
                <w:shd w:val="clear" w:color="auto" w:fill="FFFFFF"/>
                <w:lang w:val="en-US" w:eastAsia="zh-CN" w:bidi="zh-HK"/>
              </w:rPr>
              <w:t>%的转化率计</w:t>
            </w:r>
            <w:r>
              <w:rPr>
                <w:rFonts w:hint="eastAsia" w:ascii="Times New Roman" w:hAnsi="Times New Roman" w:eastAsia="Segoe UI" w:cs="Times New Roman"/>
                <w:i w:val="0"/>
                <w:iCs w:val="0"/>
                <w:caps w:val="0"/>
                <w:spacing w:val="0"/>
                <w:kern w:val="0"/>
                <w:sz w:val="24"/>
                <w:szCs w:val="24"/>
                <w:shd w:val="clear" w:color="auto" w:fill="FFFFFF"/>
                <w:lang w:val="en-US" w:eastAsia="zh-CN" w:bidi="zh-HK"/>
              </w:rPr>
              <w:t>算，则有1%的萘残留在产品中。</w:t>
            </w:r>
          </w:p>
          <w:p w14:paraId="5C2D861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Segoe UI" w:cs="Times New Roman"/>
                <w:i w:val="0"/>
                <w:iCs w:val="0"/>
                <w:caps w:val="0"/>
                <w:spacing w:val="0"/>
                <w:kern w:val="0"/>
                <w:sz w:val="24"/>
                <w:szCs w:val="24"/>
                <w:lang w:val="en-US" w:eastAsia="zh-CN" w:bidi="zh-HK"/>
              </w:rPr>
            </w:pPr>
            <w:r>
              <w:rPr>
                <w:rFonts w:hint="eastAsia" w:ascii="Times New Roman" w:hAnsi="Times New Roman" w:eastAsia="Segoe UI" w:cs="Times New Roman"/>
                <w:i w:val="0"/>
                <w:iCs w:val="0"/>
                <w:caps w:val="0"/>
                <w:spacing w:val="0"/>
                <w:kern w:val="0"/>
                <w:sz w:val="24"/>
                <w:szCs w:val="24"/>
                <w:shd w:val="clear" w:color="auto" w:fill="FFFFFF"/>
                <w:lang w:val="en-US" w:eastAsia="zh-CN" w:bidi="zh-HK"/>
              </w:rPr>
              <w:t>根据《年产20万吨聚羧酸减水剂和5万吨脲醛胶扩建项目环境影响报告书》95%工业萘使用量为13600t，其中1%的萘未转化，残留在产品中，根据生产工艺萘系减水剂母液的生产分为熔萘、磺化、水解、缩合、中和，其中萘主要反应在磺化、水解过程，缩合反应的反应温度为110℃，中和反应的反应温度为80℃，根据萘的理化性质可知，熔点为80.1℃，相对密度（水=1）为1.16，沸点为217.9℃，相对蒸气密度（空气=1）为4.42，闪点为78.9℃，萘在80℃左右会挥发，本次缩合、中和反应中萘挥发率按95%计，则萘的产生量为13600</w:t>
            </w:r>
            <w:r>
              <w:rPr>
                <w:rFonts w:hint="default" w:ascii="Times New Roman" w:hAnsi="Times New Roman" w:eastAsia="Segoe UI" w:cs="Times New Roman"/>
                <w:i w:val="0"/>
                <w:iCs w:val="0"/>
                <w:caps w:val="0"/>
                <w:spacing w:val="0"/>
                <w:kern w:val="0"/>
                <w:sz w:val="24"/>
                <w:szCs w:val="24"/>
                <w:shd w:val="clear" w:color="auto" w:fill="FFFFFF"/>
                <w:lang w:val="en-US" w:eastAsia="zh-CN" w:bidi="zh-HK"/>
              </w:rPr>
              <w:t>×</w:t>
            </w:r>
            <w:r>
              <w:rPr>
                <w:rFonts w:hint="eastAsia" w:ascii="Times New Roman" w:hAnsi="Times New Roman" w:eastAsia="Segoe UI" w:cs="Times New Roman"/>
                <w:i w:val="0"/>
                <w:iCs w:val="0"/>
                <w:caps w:val="0"/>
                <w:spacing w:val="0"/>
                <w:kern w:val="0"/>
                <w:sz w:val="24"/>
                <w:szCs w:val="24"/>
                <w:shd w:val="clear" w:color="auto" w:fill="FFFFFF"/>
                <w:lang w:val="en-US" w:eastAsia="zh-CN" w:bidi="zh-HK"/>
              </w:rPr>
              <w:t>95%</w:t>
            </w:r>
            <w:r>
              <w:rPr>
                <w:rFonts w:hint="default" w:ascii="Times New Roman" w:hAnsi="Times New Roman" w:eastAsia="Segoe UI" w:cs="Times New Roman"/>
                <w:i w:val="0"/>
                <w:iCs w:val="0"/>
                <w:caps w:val="0"/>
                <w:spacing w:val="0"/>
                <w:kern w:val="0"/>
                <w:sz w:val="24"/>
                <w:szCs w:val="24"/>
                <w:shd w:val="clear" w:color="auto" w:fill="FFFFFF"/>
                <w:lang w:val="en-US" w:eastAsia="zh-CN" w:bidi="zh-HK"/>
              </w:rPr>
              <w:t>×</w:t>
            </w:r>
            <w:r>
              <w:rPr>
                <w:rFonts w:hint="eastAsia" w:ascii="Times New Roman" w:hAnsi="Times New Roman" w:eastAsia="Segoe UI" w:cs="Times New Roman"/>
                <w:i w:val="0"/>
                <w:iCs w:val="0"/>
                <w:caps w:val="0"/>
                <w:spacing w:val="0"/>
                <w:kern w:val="0"/>
                <w:sz w:val="24"/>
                <w:szCs w:val="24"/>
                <w:shd w:val="clear" w:color="auto" w:fill="FFFFFF"/>
                <w:lang w:val="en-US" w:eastAsia="zh-CN" w:bidi="zh-HK"/>
              </w:rPr>
              <w:t>1%=129.2t，129.2</w:t>
            </w:r>
            <w:r>
              <w:rPr>
                <w:rFonts w:hint="default" w:ascii="Times New Roman" w:hAnsi="Times New Roman" w:eastAsia="Segoe UI" w:cs="Times New Roman"/>
                <w:i w:val="0"/>
                <w:iCs w:val="0"/>
                <w:caps w:val="0"/>
                <w:spacing w:val="0"/>
                <w:kern w:val="0"/>
                <w:sz w:val="24"/>
                <w:szCs w:val="24"/>
                <w:shd w:val="clear" w:color="auto" w:fill="FFFFFF"/>
                <w:lang w:val="en-US" w:eastAsia="zh-CN" w:bidi="zh-HK"/>
              </w:rPr>
              <w:t>×</w:t>
            </w:r>
            <w:r>
              <w:rPr>
                <w:rFonts w:hint="eastAsia" w:ascii="Times New Roman" w:hAnsi="Times New Roman" w:eastAsia="Segoe UI" w:cs="Times New Roman"/>
                <w:i w:val="0"/>
                <w:iCs w:val="0"/>
                <w:caps w:val="0"/>
                <w:spacing w:val="0"/>
                <w:kern w:val="0"/>
                <w:sz w:val="24"/>
                <w:szCs w:val="24"/>
                <w:shd w:val="clear" w:color="auto" w:fill="FFFFFF"/>
                <w:lang w:val="en-US" w:eastAsia="zh-CN" w:bidi="zh-HK"/>
              </w:rPr>
              <w:t>（1-95%）=6.46t。</w:t>
            </w:r>
          </w:p>
          <w:p w14:paraId="7FB4E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eastAsia="zh-CN"/>
              </w:rPr>
              <w:t>表</w:t>
            </w:r>
            <w:r>
              <w:rPr>
                <w:rFonts w:hint="default" w:ascii="Times New Roman" w:hAnsi="Times New Roman" w:cs="Times New Roman"/>
                <w:kern w:val="0"/>
                <w:sz w:val="24"/>
                <w:lang w:val="en-US" w:eastAsia="zh-CN"/>
              </w:rPr>
              <w:t>4</w:t>
            </w:r>
            <w:r>
              <w:rPr>
                <w:rFonts w:hint="eastAsia" w:cs="Times New Roman"/>
                <w:kern w:val="0"/>
                <w:sz w:val="24"/>
                <w:lang w:val="en-US" w:eastAsia="zh-CN"/>
              </w:rPr>
              <w:t>-7</w:t>
            </w:r>
            <w:r>
              <w:rPr>
                <w:rFonts w:hint="default" w:ascii="Times New Roman" w:hAnsi="Times New Roman" w:cs="Times New Roman"/>
                <w:kern w:val="0"/>
                <w:sz w:val="24"/>
                <w:lang w:val="en-US" w:eastAsia="zh-CN"/>
              </w:rPr>
              <w:t xml:space="preserve">  干燥废气污染物产生量一览表</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30"/>
              <w:gridCol w:w="846"/>
              <w:gridCol w:w="1010"/>
              <w:gridCol w:w="1195"/>
              <w:gridCol w:w="1163"/>
              <w:gridCol w:w="846"/>
              <w:gridCol w:w="1010"/>
              <w:gridCol w:w="1195"/>
            </w:tblGrid>
            <w:tr w14:paraId="71F3A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2" w:hRule="atLeast"/>
              </w:trPr>
              <w:tc>
                <w:tcPr>
                  <w:tcW w:w="523" w:type="pct"/>
                  <w:vMerge w:val="restart"/>
                  <w:tcBorders>
                    <w:right w:val="single" w:color="auto" w:sz="4" w:space="0"/>
                  </w:tcBorders>
                  <w:shd w:val="clear" w:color="auto" w:fill="auto"/>
                  <w:noWrap w:val="0"/>
                  <w:vAlign w:val="center"/>
                </w:tcPr>
                <w:p w14:paraId="18BFF92C">
                  <w:pPr>
                    <w:jc w:val="center"/>
                    <w:rPr>
                      <w:sz w:val="21"/>
                      <w:szCs w:val="21"/>
                    </w:rPr>
                  </w:pPr>
                  <w:r>
                    <w:rPr>
                      <w:rFonts w:hint="eastAsia"/>
                      <w:sz w:val="21"/>
                      <w:szCs w:val="21"/>
                    </w:rPr>
                    <w:t>污染物</w:t>
                  </w:r>
                </w:p>
              </w:tc>
              <w:tc>
                <w:tcPr>
                  <w:tcW w:w="1891" w:type="pct"/>
                  <w:gridSpan w:val="3"/>
                  <w:tcBorders>
                    <w:left w:val="single" w:color="auto" w:sz="4" w:space="0"/>
                    <w:bottom w:val="single" w:color="auto" w:sz="4" w:space="0"/>
                    <w:right w:val="single" w:color="auto" w:sz="4" w:space="0"/>
                  </w:tcBorders>
                  <w:shd w:val="clear" w:color="auto" w:fill="auto"/>
                  <w:noWrap w:val="0"/>
                  <w:vAlign w:val="center"/>
                </w:tcPr>
                <w:p w14:paraId="08D3F41D">
                  <w:pPr>
                    <w:jc w:val="center"/>
                    <w:rPr>
                      <w:rFonts w:hint="eastAsia"/>
                      <w:sz w:val="21"/>
                      <w:szCs w:val="21"/>
                      <w:lang w:eastAsia="zh-CN"/>
                    </w:rPr>
                  </w:pPr>
                  <w:r>
                    <w:rPr>
                      <w:rFonts w:hint="eastAsia"/>
                      <w:sz w:val="21"/>
                      <w:szCs w:val="21"/>
                      <w:lang w:eastAsia="zh-CN"/>
                    </w:rPr>
                    <w:t>污染物产生情况</w:t>
                  </w:r>
                </w:p>
              </w:tc>
              <w:tc>
                <w:tcPr>
                  <w:tcW w:w="821" w:type="pct"/>
                  <w:vMerge w:val="restart"/>
                  <w:tcBorders>
                    <w:left w:val="single" w:color="auto" w:sz="4" w:space="0"/>
                    <w:right w:val="single" w:color="auto" w:sz="4" w:space="0"/>
                  </w:tcBorders>
                  <w:shd w:val="clear" w:color="auto" w:fill="auto"/>
                  <w:noWrap w:val="0"/>
                  <w:vAlign w:val="center"/>
                </w:tcPr>
                <w:p w14:paraId="52C01C1D">
                  <w:pPr>
                    <w:jc w:val="center"/>
                    <w:rPr>
                      <w:rFonts w:hint="eastAsia"/>
                      <w:sz w:val="21"/>
                      <w:szCs w:val="21"/>
                      <w:lang w:eastAsia="zh-CN"/>
                    </w:rPr>
                  </w:pPr>
                  <w:r>
                    <w:rPr>
                      <w:rFonts w:hint="eastAsia"/>
                      <w:sz w:val="21"/>
                      <w:szCs w:val="21"/>
                      <w:lang w:eastAsia="zh-CN"/>
                    </w:rPr>
                    <w:t>治理</w:t>
                  </w:r>
                </w:p>
                <w:p w14:paraId="3CE4C3D0">
                  <w:pPr>
                    <w:jc w:val="center"/>
                    <w:rPr>
                      <w:rFonts w:hint="eastAsia"/>
                      <w:sz w:val="21"/>
                      <w:szCs w:val="21"/>
                      <w:lang w:eastAsia="zh-CN"/>
                    </w:rPr>
                  </w:pPr>
                  <w:r>
                    <w:rPr>
                      <w:rFonts w:hint="eastAsia"/>
                      <w:sz w:val="21"/>
                      <w:szCs w:val="21"/>
                      <w:lang w:eastAsia="zh-CN"/>
                    </w:rPr>
                    <w:t>措施</w:t>
                  </w:r>
                </w:p>
              </w:tc>
              <w:tc>
                <w:tcPr>
                  <w:tcW w:w="1763" w:type="pct"/>
                  <w:gridSpan w:val="3"/>
                  <w:tcBorders>
                    <w:left w:val="single" w:color="auto" w:sz="4" w:space="0"/>
                    <w:bottom w:val="single" w:color="auto" w:sz="4" w:space="0"/>
                    <w:right w:val="single" w:color="auto" w:sz="4" w:space="0"/>
                  </w:tcBorders>
                  <w:shd w:val="clear" w:color="auto" w:fill="auto"/>
                  <w:noWrap w:val="0"/>
                  <w:vAlign w:val="center"/>
                </w:tcPr>
                <w:p w14:paraId="25239CED">
                  <w:pPr>
                    <w:jc w:val="center"/>
                    <w:rPr>
                      <w:rFonts w:hint="eastAsia"/>
                      <w:sz w:val="21"/>
                      <w:szCs w:val="21"/>
                      <w:lang w:eastAsia="zh-CN"/>
                    </w:rPr>
                  </w:pPr>
                  <w:r>
                    <w:rPr>
                      <w:rFonts w:hint="eastAsia"/>
                      <w:sz w:val="21"/>
                      <w:szCs w:val="21"/>
                      <w:lang w:eastAsia="zh-CN"/>
                    </w:rPr>
                    <w:t>污染物排放情况</w:t>
                  </w:r>
                </w:p>
              </w:tc>
            </w:tr>
            <w:tr w14:paraId="5854C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23" w:type="pct"/>
                  <w:vMerge w:val="continue"/>
                  <w:tcBorders>
                    <w:right w:val="single" w:color="auto" w:sz="4" w:space="0"/>
                  </w:tcBorders>
                  <w:shd w:val="clear" w:color="auto" w:fill="auto"/>
                  <w:noWrap w:val="0"/>
                  <w:vAlign w:val="center"/>
                </w:tcPr>
                <w:p w14:paraId="63049D54">
                  <w:pPr>
                    <w:jc w:val="center"/>
                    <w:rPr>
                      <w:rFonts w:hint="eastAsia"/>
                      <w:sz w:val="21"/>
                      <w:szCs w:val="21"/>
                    </w:rPr>
                  </w:pPr>
                </w:p>
              </w:tc>
              <w:tc>
                <w:tcPr>
                  <w:tcW w:w="569" w:type="pct"/>
                  <w:tcBorders>
                    <w:top w:val="single" w:color="auto" w:sz="4" w:space="0"/>
                    <w:left w:val="single" w:color="auto" w:sz="4" w:space="0"/>
                    <w:right w:val="single" w:color="auto" w:sz="4" w:space="0"/>
                  </w:tcBorders>
                  <w:shd w:val="clear" w:color="auto" w:fill="auto"/>
                  <w:noWrap w:val="0"/>
                  <w:vAlign w:val="center"/>
                </w:tcPr>
                <w:p w14:paraId="5B1DE872">
                  <w:pPr>
                    <w:jc w:val="center"/>
                    <w:rPr>
                      <w:rFonts w:hint="eastAsia"/>
                      <w:sz w:val="21"/>
                      <w:szCs w:val="21"/>
                      <w:lang w:eastAsia="zh-CN"/>
                    </w:rPr>
                  </w:pPr>
                  <w:r>
                    <w:rPr>
                      <w:rFonts w:hint="eastAsia"/>
                      <w:sz w:val="21"/>
                      <w:szCs w:val="21"/>
                      <w:lang w:eastAsia="zh-CN"/>
                    </w:rPr>
                    <w:t>产生</w:t>
                  </w:r>
                  <w:r>
                    <w:rPr>
                      <w:sz w:val="21"/>
                      <w:szCs w:val="21"/>
                    </w:rPr>
                    <w:t>量</w:t>
                  </w:r>
                  <w:r>
                    <w:rPr>
                      <w:rFonts w:hint="eastAsia"/>
                      <w:sz w:val="21"/>
                      <w:szCs w:val="21"/>
                      <w:lang w:eastAsia="zh-CN"/>
                    </w:rPr>
                    <w:t>（</w:t>
                  </w:r>
                  <w:r>
                    <w:rPr>
                      <w:rFonts w:hint="eastAsia"/>
                      <w:sz w:val="21"/>
                      <w:szCs w:val="21"/>
                      <w:lang w:val="en-US" w:eastAsia="zh-CN"/>
                    </w:rPr>
                    <w:t>t/a</w:t>
                  </w:r>
                  <w:r>
                    <w:rPr>
                      <w:rFonts w:hint="eastAsia"/>
                      <w:sz w:val="21"/>
                      <w:szCs w:val="21"/>
                      <w:lang w:eastAsia="zh-CN"/>
                    </w:rPr>
                    <w:t>）</w:t>
                  </w:r>
                </w:p>
              </w:tc>
              <w:tc>
                <w:tcPr>
                  <w:tcW w:w="622" w:type="pct"/>
                  <w:tcBorders>
                    <w:top w:val="single" w:color="auto" w:sz="4" w:space="0"/>
                    <w:left w:val="single" w:color="auto" w:sz="4" w:space="0"/>
                    <w:right w:val="single" w:color="auto" w:sz="4" w:space="0"/>
                  </w:tcBorders>
                  <w:shd w:val="clear" w:color="auto" w:fill="auto"/>
                  <w:noWrap w:val="0"/>
                  <w:vAlign w:val="center"/>
                </w:tcPr>
                <w:p w14:paraId="196D9FA9">
                  <w:pPr>
                    <w:jc w:val="center"/>
                    <w:rPr>
                      <w:rFonts w:hint="eastAsia"/>
                      <w:sz w:val="21"/>
                      <w:szCs w:val="21"/>
                      <w:lang w:eastAsia="zh-CN"/>
                    </w:rPr>
                  </w:pPr>
                  <w:r>
                    <w:rPr>
                      <w:rFonts w:hint="eastAsia"/>
                      <w:sz w:val="21"/>
                      <w:szCs w:val="21"/>
                      <w:lang w:eastAsia="zh-CN"/>
                    </w:rPr>
                    <w:t>产生</w:t>
                  </w:r>
                </w:p>
                <w:p w14:paraId="1CC92B52">
                  <w:pPr>
                    <w:jc w:val="center"/>
                    <w:rPr>
                      <w:rFonts w:hint="eastAsia"/>
                      <w:sz w:val="21"/>
                      <w:szCs w:val="21"/>
                      <w:lang w:eastAsia="zh-CN"/>
                    </w:rPr>
                  </w:pPr>
                  <w:r>
                    <w:rPr>
                      <w:rFonts w:hint="eastAsia"/>
                      <w:sz w:val="21"/>
                      <w:szCs w:val="21"/>
                      <w:lang w:eastAsia="zh-CN"/>
                    </w:rPr>
                    <w:t>速率（</w:t>
                  </w:r>
                  <w:r>
                    <w:rPr>
                      <w:rFonts w:hint="eastAsia"/>
                      <w:sz w:val="21"/>
                      <w:szCs w:val="21"/>
                      <w:lang w:val="en-US" w:eastAsia="zh-CN"/>
                    </w:rPr>
                    <w:t>kg/h</w:t>
                  </w:r>
                  <w:r>
                    <w:rPr>
                      <w:rFonts w:hint="eastAsia"/>
                      <w:sz w:val="21"/>
                      <w:szCs w:val="21"/>
                      <w:lang w:eastAsia="zh-CN"/>
                    </w:rPr>
                    <w:t>）</w:t>
                  </w:r>
                </w:p>
              </w:tc>
              <w:tc>
                <w:tcPr>
                  <w:tcW w:w="700" w:type="pct"/>
                  <w:tcBorders>
                    <w:top w:val="single" w:color="auto" w:sz="4" w:space="0"/>
                    <w:left w:val="single" w:color="auto" w:sz="4" w:space="0"/>
                    <w:right w:val="single" w:color="auto" w:sz="4" w:space="0"/>
                  </w:tcBorders>
                  <w:shd w:val="clear" w:color="auto" w:fill="auto"/>
                  <w:noWrap w:val="0"/>
                  <w:vAlign w:val="center"/>
                </w:tcPr>
                <w:p w14:paraId="7EE73A9B">
                  <w:pPr>
                    <w:jc w:val="center"/>
                    <w:rPr>
                      <w:rFonts w:hint="eastAsia"/>
                      <w:sz w:val="21"/>
                      <w:szCs w:val="21"/>
                      <w:lang w:eastAsia="zh-CN"/>
                    </w:rPr>
                  </w:pPr>
                  <w:r>
                    <w:rPr>
                      <w:rFonts w:hint="eastAsia"/>
                      <w:sz w:val="21"/>
                      <w:szCs w:val="21"/>
                      <w:lang w:eastAsia="zh-CN"/>
                    </w:rPr>
                    <w:t>产生</w:t>
                  </w:r>
                </w:p>
                <w:p w14:paraId="25184814">
                  <w:pPr>
                    <w:jc w:val="center"/>
                    <w:rPr>
                      <w:rFonts w:hint="eastAsia"/>
                      <w:sz w:val="21"/>
                      <w:szCs w:val="21"/>
                      <w:lang w:eastAsia="zh-CN"/>
                    </w:rPr>
                  </w:pPr>
                  <w:r>
                    <w:rPr>
                      <w:rFonts w:hint="eastAsia"/>
                      <w:sz w:val="21"/>
                      <w:szCs w:val="21"/>
                      <w:lang w:eastAsia="zh-CN"/>
                    </w:rPr>
                    <w:t>浓度（</w:t>
                  </w:r>
                  <w:r>
                    <w:rPr>
                      <w:rFonts w:hint="eastAsia"/>
                      <w:sz w:val="21"/>
                      <w:szCs w:val="21"/>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821" w:type="pct"/>
                  <w:vMerge w:val="continue"/>
                  <w:tcBorders>
                    <w:left w:val="single" w:color="auto" w:sz="4" w:space="0"/>
                    <w:right w:val="single" w:color="auto" w:sz="4" w:space="0"/>
                  </w:tcBorders>
                  <w:shd w:val="clear" w:color="auto" w:fill="auto"/>
                  <w:noWrap w:val="0"/>
                  <w:vAlign w:val="center"/>
                </w:tcPr>
                <w:p w14:paraId="2884F6FF">
                  <w:pPr>
                    <w:jc w:val="center"/>
                    <w:rPr>
                      <w:rFonts w:hint="eastAsia"/>
                      <w:sz w:val="21"/>
                      <w:szCs w:val="21"/>
                      <w:lang w:eastAsia="zh-CN"/>
                    </w:rPr>
                  </w:pPr>
                </w:p>
              </w:tc>
              <w:tc>
                <w:tcPr>
                  <w:tcW w:w="4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7B402B">
                  <w:pPr>
                    <w:jc w:val="center"/>
                    <w:rPr>
                      <w:rFonts w:hint="eastAsia" w:ascii="Times New Roman" w:hAnsi="Times New Roman"/>
                      <w:kern w:val="2"/>
                      <w:sz w:val="21"/>
                      <w:szCs w:val="21"/>
                      <w:lang w:val="en-US" w:eastAsia="zh-CN" w:bidi="ar-SA"/>
                    </w:rPr>
                  </w:pPr>
                  <w:r>
                    <w:rPr>
                      <w:rFonts w:hint="eastAsia"/>
                      <w:sz w:val="21"/>
                      <w:szCs w:val="21"/>
                      <w:lang w:eastAsia="zh-CN"/>
                    </w:rPr>
                    <w:t>排放量（</w:t>
                  </w:r>
                  <w:r>
                    <w:rPr>
                      <w:rFonts w:hint="eastAsia"/>
                      <w:sz w:val="21"/>
                      <w:szCs w:val="21"/>
                      <w:lang w:val="en-US" w:eastAsia="zh-CN"/>
                    </w:rPr>
                    <w:t>t/a</w:t>
                  </w:r>
                  <w:r>
                    <w:rPr>
                      <w:rFonts w:hint="eastAsia"/>
                      <w:sz w:val="21"/>
                      <w:szCs w:val="21"/>
                      <w:lang w:eastAsia="zh-CN"/>
                    </w:rPr>
                    <w:t>）</w:t>
                  </w:r>
                </w:p>
              </w:tc>
              <w:tc>
                <w:tcPr>
                  <w:tcW w:w="5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304F1">
                  <w:pPr>
                    <w:jc w:val="center"/>
                    <w:rPr>
                      <w:rFonts w:hint="eastAsia"/>
                      <w:sz w:val="21"/>
                      <w:szCs w:val="21"/>
                      <w:lang w:eastAsia="zh-CN"/>
                    </w:rPr>
                  </w:pPr>
                  <w:r>
                    <w:rPr>
                      <w:rFonts w:hint="eastAsia"/>
                      <w:sz w:val="21"/>
                      <w:szCs w:val="21"/>
                      <w:lang w:eastAsia="zh-CN"/>
                    </w:rPr>
                    <w:t>排放</w:t>
                  </w:r>
                </w:p>
                <w:p w14:paraId="0E3A13B5">
                  <w:pPr>
                    <w:jc w:val="center"/>
                    <w:rPr>
                      <w:rFonts w:hint="eastAsia"/>
                      <w:sz w:val="21"/>
                      <w:szCs w:val="21"/>
                      <w:lang w:eastAsia="zh-CN"/>
                    </w:rPr>
                  </w:pPr>
                  <w:r>
                    <w:rPr>
                      <w:rFonts w:hint="eastAsia"/>
                      <w:sz w:val="21"/>
                      <w:szCs w:val="21"/>
                      <w:lang w:eastAsia="zh-CN"/>
                    </w:rPr>
                    <w:t>速率</w:t>
                  </w:r>
                </w:p>
                <w:p w14:paraId="58349125">
                  <w:pPr>
                    <w:jc w:val="center"/>
                    <w:rPr>
                      <w:rFonts w:hint="eastAsia" w:ascii="Times New Roman" w:hAnsi="Times New Roman"/>
                      <w:kern w:val="2"/>
                      <w:sz w:val="21"/>
                      <w:szCs w:val="21"/>
                      <w:lang w:val="en-US" w:eastAsia="zh-CN" w:bidi="ar-SA"/>
                    </w:rPr>
                  </w:pPr>
                  <w:r>
                    <w:rPr>
                      <w:rFonts w:hint="eastAsia"/>
                      <w:sz w:val="21"/>
                      <w:szCs w:val="21"/>
                      <w:lang w:eastAsia="zh-CN"/>
                    </w:rPr>
                    <w:t>（</w:t>
                  </w:r>
                  <w:r>
                    <w:rPr>
                      <w:rFonts w:hint="eastAsia"/>
                      <w:sz w:val="21"/>
                      <w:szCs w:val="21"/>
                      <w:lang w:val="en-US" w:eastAsia="zh-CN"/>
                    </w:rPr>
                    <w:t>kg/h</w:t>
                  </w:r>
                  <w:r>
                    <w:rPr>
                      <w:rFonts w:hint="eastAsia"/>
                      <w:sz w:val="21"/>
                      <w:szCs w:val="21"/>
                      <w:lang w:eastAsia="zh-CN"/>
                    </w:rPr>
                    <w:t>）</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75296D">
                  <w:pPr>
                    <w:jc w:val="center"/>
                    <w:rPr>
                      <w:rFonts w:hint="eastAsia" w:ascii="Times New Roman" w:hAnsi="Times New Roman"/>
                      <w:kern w:val="2"/>
                      <w:sz w:val="21"/>
                      <w:szCs w:val="21"/>
                      <w:lang w:val="en-US" w:eastAsia="zh-CN" w:bidi="ar-SA"/>
                    </w:rPr>
                  </w:pPr>
                  <w:r>
                    <w:rPr>
                      <w:rFonts w:hint="eastAsia"/>
                      <w:sz w:val="21"/>
                      <w:szCs w:val="21"/>
                      <w:lang w:eastAsia="zh-CN"/>
                    </w:rPr>
                    <w:t>排放浓度（</w:t>
                  </w:r>
                  <w:r>
                    <w:rPr>
                      <w:rFonts w:hint="eastAsia"/>
                      <w:sz w:val="21"/>
                      <w:szCs w:val="21"/>
                      <w:lang w:val="en-US" w:eastAsia="zh-CN"/>
                    </w:rPr>
                    <w:t>mg/m</w:t>
                  </w:r>
                  <w:r>
                    <w:rPr>
                      <w:rFonts w:hint="eastAsia"/>
                      <w:sz w:val="21"/>
                      <w:szCs w:val="21"/>
                      <w:vertAlign w:val="superscript"/>
                      <w:lang w:val="en-US" w:eastAsia="zh-CN"/>
                    </w:rPr>
                    <w:t>3</w:t>
                  </w:r>
                  <w:r>
                    <w:rPr>
                      <w:rFonts w:hint="eastAsia"/>
                      <w:sz w:val="21"/>
                      <w:szCs w:val="21"/>
                      <w:lang w:eastAsia="zh-CN"/>
                    </w:rPr>
                    <w:t>）</w:t>
                  </w:r>
                </w:p>
              </w:tc>
            </w:tr>
            <w:tr w14:paraId="7362C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523" w:type="pct"/>
                  <w:tcBorders>
                    <w:right w:val="single" w:color="auto" w:sz="4" w:space="0"/>
                  </w:tcBorders>
                  <w:shd w:val="clear" w:color="auto" w:fill="auto"/>
                  <w:noWrap w:val="0"/>
                  <w:vAlign w:val="center"/>
                </w:tcPr>
                <w:p w14:paraId="3508641D">
                  <w:pPr>
                    <w:jc w:val="center"/>
                    <w:rPr>
                      <w:rFonts w:hint="eastAsia" w:ascii="Times New Roman" w:hAnsi="Times New Roman" w:eastAsia="宋体"/>
                      <w:kern w:val="2"/>
                      <w:sz w:val="21"/>
                      <w:szCs w:val="21"/>
                      <w:lang w:val="en-US" w:eastAsia="zh-CN" w:bidi="ar-SA"/>
                    </w:rPr>
                  </w:pPr>
                  <w:r>
                    <w:rPr>
                      <w:rFonts w:hint="eastAsia"/>
                      <w:sz w:val="21"/>
                      <w:szCs w:val="21"/>
                      <w:lang w:eastAsia="zh-CN"/>
                    </w:rPr>
                    <w:t>甲醛</w:t>
                  </w:r>
                </w:p>
              </w:tc>
              <w:tc>
                <w:tcPr>
                  <w:tcW w:w="569" w:type="pct"/>
                  <w:tcBorders>
                    <w:left w:val="single" w:color="auto" w:sz="4" w:space="0"/>
                    <w:right w:val="single" w:color="auto" w:sz="4" w:space="0"/>
                  </w:tcBorders>
                  <w:shd w:val="clear" w:color="auto" w:fill="auto"/>
                  <w:noWrap w:val="0"/>
                  <w:vAlign w:val="center"/>
                </w:tcPr>
                <w:p w14:paraId="594B883B">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1.21</w:t>
                  </w:r>
                </w:p>
              </w:tc>
              <w:tc>
                <w:tcPr>
                  <w:tcW w:w="622" w:type="pct"/>
                  <w:tcBorders>
                    <w:left w:val="single" w:color="auto" w:sz="4" w:space="0"/>
                    <w:right w:val="single" w:color="auto" w:sz="4" w:space="0"/>
                  </w:tcBorders>
                  <w:shd w:val="clear" w:color="auto" w:fill="auto"/>
                  <w:noWrap w:val="0"/>
                  <w:vAlign w:val="center"/>
                </w:tcPr>
                <w:p w14:paraId="63E9D8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0.168</w:t>
                  </w:r>
                </w:p>
              </w:tc>
              <w:tc>
                <w:tcPr>
                  <w:tcW w:w="700" w:type="pct"/>
                  <w:tcBorders>
                    <w:left w:val="single" w:color="auto" w:sz="4" w:space="0"/>
                    <w:right w:val="single" w:color="auto" w:sz="4" w:space="0"/>
                  </w:tcBorders>
                  <w:shd w:val="clear" w:color="auto" w:fill="auto"/>
                  <w:noWrap w:val="0"/>
                  <w:vAlign w:val="center"/>
                </w:tcPr>
                <w:p w14:paraId="43C33D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2.98</w:t>
                  </w:r>
                </w:p>
              </w:tc>
              <w:tc>
                <w:tcPr>
                  <w:tcW w:w="821" w:type="pct"/>
                  <w:vMerge w:val="restart"/>
                  <w:tcBorders>
                    <w:left w:val="single" w:color="auto" w:sz="4" w:space="0"/>
                    <w:right w:val="single" w:color="auto" w:sz="4" w:space="0"/>
                  </w:tcBorders>
                  <w:shd w:val="clear" w:color="auto" w:fill="auto"/>
                  <w:noWrap w:val="0"/>
                  <w:vAlign w:val="center"/>
                </w:tcPr>
                <w:p w14:paraId="2E37A36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旋风除尘器（颗粒物去除效率按85%计）+二级水膜除尘（水溶性有机物去除效率按70%计，颗粒物去除效率按75%计）</w:t>
                  </w:r>
                </w:p>
              </w:tc>
              <w:tc>
                <w:tcPr>
                  <w:tcW w:w="499" w:type="pct"/>
                  <w:tcBorders>
                    <w:left w:val="single" w:color="auto" w:sz="4" w:space="0"/>
                    <w:right w:val="single" w:color="auto" w:sz="4" w:space="0"/>
                  </w:tcBorders>
                  <w:shd w:val="clear" w:color="auto" w:fill="auto"/>
                  <w:noWrap w:val="0"/>
                  <w:vAlign w:val="center"/>
                </w:tcPr>
                <w:p w14:paraId="250FDD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0.363</w:t>
                  </w:r>
                </w:p>
              </w:tc>
              <w:tc>
                <w:tcPr>
                  <w:tcW w:w="577" w:type="pct"/>
                  <w:tcBorders>
                    <w:left w:val="single" w:color="auto" w:sz="4" w:space="0"/>
                    <w:right w:val="single" w:color="auto" w:sz="4" w:space="0"/>
                  </w:tcBorders>
                  <w:shd w:val="clear" w:color="auto" w:fill="auto"/>
                  <w:noWrap w:val="0"/>
                  <w:vAlign w:val="center"/>
                </w:tcPr>
                <w:p w14:paraId="706A1B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0.05</w:t>
                  </w:r>
                  <w:r>
                    <w:rPr>
                      <w:rFonts w:hint="default" w:ascii="Times New Roman" w:hAnsi="Times New Roman" w:eastAsia="宋体" w:cs="Times New Roman"/>
                      <w:i w:val="0"/>
                      <w:iCs w:val="0"/>
                      <w:color w:val="000000"/>
                      <w:kern w:val="0"/>
                      <w:sz w:val="21"/>
                      <w:szCs w:val="21"/>
                      <w:u w:val="none"/>
                      <w:lang w:val="en-US" w:eastAsia="zh-CN" w:bidi="zh-HK"/>
                    </w:rPr>
                    <w:t xml:space="preserve"> </w:t>
                  </w:r>
                </w:p>
              </w:tc>
              <w:tc>
                <w:tcPr>
                  <w:tcW w:w="686" w:type="pct"/>
                  <w:tcBorders>
                    <w:left w:val="single" w:color="auto" w:sz="4" w:space="0"/>
                    <w:right w:val="single" w:color="auto" w:sz="4" w:space="0"/>
                  </w:tcBorders>
                  <w:shd w:val="clear" w:color="auto" w:fill="auto"/>
                  <w:noWrap w:val="0"/>
                  <w:vAlign w:val="center"/>
                </w:tcPr>
                <w:p w14:paraId="14AA94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2.29</w:t>
                  </w:r>
                  <w:r>
                    <w:rPr>
                      <w:rFonts w:hint="default" w:ascii="Times New Roman" w:hAnsi="Times New Roman" w:eastAsia="宋体" w:cs="Times New Roman"/>
                      <w:i w:val="0"/>
                      <w:iCs w:val="0"/>
                      <w:color w:val="000000"/>
                      <w:kern w:val="0"/>
                      <w:sz w:val="21"/>
                      <w:szCs w:val="21"/>
                      <w:u w:val="none"/>
                      <w:lang w:val="en-US" w:eastAsia="zh-CN" w:bidi="zh-HK"/>
                    </w:rPr>
                    <w:t xml:space="preserve"> </w:t>
                  </w:r>
                </w:p>
              </w:tc>
            </w:tr>
            <w:tr w14:paraId="7B38B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523" w:type="pct"/>
                  <w:tcBorders>
                    <w:right w:val="single" w:color="auto" w:sz="4" w:space="0"/>
                  </w:tcBorders>
                  <w:shd w:val="clear" w:color="auto" w:fill="auto"/>
                  <w:noWrap w:val="0"/>
                  <w:vAlign w:val="center"/>
                </w:tcPr>
                <w:p w14:paraId="6CB6C8A0">
                  <w:pPr>
                    <w:jc w:val="center"/>
                    <w:rPr>
                      <w:rFonts w:hint="default"/>
                      <w:sz w:val="21"/>
                      <w:szCs w:val="21"/>
                      <w:lang w:val="en-US" w:eastAsia="zh-CN"/>
                    </w:rPr>
                  </w:pPr>
                  <w:r>
                    <w:rPr>
                      <w:rFonts w:hint="eastAsia"/>
                      <w:sz w:val="21"/>
                      <w:szCs w:val="21"/>
                      <w:lang w:val="en-US" w:eastAsia="zh-CN"/>
                    </w:rPr>
                    <w:t>TSP</w:t>
                  </w:r>
                </w:p>
              </w:tc>
              <w:tc>
                <w:tcPr>
                  <w:tcW w:w="569" w:type="pct"/>
                  <w:tcBorders>
                    <w:left w:val="single" w:color="auto" w:sz="4" w:space="0"/>
                    <w:right w:val="single" w:color="auto" w:sz="4" w:space="0"/>
                  </w:tcBorders>
                  <w:shd w:val="clear" w:color="auto" w:fill="auto"/>
                  <w:noWrap w:val="0"/>
                  <w:vAlign w:val="center"/>
                </w:tcPr>
                <w:p w14:paraId="32B330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36</w:t>
                  </w:r>
                </w:p>
              </w:tc>
              <w:tc>
                <w:tcPr>
                  <w:tcW w:w="622" w:type="pct"/>
                  <w:tcBorders>
                    <w:left w:val="single" w:color="auto" w:sz="4" w:space="0"/>
                    <w:right w:val="single" w:color="auto" w:sz="4" w:space="0"/>
                  </w:tcBorders>
                  <w:shd w:val="clear" w:color="auto" w:fill="auto"/>
                  <w:noWrap w:val="0"/>
                  <w:vAlign w:val="center"/>
                </w:tcPr>
                <w:p w14:paraId="77B338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5.0</w:t>
                  </w:r>
                </w:p>
              </w:tc>
              <w:tc>
                <w:tcPr>
                  <w:tcW w:w="700" w:type="pct"/>
                  <w:tcBorders>
                    <w:left w:val="single" w:color="auto" w:sz="4" w:space="0"/>
                    <w:right w:val="single" w:color="auto" w:sz="4" w:space="0"/>
                  </w:tcBorders>
                  <w:shd w:val="clear" w:color="auto" w:fill="auto"/>
                  <w:noWrap w:val="0"/>
                  <w:vAlign w:val="center"/>
                </w:tcPr>
                <w:p w14:paraId="7A21EA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229.04</w:t>
                  </w:r>
                </w:p>
              </w:tc>
              <w:tc>
                <w:tcPr>
                  <w:tcW w:w="821" w:type="pct"/>
                  <w:vMerge w:val="continue"/>
                  <w:tcBorders>
                    <w:left w:val="single" w:color="auto" w:sz="4" w:space="0"/>
                    <w:right w:val="single" w:color="auto" w:sz="4" w:space="0"/>
                  </w:tcBorders>
                  <w:shd w:val="clear" w:color="auto" w:fill="auto"/>
                  <w:noWrap w:val="0"/>
                  <w:vAlign w:val="center"/>
                </w:tcPr>
                <w:p w14:paraId="0D99953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zh-HK"/>
                    </w:rPr>
                  </w:pPr>
                </w:p>
              </w:tc>
              <w:tc>
                <w:tcPr>
                  <w:tcW w:w="499" w:type="pct"/>
                  <w:tcBorders>
                    <w:left w:val="single" w:color="auto" w:sz="4" w:space="0"/>
                    <w:right w:val="single" w:color="auto" w:sz="4" w:space="0"/>
                  </w:tcBorders>
                  <w:shd w:val="clear" w:color="auto" w:fill="auto"/>
                  <w:noWrap w:val="0"/>
                  <w:vAlign w:val="center"/>
                </w:tcPr>
                <w:p w14:paraId="3CBDDA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1.35</w:t>
                  </w:r>
                </w:p>
              </w:tc>
              <w:tc>
                <w:tcPr>
                  <w:tcW w:w="577" w:type="pct"/>
                  <w:tcBorders>
                    <w:left w:val="single" w:color="auto" w:sz="4" w:space="0"/>
                    <w:right w:val="single" w:color="auto" w:sz="4" w:space="0"/>
                  </w:tcBorders>
                  <w:shd w:val="clear" w:color="auto" w:fill="auto"/>
                  <w:noWrap w:val="0"/>
                  <w:vAlign w:val="center"/>
                </w:tcPr>
                <w:p w14:paraId="2C22ED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0.188</w:t>
                  </w:r>
                </w:p>
              </w:tc>
              <w:tc>
                <w:tcPr>
                  <w:tcW w:w="686" w:type="pct"/>
                  <w:tcBorders>
                    <w:left w:val="single" w:color="auto" w:sz="4" w:space="0"/>
                    <w:right w:val="single" w:color="auto" w:sz="4" w:space="0"/>
                  </w:tcBorders>
                  <w:shd w:val="clear" w:color="auto" w:fill="auto"/>
                  <w:noWrap w:val="0"/>
                  <w:vAlign w:val="center"/>
                </w:tcPr>
                <w:p w14:paraId="05D279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8.61</w:t>
                  </w:r>
                </w:p>
              </w:tc>
            </w:tr>
            <w:tr w14:paraId="35179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523" w:type="pct"/>
                  <w:tcBorders>
                    <w:right w:val="single" w:color="auto" w:sz="4" w:space="0"/>
                  </w:tcBorders>
                  <w:shd w:val="clear" w:color="auto" w:fill="auto"/>
                  <w:noWrap w:val="0"/>
                  <w:vAlign w:val="center"/>
                </w:tcPr>
                <w:p w14:paraId="0A9081EE">
                  <w:pPr>
                    <w:jc w:val="center"/>
                    <w:rPr>
                      <w:rFonts w:hint="eastAsia" w:ascii="Times New Roman" w:hAnsi="Times New Roman"/>
                      <w:kern w:val="2"/>
                      <w:sz w:val="21"/>
                      <w:szCs w:val="21"/>
                      <w:lang w:val="en-US" w:eastAsia="zh-CN" w:bidi="ar-SA"/>
                    </w:rPr>
                  </w:pPr>
                  <w:r>
                    <w:rPr>
                      <w:rFonts w:hint="eastAsia"/>
                      <w:sz w:val="21"/>
                      <w:szCs w:val="21"/>
                      <w:lang w:eastAsia="zh-CN"/>
                    </w:rPr>
                    <w:t>非甲烷总烃</w:t>
                  </w:r>
                </w:p>
              </w:tc>
              <w:tc>
                <w:tcPr>
                  <w:tcW w:w="569" w:type="pct"/>
                  <w:tcBorders>
                    <w:left w:val="single" w:color="auto" w:sz="4" w:space="0"/>
                    <w:right w:val="single" w:color="auto" w:sz="4" w:space="0"/>
                  </w:tcBorders>
                  <w:shd w:val="clear" w:color="auto" w:fill="auto"/>
                  <w:noWrap w:val="0"/>
                  <w:vAlign w:val="center"/>
                </w:tcPr>
                <w:p w14:paraId="3EB935FF">
                  <w:pPr>
                    <w:keepNext w:val="0"/>
                    <w:keepLines w:val="0"/>
                    <w:widowControl/>
                    <w:suppressLineNumbers w:val="0"/>
                    <w:jc w:val="center"/>
                    <w:textAlignment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zh-HK"/>
                    </w:rPr>
                    <w:t>6.46</w:t>
                  </w:r>
                </w:p>
              </w:tc>
              <w:tc>
                <w:tcPr>
                  <w:tcW w:w="622" w:type="pct"/>
                  <w:tcBorders>
                    <w:left w:val="single" w:color="auto" w:sz="4" w:space="0"/>
                    <w:right w:val="single" w:color="auto" w:sz="4" w:space="0"/>
                  </w:tcBorders>
                  <w:shd w:val="clear" w:color="auto" w:fill="auto"/>
                  <w:noWrap w:val="0"/>
                  <w:vAlign w:val="center"/>
                </w:tcPr>
                <w:p w14:paraId="24386E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0.897</w:t>
                  </w:r>
                </w:p>
              </w:tc>
              <w:tc>
                <w:tcPr>
                  <w:tcW w:w="700" w:type="pct"/>
                  <w:tcBorders>
                    <w:left w:val="single" w:color="auto" w:sz="4" w:space="0"/>
                    <w:right w:val="single" w:color="auto" w:sz="4" w:space="0"/>
                  </w:tcBorders>
                  <w:shd w:val="clear" w:color="auto" w:fill="auto"/>
                  <w:noWrap w:val="0"/>
                  <w:vAlign w:val="center"/>
                </w:tcPr>
                <w:p w14:paraId="66B7F8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41.09</w:t>
                  </w:r>
                </w:p>
              </w:tc>
              <w:tc>
                <w:tcPr>
                  <w:tcW w:w="821" w:type="pct"/>
                  <w:vMerge w:val="continue"/>
                  <w:tcBorders>
                    <w:left w:val="single" w:color="auto" w:sz="4" w:space="0"/>
                    <w:right w:val="single" w:color="auto" w:sz="4" w:space="0"/>
                  </w:tcBorders>
                  <w:shd w:val="clear" w:color="auto" w:fill="auto"/>
                  <w:noWrap w:val="0"/>
                  <w:vAlign w:val="center"/>
                </w:tcPr>
                <w:p w14:paraId="036BE6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p>
              </w:tc>
              <w:tc>
                <w:tcPr>
                  <w:tcW w:w="499" w:type="pct"/>
                  <w:tcBorders>
                    <w:left w:val="single" w:color="auto" w:sz="4" w:space="0"/>
                    <w:right w:val="single" w:color="auto" w:sz="4" w:space="0"/>
                  </w:tcBorders>
                  <w:shd w:val="clear" w:color="auto" w:fill="auto"/>
                  <w:noWrap w:val="0"/>
                  <w:vAlign w:val="center"/>
                </w:tcPr>
                <w:p w14:paraId="05A687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1.94</w:t>
                  </w:r>
                </w:p>
              </w:tc>
              <w:tc>
                <w:tcPr>
                  <w:tcW w:w="577" w:type="pct"/>
                  <w:tcBorders>
                    <w:left w:val="single" w:color="auto" w:sz="4" w:space="0"/>
                    <w:right w:val="single" w:color="auto" w:sz="4" w:space="0"/>
                  </w:tcBorders>
                  <w:shd w:val="clear" w:color="auto" w:fill="auto"/>
                  <w:noWrap w:val="0"/>
                  <w:vAlign w:val="center"/>
                </w:tcPr>
                <w:p w14:paraId="116EFE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0.27</w:t>
                  </w:r>
                </w:p>
              </w:tc>
              <w:tc>
                <w:tcPr>
                  <w:tcW w:w="686" w:type="pct"/>
                  <w:tcBorders>
                    <w:left w:val="single" w:color="auto" w:sz="4" w:space="0"/>
                    <w:right w:val="single" w:color="auto" w:sz="4" w:space="0"/>
                  </w:tcBorders>
                  <w:shd w:val="clear" w:color="auto" w:fill="auto"/>
                  <w:noWrap w:val="0"/>
                  <w:vAlign w:val="center"/>
                </w:tcPr>
                <w:p w14:paraId="00A7BD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12.37</w:t>
                  </w:r>
                </w:p>
              </w:tc>
            </w:tr>
          </w:tbl>
          <w:p w14:paraId="687473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hAnsi="宋体"/>
                <w:b w:val="0"/>
                <w:bCs/>
                <w:kern w:val="0"/>
                <w:sz w:val="24"/>
                <w:lang w:eastAsia="zh-CN"/>
              </w:rPr>
            </w:pPr>
            <w:r>
              <w:rPr>
                <w:rFonts w:hint="eastAsia" w:hAnsi="宋体"/>
                <w:b w:val="0"/>
                <w:bCs/>
                <w:kern w:val="0"/>
                <w:sz w:val="24"/>
                <w:lang w:eastAsia="zh-CN"/>
              </w:rPr>
              <w:t>由于干燥废气及热风炉燃烧废气经同一套污染治理设施及排气筒排放，则干燥废气排放口的污染物排放情况见下表。</w:t>
            </w:r>
          </w:p>
          <w:p w14:paraId="67341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eastAsia="zh-CN"/>
              </w:rPr>
              <w:t>表</w:t>
            </w:r>
            <w:r>
              <w:rPr>
                <w:rFonts w:hint="eastAsia" w:ascii="Times New Roman" w:hAnsi="Times New Roman" w:eastAsia="宋体" w:cs="Times New Roman"/>
                <w:kern w:val="0"/>
                <w:sz w:val="24"/>
                <w:lang w:val="en-US" w:eastAsia="zh-CN"/>
              </w:rPr>
              <w:t>4-8  干燥废气排放口污染物排放情况一览表</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84"/>
              <w:gridCol w:w="663"/>
              <w:gridCol w:w="839"/>
              <w:gridCol w:w="1010"/>
              <w:gridCol w:w="1195"/>
              <w:gridCol w:w="426"/>
              <w:gridCol w:w="858"/>
              <w:gridCol w:w="868"/>
              <w:gridCol w:w="943"/>
              <w:gridCol w:w="709"/>
            </w:tblGrid>
            <w:tr w14:paraId="70A56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7" w:hRule="atLeast"/>
              </w:trPr>
              <w:tc>
                <w:tcPr>
                  <w:tcW w:w="311" w:type="pct"/>
                  <w:vMerge w:val="restart"/>
                  <w:tcBorders>
                    <w:right w:val="single" w:color="auto" w:sz="4" w:space="0"/>
                  </w:tcBorders>
                  <w:shd w:val="clear" w:color="auto" w:fill="auto"/>
                  <w:noWrap w:val="0"/>
                  <w:vAlign w:val="center"/>
                </w:tcPr>
                <w:p w14:paraId="00F743B1">
                  <w:pPr>
                    <w:jc w:val="center"/>
                    <w:rPr>
                      <w:rFonts w:hint="eastAsia" w:eastAsia="宋体"/>
                      <w:sz w:val="21"/>
                      <w:szCs w:val="21"/>
                      <w:lang w:eastAsia="zh-CN"/>
                    </w:rPr>
                  </w:pPr>
                  <w:r>
                    <w:rPr>
                      <w:rFonts w:hint="eastAsia"/>
                      <w:sz w:val="21"/>
                      <w:szCs w:val="21"/>
                      <w:lang w:eastAsia="zh-CN"/>
                    </w:rPr>
                    <w:t>产生工序</w:t>
                  </w:r>
                </w:p>
              </w:tc>
              <w:tc>
                <w:tcPr>
                  <w:tcW w:w="423" w:type="pct"/>
                  <w:vMerge w:val="restart"/>
                  <w:tcBorders>
                    <w:right w:val="single" w:color="auto" w:sz="4" w:space="0"/>
                  </w:tcBorders>
                  <w:shd w:val="clear" w:color="auto" w:fill="auto"/>
                  <w:noWrap w:val="0"/>
                  <w:vAlign w:val="center"/>
                </w:tcPr>
                <w:p w14:paraId="0B9E88ED">
                  <w:pPr>
                    <w:jc w:val="center"/>
                    <w:rPr>
                      <w:sz w:val="21"/>
                      <w:szCs w:val="21"/>
                    </w:rPr>
                  </w:pPr>
                  <w:r>
                    <w:rPr>
                      <w:rFonts w:hint="eastAsia"/>
                      <w:sz w:val="21"/>
                      <w:szCs w:val="21"/>
                    </w:rPr>
                    <w:t>污染物</w:t>
                  </w:r>
                </w:p>
              </w:tc>
              <w:tc>
                <w:tcPr>
                  <w:tcW w:w="1843" w:type="pct"/>
                  <w:gridSpan w:val="3"/>
                  <w:tcBorders>
                    <w:left w:val="single" w:color="auto" w:sz="4" w:space="0"/>
                    <w:bottom w:val="single" w:color="auto" w:sz="4" w:space="0"/>
                    <w:right w:val="single" w:color="auto" w:sz="4" w:space="0"/>
                  </w:tcBorders>
                  <w:shd w:val="clear" w:color="auto" w:fill="auto"/>
                  <w:noWrap w:val="0"/>
                  <w:vAlign w:val="center"/>
                </w:tcPr>
                <w:p w14:paraId="7C2DD31D">
                  <w:pPr>
                    <w:jc w:val="center"/>
                    <w:rPr>
                      <w:rFonts w:hint="eastAsia"/>
                      <w:sz w:val="21"/>
                      <w:szCs w:val="21"/>
                      <w:lang w:eastAsia="zh-CN"/>
                    </w:rPr>
                  </w:pPr>
                  <w:r>
                    <w:rPr>
                      <w:rFonts w:hint="eastAsia"/>
                      <w:sz w:val="21"/>
                      <w:szCs w:val="21"/>
                      <w:lang w:eastAsia="zh-CN"/>
                    </w:rPr>
                    <w:t>污染物产生情况</w:t>
                  </w:r>
                </w:p>
              </w:tc>
              <w:tc>
                <w:tcPr>
                  <w:tcW w:w="272" w:type="pct"/>
                  <w:vMerge w:val="restart"/>
                  <w:tcBorders>
                    <w:left w:val="single" w:color="auto" w:sz="4" w:space="0"/>
                    <w:right w:val="single" w:color="auto" w:sz="4" w:space="0"/>
                  </w:tcBorders>
                  <w:shd w:val="clear" w:color="auto" w:fill="auto"/>
                  <w:noWrap w:val="0"/>
                  <w:vAlign w:val="center"/>
                </w:tcPr>
                <w:p w14:paraId="16E20DC5">
                  <w:pPr>
                    <w:jc w:val="center"/>
                    <w:rPr>
                      <w:rFonts w:hint="eastAsia"/>
                      <w:sz w:val="21"/>
                      <w:szCs w:val="21"/>
                      <w:lang w:eastAsia="zh-CN"/>
                    </w:rPr>
                  </w:pPr>
                  <w:r>
                    <w:rPr>
                      <w:rFonts w:hint="eastAsia"/>
                      <w:sz w:val="21"/>
                      <w:szCs w:val="21"/>
                      <w:lang w:eastAsia="zh-CN"/>
                    </w:rPr>
                    <w:t>治理措施</w:t>
                  </w:r>
                </w:p>
              </w:tc>
              <w:tc>
                <w:tcPr>
                  <w:tcW w:w="1697" w:type="pct"/>
                  <w:gridSpan w:val="3"/>
                  <w:tcBorders>
                    <w:left w:val="single" w:color="auto" w:sz="4" w:space="0"/>
                    <w:right w:val="single" w:color="auto" w:sz="4" w:space="0"/>
                  </w:tcBorders>
                  <w:shd w:val="clear" w:color="auto" w:fill="auto"/>
                  <w:noWrap w:val="0"/>
                  <w:vAlign w:val="center"/>
                </w:tcPr>
                <w:p w14:paraId="62623EE3">
                  <w:pPr>
                    <w:jc w:val="center"/>
                    <w:rPr>
                      <w:rFonts w:hint="eastAsia"/>
                      <w:sz w:val="21"/>
                      <w:szCs w:val="21"/>
                      <w:lang w:eastAsia="zh-CN"/>
                    </w:rPr>
                  </w:pPr>
                  <w:r>
                    <w:rPr>
                      <w:rFonts w:hint="eastAsia"/>
                      <w:sz w:val="21"/>
                      <w:szCs w:val="21"/>
                      <w:lang w:eastAsia="zh-CN"/>
                    </w:rPr>
                    <w:t>污染物排放情况</w:t>
                  </w:r>
                </w:p>
              </w:tc>
              <w:tc>
                <w:tcPr>
                  <w:tcW w:w="451" w:type="pct"/>
                  <w:vMerge w:val="restart"/>
                  <w:tcBorders>
                    <w:left w:val="single" w:color="auto" w:sz="4" w:space="0"/>
                    <w:right w:val="single" w:color="auto" w:sz="4" w:space="0"/>
                  </w:tcBorders>
                  <w:shd w:val="clear" w:color="auto" w:fill="auto"/>
                  <w:noWrap w:val="0"/>
                  <w:vAlign w:val="center"/>
                </w:tcPr>
                <w:p w14:paraId="6378C4E6">
                  <w:pPr>
                    <w:jc w:val="center"/>
                    <w:rPr>
                      <w:rFonts w:hint="eastAsia"/>
                      <w:sz w:val="21"/>
                      <w:szCs w:val="21"/>
                      <w:lang w:eastAsia="zh-CN"/>
                    </w:rPr>
                  </w:pPr>
                  <w:r>
                    <w:rPr>
                      <w:rFonts w:hint="eastAsia"/>
                      <w:sz w:val="21"/>
                      <w:szCs w:val="21"/>
                      <w:lang w:eastAsia="zh-CN"/>
                    </w:rPr>
                    <w:t>排放标准限值</w:t>
                  </w:r>
                </w:p>
              </w:tc>
            </w:tr>
            <w:tr w14:paraId="57D6D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311" w:type="pct"/>
                  <w:vMerge w:val="continue"/>
                  <w:tcBorders>
                    <w:right w:val="single" w:color="auto" w:sz="4" w:space="0"/>
                  </w:tcBorders>
                  <w:shd w:val="clear" w:color="auto" w:fill="auto"/>
                  <w:noWrap w:val="0"/>
                  <w:vAlign w:val="center"/>
                </w:tcPr>
                <w:p w14:paraId="5ECAE73F">
                  <w:pPr>
                    <w:jc w:val="center"/>
                    <w:rPr>
                      <w:rFonts w:hint="eastAsia"/>
                      <w:sz w:val="21"/>
                      <w:szCs w:val="21"/>
                    </w:rPr>
                  </w:pPr>
                </w:p>
              </w:tc>
              <w:tc>
                <w:tcPr>
                  <w:tcW w:w="423" w:type="pct"/>
                  <w:vMerge w:val="continue"/>
                  <w:tcBorders>
                    <w:right w:val="single" w:color="auto" w:sz="4" w:space="0"/>
                  </w:tcBorders>
                  <w:shd w:val="clear" w:color="auto" w:fill="auto"/>
                  <w:noWrap w:val="0"/>
                  <w:vAlign w:val="center"/>
                </w:tcPr>
                <w:p w14:paraId="18A8721F">
                  <w:pPr>
                    <w:jc w:val="center"/>
                    <w:rPr>
                      <w:rFonts w:hint="eastAsia"/>
                      <w:sz w:val="21"/>
                      <w:szCs w:val="21"/>
                    </w:rPr>
                  </w:pPr>
                </w:p>
              </w:tc>
              <w:tc>
                <w:tcPr>
                  <w:tcW w:w="533" w:type="pct"/>
                  <w:tcBorders>
                    <w:top w:val="single" w:color="auto" w:sz="4" w:space="0"/>
                    <w:left w:val="single" w:color="auto" w:sz="4" w:space="0"/>
                    <w:right w:val="single" w:color="auto" w:sz="4" w:space="0"/>
                  </w:tcBorders>
                  <w:shd w:val="clear" w:color="auto" w:fill="auto"/>
                  <w:noWrap w:val="0"/>
                  <w:vAlign w:val="center"/>
                </w:tcPr>
                <w:p w14:paraId="5446935A">
                  <w:pPr>
                    <w:jc w:val="center"/>
                    <w:rPr>
                      <w:rFonts w:hint="eastAsia"/>
                      <w:sz w:val="21"/>
                      <w:szCs w:val="21"/>
                      <w:lang w:eastAsia="zh-CN"/>
                    </w:rPr>
                  </w:pPr>
                  <w:r>
                    <w:rPr>
                      <w:rFonts w:hint="eastAsia"/>
                      <w:sz w:val="21"/>
                      <w:szCs w:val="21"/>
                      <w:lang w:eastAsia="zh-CN"/>
                    </w:rPr>
                    <w:t>产生</w:t>
                  </w:r>
                  <w:r>
                    <w:rPr>
                      <w:sz w:val="21"/>
                      <w:szCs w:val="21"/>
                    </w:rPr>
                    <w:t>量</w:t>
                  </w:r>
                  <w:r>
                    <w:rPr>
                      <w:rFonts w:hint="eastAsia"/>
                      <w:sz w:val="21"/>
                      <w:szCs w:val="21"/>
                      <w:lang w:val="en-US" w:eastAsia="zh-CN"/>
                    </w:rPr>
                    <w:t>(t/a)</w:t>
                  </w:r>
                </w:p>
              </w:tc>
              <w:tc>
                <w:tcPr>
                  <w:tcW w:w="1010" w:type="dxa"/>
                  <w:tcBorders>
                    <w:top w:val="single" w:color="auto" w:sz="4" w:space="0"/>
                    <w:left w:val="single" w:color="auto" w:sz="4" w:space="0"/>
                    <w:right w:val="single" w:color="auto" w:sz="4" w:space="0"/>
                  </w:tcBorders>
                  <w:shd w:val="clear" w:color="auto" w:fill="auto"/>
                  <w:noWrap w:val="0"/>
                  <w:vAlign w:val="center"/>
                </w:tcPr>
                <w:p w14:paraId="0A797ECD">
                  <w:pPr>
                    <w:jc w:val="center"/>
                    <w:rPr>
                      <w:rFonts w:hint="eastAsia"/>
                      <w:sz w:val="21"/>
                      <w:szCs w:val="21"/>
                      <w:lang w:eastAsia="zh-CN"/>
                    </w:rPr>
                  </w:pPr>
                  <w:r>
                    <w:rPr>
                      <w:rFonts w:hint="eastAsia"/>
                      <w:sz w:val="21"/>
                      <w:szCs w:val="21"/>
                      <w:lang w:eastAsia="zh-CN"/>
                    </w:rPr>
                    <w:t>产生</w:t>
                  </w:r>
                </w:p>
                <w:p w14:paraId="5058F89C">
                  <w:pPr>
                    <w:jc w:val="center"/>
                    <w:rPr>
                      <w:rFonts w:hint="eastAsia"/>
                      <w:sz w:val="21"/>
                      <w:szCs w:val="21"/>
                      <w:lang w:eastAsia="zh-CN"/>
                    </w:rPr>
                  </w:pPr>
                  <w:r>
                    <w:rPr>
                      <w:rFonts w:hint="eastAsia"/>
                      <w:sz w:val="21"/>
                      <w:szCs w:val="21"/>
                      <w:lang w:eastAsia="zh-CN"/>
                    </w:rPr>
                    <w:t>速率（</w:t>
                  </w:r>
                  <w:r>
                    <w:rPr>
                      <w:rFonts w:hint="eastAsia"/>
                      <w:sz w:val="21"/>
                      <w:szCs w:val="21"/>
                      <w:lang w:val="en-US" w:eastAsia="zh-CN"/>
                    </w:rPr>
                    <w:t>kg/h</w:t>
                  </w:r>
                  <w:r>
                    <w:rPr>
                      <w:rFonts w:hint="eastAsia"/>
                      <w:sz w:val="21"/>
                      <w:szCs w:val="21"/>
                      <w:lang w:eastAsia="zh-CN"/>
                    </w:rPr>
                    <w:t>）</w:t>
                  </w:r>
                </w:p>
              </w:tc>
              <w:tc>
                <w:tcPr>
                  <w:tcW w:w="1195" w:type="dxa"/>
                  <w:tcBorders>
                    <w:top w:val="single" w:color="auto" w:sz="4" w:space="0"/>
                    <w:left w:val="single" w:color="auto" w:sz="4" w:space="0"/>
                    <w:right w:val="single" w:color="auto" w:sz="4" w:space="0"/>
                  </w:tcBorders>
                  <w:shd w:val="clear" w:color="auto" w:fill="auto"/>
                  <w:noWrap w:val="0"/>
                  <w:vAlign w:val="center"/>
                </w:tcPr>
                <w:p w14:paraId="215E558F">
                  <w:pPr>
                    <w:jc w:val="center"/>
                    <w:rPr>
                      <w:rFonts w:hint="eastAsia"/>
                      <w:sz w:val="21"/>
                      <w:szCs w:val="21"/>
                      <w:lang w:eastAsia="zh-CN"/>
                    </w:rPr>
                  </w:pPr>
                  <w:r>
                    <w:rPr>
                      <w:rFonts w:hint="eastAsia"/>
                      <w:sz w:val="21"/>
                      <w:szCs w:val="21"/>
                      <w:lang w:eastAsia="zh-CN"/>
                    </w:rPr>
                    <w:t>产生</w:t>
                  </w:r>
                </w:p>
                <w:p w14:paraId="2DE810B8">
                  <w:pPr>
                    <w:jc w:val="center"/>
                    <w:rPr>
                      <w:rFonts w:hint="eastAsia"/>
                      <w:sz w:val="21"/>
                      <w:szCs w:val="21"/>
                      <w:lang w:eastAsia="zh-CN"/>
                    </w:rPr>
                  </w:pPr>
                  <w:r>
                    <w:rPr>
                      <w:rFonts w:hint="eastAsia"/>
                      <w:sz w:val="21"/>
                      <w:szCs w:val="21"/>
                      <w:lang w:eastAsia="zh-CN"/>
                    </w:rPr>
                    <w:t>浓度（</w:t>
                  </w:r>
                  <w:r>
                    <w:rPr>
                      <w:rFonts w:hint="eastAsia"/>
                      <w:sz w:val="21"/>
                      <w:szCs w:val="21"/>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272" w:type="pct"/>
                  <w:vMerge w:val="continue"/>
                  <w:tcBorders>
                    <w:left w:val="single" w:color="auto" w:sz="4" w:space="0"/>
                    <w:right w:val="single" w:color="auto" w:sz="4" w:space="0"/>
                  </w:tcBorders>
                  <w:shd w:val="clear" w:color="auto" w:fill="auto"/>
                  <w:noWrap w:val="0"/>
                  <w:vAlign w:val="center"/>
                </w:tcPr>
                <w:p w14:paraId="50B177BF">
                  <w:pPr>
                    <w:jc w:val="center"/>
                    <w:rPr>
                      <w:rFonts w:hint="eastAsia"/>
                      <w:sz w:val="21"/>
                      <w:szCs w:val="21"/>
                      <w:lang w:eastAsia="zh-CN"/>
                    </w:rPr>
                  </w:pPr>
                </w:p>
              </w:tc>
              <w:tc>
                <w:tcPr>
                  <w:tcW w:w="548" w:type="pct"/>
                  <w:tcBorders>
                    <w:top w:val="single" w:color="auto" w:sz="4" w:space="0"/>
                    <w:left w:val="single" w:color="auto" w:sz="4" w:space="0"/>
                    <w:right w:val="single" w:color="auto" w:sz="4" w:space="0"/>
                  </w:tcBorders>
                  <w:shd w:val="clear" w:color="auto" w:fill="auto"/>
                  <w:noWrap w:val="0"/>
                  <w:vAlign w:val="center"/>
                </w:tcPr>
                <w:p w14:paraId="74AE0032">
                  <w:pPr>
                    <w:jc w:val="center"/>
                    <w:rPr>
                      <w:rFonts w:hint="eastAsia" w:ascii="Times New Roman" w:hAnsi="Times New Roman"/>
                      <w:kern w:val="2"/>
                      <w:sz w:val="21"/>
                      <w:szCs w:val="21"/>
                      <w:lang w:val="en-US" w:eastAsia="zh-CN" w:bidi="ar-SA"/>
                    </w:rPr>
                  </w:pPr>
                  <w:r>
                    <w:rPr>
                      <w:rFonts w:hint="eastAsia"/>
                      <w:sz w:val="21"/>
                      <w:szCs w:val="21"/>
                      <w:lang w:eastAsia="zh-CN"/>
                    </w:rPr>
                    <w:t>排放量</w:t>
                  </w:r>
                  <w:r>
                    <w:rPr>
                      <w:rFonts w:hint="eastAsia"/>
                      <w:sz w:val="21"/>
                      <w:szCs w:val="21"/>
                      <w:lang w:val="en-US" w:eastAsia="zh-CN"/>
                    </w:rPr>
                    <w:t>(t/a)</w:t>
                  </w:r>
                </w:p>
              </w:tc>
              <w:tc>
                <w:tcPr>
                  <w:tcW w:w="551" w:type="pct"/>
                  <w:tcBorders>
                    <w:top w:val="single" w:color="auto" w:sz="4" w:space="0"/>
                    <w:left w:val="single" w:color="auto" w:sz="4" w:space="0"/>
                    <w:right w:val="single" w:color="auto" w:sz="4" w:space="0"/>
                  </w:tcBorders>
                  <w:shd w:val="clear" w:color="auto" w:fill="auto"/>
                  <w:noWrap w:val="0"/>
                  <w:vAlign w:val="center"/>
                </w:tcPr>
                <w:p w14:paraId="11841FBD">
                  <w:pPr>
                    <w:jc w:val="center"/>
                    <w:rPr>
                      <w:rFonts w:hint="eastAsia" w:ascii="Times New Roman" w:hAnsi="Times New Roman"/>
                      <w:kern w:val="2"/>
                      <w:sz w:val="21"/>
                      <w:szCs w:val="21"/>
                      <w:lang w:val="en-US" w:eastAsia="zh-CN" w:bidi="ar-SA"/>
                    </w:rPr>
                  </w:pPr>
                  <w:r>
                    <w:rPr>
                      <w:rFonts w:hint="eastAsia"/>
                      <w:sz w:val="21"/>
                      <w:szCs w:val="21"/>
                      <w:lang w:eastAsia="zh-CN"/>
                    </w:rPr>
                    <w:t>速率</w:t>
                  </w:r>
                  <w:r>
                    <w:rPr>
                      <w:rFonts w:hint="eastAsia"/>
                      <w:sz w:val="21"/>
                      <w:szCs w:val="21"/>
                      <w:lang w:val="en-US" w:eastAsia="zh-CN"/>
                    </w:rPr>
                    <w:t>(kg/h)</w:t>
                  </w:r>
                </w:p>
              </w:tc>
              <w:tc>
                <w:tcPr>
                  <w:tcW w:w="598" w:type="pct"/>
                  <w:tcBorders>
                    <w:top w:val="single" w:color="auto" w:sz="4" w:space="0"/>
                    <w:left w:val="single" w:color="auto" w:sz="4" w:space="0"/>
                    <w:right w:val="single" w:color="auto" w:sz="4" w:space="0"/>
                  </w:tcBorders>
                  <w:shd w:val="clear" w:color="auto" w:fill="auto"/>
                  <w:noWrap w:val="0"/>
                  <w:vAlign w:val="center"/>
                </w:tcPr>
                <w:p w14:paraId="4A905C5A">
                  <w:pPr>
                    <w:jc w:val="center"/>
                    <w:rPr>
                      <w:rFonts w:hint="eastAsia" w:ascii="Times New Roman" w:hAnsi="Times New Roman"/>
                      <w:kern w:val="2"/>
                      <w:sz w:val="21"/>
                      <w:szCs w:val="21"/>
                      <w:lang w:val="en-US" w:eastAsia="zh-CN" w:bidi="ar-SA"/>
                    </w:rPr>
                  </w:pPr>
                  <w:r>
                    <w:rPr>
                      <w:rFonts w:hint="eastAsia"/>
                      <w:sz w:val="21"/>
                      <w:szCs w:val="21"/>
                      <w:lang w:eastAsia="zh-CN"/>
                    </w:rPr>
                    <w:t>浓度</w:t>
                  </w:r>
                  <w:r>
                    <w:rPr>
                      <w:rFonts w:hint="eastAsia"/>
                      <w:sz w:val="21"/>
                      <w:szCs w:val="21"/>
                      <w:lang w:val="en-US" w:eastAsia="zh-CN"/>
                    </w:rPr>
                    <w:t>(mg/m</w:t>
                  </w:r>
                  <w:r>
                    <w:rPr>
                      <w:rFonts w:hint="eastAsia"/>
                      <w:sz w:val="21"/>
                      <w:szCs w:val="21"/>
                      <w:vertAlign w:val="superscript"/>
                      <w:lang w:val="en-US" w:eastAsia="zh-CN"/>
                    </w:rPr>
                    <w:t>3</w:t>
                  </w:r>
                  <w:r>
                    <w:rPr>
                      <w:rFonts w:hint="eastAsia"/>
                      <w:sz w:val="21"/>
                      <w:szCs w:val="21"/>
                      <w:lang w:val="en-US" w:eastAsia="zh-CN"/>
                    </w:rPr>
                    <w:t>)</w:t>
                  </w:r>
                </w:p>
              </w:tc>
              <w:tc>
                <w:tcPr>
                  <w:tcW w:w="451" w:type="pct"/>
                  <w:vMerge w:val="continue"/>
                  <w:tcBorders>
                    <w:left w:val="single" w:color="auto" w:sz="4" w:space="0"/>
                    <w:right w:val="single" w:color="auto" w:sz="4" w:space="0"/>
                  </w:tcBorders>
                  <w:shd w:val="clear" w:color="auto" w:fill="auto"/>
                  <w:noWrap w:val="0"/>
                  <w:vAlign w:val="center"/>
                </w:tcPr>
                <w:p w14:paraId="3E0BB680">
                  <w:pPr>
                    <w:jc w:val="center"/>
                    <w:rPr>
                      <w:rFonts w:hint="eastAsia"/>
                      <w:sz w:val="21"/>
                      <w:szCs w:val="21"/>
                      <w:lang w:eastAsia="zh-CN"/>
                    </w:rPr>
                  </w:pPr>
                </w:p>
              </w:tc>
            </w:tr>
            <w:tr w14:paraId="52026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311" w:type="pct"/>
                  <w:vMerge w:val="restart"/>
                  <w:tcBorders>
                    <w:right w:val="single" w:color="auto" w:sz="4" w:space="0"/>
                  </w:tcBorders>
                  <w:shd w:val="clear" w:color="auto" w:fill="auto"/>
                  <w:noWrap w:val="0"/>
                  <w:vAlign w:val="center"/>
                </w:tcPr>
                <w:p w14:paraId="4EBF864C">
                  <w:pPr>
                    <w:jc w:val="center"/>
                    <w:rPr>
                      <w:rFonts w:hint="eastAsia"/>
                      <w:sz w:val="21"/>
                      <w:szCs w:val="21"/>
                      <w:lang w:eastAsia="zh-CN"/>
                    </w:rPr>
                  </w:pPr>
                  <w:r>
                    <w:rPr>
                      <w:rFonts w:hint="eastAsia"/>
                      <w:sz w:val="21"/>
                      <w:szCs w:val="21"/>
                      <w:lang w:eastAsia="zh-CN"/>
                    </w:rPr>
                    <w:t>热风炉燃烧废气</w:t>
                  </w:r>
                </w:p>
              </w:tc>
              <w:tc>
                <w:tcPr>
                  <w:tcW w:w="423" w:type="pct"/>
                  <w:tcBorders>
                    <w:right w:val="single" w:color="auto" w:sz="4" w:space="0"/>
                  </w:tcBorders>
                  <w:shd w:val="clear" w:color="auto" w:fill="auto"/>
                  <w:noWrap w:val="0"/>
                  <w:vAlign w:val="center"/>
                </w:tcPr>
                <w:p w14:paraId="24C39EFD">
                  <w:pPr>
                    <w:jc w:val="center"/>
                    <w:rPr>
                      <w:rFonts w:hint="eastAsia" w:ascii="Times New Roman" w:hAnsi="Times New Roman" w:eastAsia="宋体"/>
                      <w:kern w:val="2"/>
                      <w:sz w:val="21"/>
                      <w:szCs w:val="21"/>
                      <w:lang w:val="en-US" w:eastAsia="zh-CN" w:bidi="ar-SA"/>
                    </w:rPr>
                  </w:pPr>
                  <w:r>
                    <w:rPr>
                      <w:rFonts w:hint="eastAsia"/>
                      <w:sz w:val="21"/>
                      <w:szCs w:val="21"/>
                      <w:lang w:eastAsia="zh-CN"/>
                    </w:rPr>
                    <w:t>甲醛</w:t>
                  </w:r>
                </w:p>
              </w:tc>
              <w:tc>
                <w:tcPr>
                  <w:tcW w:w="533" w:type="pct"/>
                  <w:tcBorders>
                    <w:left w:val="single" w:color="auto" w:sz="4" w:space="0"/>
                    <w:right w:val="single" w:color="auto" w:sz="4" w:space="0"/>
                  </w:tcBorders>
                  <w:shd w:val="clear" w:color="auto" w:fill="auto"/>
                  <w:noWrap w:val="0"/>
                  <w:vAlign w:val="center"/>
                </w:tcPr>
                <w:p w14:paraId="4D2ED37E">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0.007</w:t>
                  </w:r>
                </w:p>
              </w:tc>
              <w:tc>
                <w:tcPr>
                  <w:tcW w:w="599" w:type="pct"/>
                  <w:tcBorders>
                    <w:left w:val="single" w:color="auto" w:sz="4" w:space="0"/>
                    <w:right w:val="single" w:color="auto" w:sz="4" w:space="0"/>
                  </w:tcBorders>
                  <w:shd w:val="clear" w:color="auto" w:fill="auto"/>
                  <w:noWrap w:val="0"/>
                  <w:vAlign w:val="center"/>
                </w:tcPr>
                <w:p w14:paraId="0378EB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0.0010 </w:t>
                  </w:r>
                </w:p>
              </w:tc>
              <w:tc>
                <w:tcPr>
                  <w:tcW w:w="710" w:type="pct"/>
                  <w:tcBorders>
                    <w:left w:val="single" w:color="auto" w:sz="4" w:space="0"/>
                    <w:right w:val="single" w:color="auto" w:sz="4" w:space="0"/>
                  </w:tcBorders>
                  <w:shd w:val="clear" w:color="auto" w:fill="auto"/>
                  <w:noWrap w:val="0"/>
                  <w:vAlign w:val="center"/>
                </w:tcPr>
                <w:p w14:paraId="1520B1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0.0445 </w:t>
                  </w:r>
                </w:p>
              </w:tc>
              <w:tc>
                <w:tcPr>
                  <w:tcW w:w="272" w:type="pct"/>
                  <w:vMerge w:val="restart"/>
                  <w:tcBorders>
                    <w:left w:val="single" w:color="auto" w:sz="4" w:space="0"/>
                    <w:right w:val="single" w:color="auto" w:sz="4" w:space="0"/>
                  </w:tcBorders>
                  <w:shd w:val="clear" w:color="auto" w:fill="auto"/>
                  <w:noWrap w:val="0"/>
                  <w:vAlign w:val="center"/>
                </w:tcPr>
                <w:p w14:paraId="67BDFB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旋风除尘器+二级水膜除尘</w:t>
                  </w:r>
                </w:p>
              </w:tc>
              <w:tc>
                <w:tcPr>
                  <w:tcW w:w="548" w:type="pct"/>
                  <w:tcBorders>
                    <w:left w:val="single" w:color="auto" w:sz="4" w:space="0"/>
                    <w:right w:val="single" w:color="auto" w:sz="4" w:space="0"/>
                  </w:tcBorders>
                  <w:shd w:val="clear" w:color="auto" w:fill="auto"/>
                  <w:noWrap w:val="0"/>
                  <w:vAlign w:val="center"/>
                </w:tcPr>
                <w:p w14:paraId="524D0C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0.365</w:t>
                  </w:r>
                </w:p>
              </w:tc>
              <w:tc>
                <w:tcPr>
                  <w:tcW w:w="551" w:type="pct"/>
                  <w:tcBorders>
                    <w:left w:val="single" w:color="auto" w:sz="4" w:space="0"/>
                    <w:right w:val="single" w:color="auto" w:sz="4" w:space="0"/>
                  </w:tcBorders>
                  <w:shd w:val="clear" w:color="auto" w:fill="auto"/>
                  <w:noWrap w:val="0"/>
                  <w:vAlign w:val="center"/>
                </w:tcPr>
                <w:p w14:paraId="2EE64F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0.051</w:t>
                  </w:r>
                </w:p>
              </w:tc>
              <w:tc>
                <w:tcPr>
                  <w:tcW w:w="598" w:type="pct"/>
                  <w:tcBorders>
                    <w:left w:val="single" w:color="auto" w:sz="4" w:space="0"/>
                    <w:right w:val="single" w:color="auto" w:sz="4" w:space="0"/>
                  </w:tcBorders>
                  <w:shd w:val="clear" w:color="auto" w:fill="auto"/>
                  <w:noWrap w:val="0"/>
                  <w:vAlign w:val="center"/>
                </w:tcPr>
                <w:p w14:paraId="608A7F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2.34</w:t>
                  </w:r>
                </w:p>
              </w:tc>
              <w:tc>
                <w:tcPr>
                  <w:tcW w:w="451" w:type="pct"/>
                  <w:tcBorders>
                    <w:left w:val="single" w:color="auto" w:sz="4" w:space="0"/>
                    <w:right w:val="single" w:color="auto" w:sz="4" w:space="0"/>
                  </w:tcBorders>
                  <w:shd w:val="clear" w:color="auto" w:fill="auto"/>
                  <w:noWrap w:val="0"/>
                  <w:vAlign w:val="center"/>
                </w:tcPr>
                <w:p w14:paraId="5365F2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5.0</w:t>
                  </w:r>
                </w:p>
              </w:tc>
            </w:tr>
            <w:tr w14:paraId="48039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311" w:type="pct"/>
                  <w:vMerge w:val="continue"/>
                  <w:tcBorders>
                    <w:right w:val="single" w:color="auto" w:sz="4" w:space="0"/>
                  </w:tcBorders>
                  <w:shd w:val="clear" w:color="auto" w:fill="auto"/>
                  <w:noWrap w:val="0"/>
                  <w:vAlign w:val="center"/>
                </w:tcPr>
                <w:p w14:paraId="2503D166">
                  <w:pPr>
                    <w:jc w:val="center"/>
                    <w:rPr>
                      <w:rFonts w:hint="eastAsia"/>
                      <w:sz w:val="21"/>
                      <w:szCs w:val="21"/>
                      <w:lang w:val="en-US" w:eastAsia="zh-CN"/>
                    </w:rPr>
                  </w:pPr>
                </w:p>
              </w:tc>
              <w:tc>
                <w:tcPr>
                  <w:tcW w:w="423" w:type="pct"/>
                  <w:tcBorders>
                    <w:right w:val="single" w:color="auto" w:sz="4" w:space="0"/>
                  </w:tcBorders>
                  <w:shd w:val="clear" w:color="auto" w:fill="auto"/>
                  <w:noWrap w:val="0"/>
                  <w:vAlign w:val="center"/>
                </w:tcPr>
                <w:p w14:paraId="5ABA7426">
                  <w:pPr>
                    <w:jc w:val="center"/>
                    <w:rPr>
                      <w:rFonts w:hint="default"/>
                      <w:sz w:val="21"/>
                      <w:szCs w:val="21"/>
                      <w:lang w:val="en-US" w:eastAsia="zh-CN"/>
                    </w:rPr>
                  </w:pPr>
                  <w:r>
                    <w:rPr>
                      <w:rFonts w:hint="eastAsia"/>
                      <w:sz w:val="21"/>
                      <w:szCs w:val="21"/>
                      <w:lang w:val="en-US" w:eastAsia="zh-CN"/>
                    </w:rPr>
                    <w:t>TSP</w:t>
                  </w:r>
                </w:p>
              </w:tc>
              <w:tc>
                <w:tcPr>
                  <w:tcW w:w="533" w:type="pct"/>
                  <w:tcBorders>
                    <w:left w:val="single" w:color="auto" w:sz="4" w:space="0"/>
                    <w:right w:val="single" w:color="auto" w:sz="4" w:space="0"/>
                  </w:tcBorders>
                  <w:shd w:val="clear" w:color="auto" w:fill="auto"/>
                  <w:noWrap w:val="0"/>
                  <w:vAlign w:val="center"/>
                </w:tcPr>
                <w:p w14:paraId="44AA78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0.01</w:t>
                  </w:r>
                </w:p>
              </w:tc>
              <w:tc>
                <w:tcPr>
                  <w:tcW w:w="599" w:type="pct"/>
                  <w:tcBorders>
                    <w:left w:val="single" w:color="auto" w:sz="4" w:space="0"/>
                    <w:right w:val="single" w:color="auto" w:sz="4" w:space="0"/>
                  </w:tcBorders>
                  <w:shd w:val="clear" w:color="auto" w:fill="auto"/>
                  <w:noWrap w:val="0"/>
                  <w:vAlign w:val="center"/>
                </w:tcPr>
                <w:p w14:paraId="774503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0.0014 </w:t>
                  </w:r>
                </w:p>
              </w:tc>
              <w:tc>
                <w:tcPr>
                  <w:tcW w:w="710" w:type="pct"/>
                  <w:tcBorders>
                    <w:left w:val="single" w:color="auto" w:sz="4" w:space="0"/>
                    <w:right w:val="single" w:color="auto" w:sz="4" w:space="0"/>
                  </w:tcBorders>
                  <w:shd w:val="clear" w:color="auto" w:fill="auto"/>
                  <w:noWrap w:val="0"/>
                  <w:vAlign w:val="center"/>
                </w:tcPr>
                <w:p w14:paraId="6EC346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0.0636 </w:t>
                  </w:r>
                </w:p>
              </w:tc>
              <w:tc>
                <w:tcPr>
                  <w:tcW w:w="272" w:type="pct"/>
                  <w:vMerge w:val="continue"/>
                  <w:tcBorders>
                    <w:left w:val="single" w:color="auto" w:sz="4" w:space="0"/>
                    <w:right w:val="single" w:color="auto" w:sz="4" w:space="0"/>
                  </w:tcBorders>
                  <w:shd w:val="clear" w:color="auto" w:fill="auto"/>
                  <w:noWrap w:val="0"/>
                  <w:vAlign w:val="center"/>
                </w:tcPr>
                <w:p w14:paraId="7EE2C04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zh-HK"/>
                    </w:rPr>
                  </w:pPr>
                </w:p>
              </w:tc>
              <w:tc>
                <w:tcPr>
                  <w:tcW w:w="548" w:type="pct"/>
                  <w:tcBorders>
                    <w:left w:val="single" w:color="auto" w:sz="4" w:space="0"/>
                    <w:right w:val="single" w:color="auto" w:sz="4" w:space="0"/>
                  </w:tcBorders>
                  <w:shd w:val="clear" w:color="auto" w:fill="auto"/>
                  <w:noWrap w:val="0"/>
                  <w:vAlign w:val="center"/>
                </w:tcPr>
                <w:p w14:paraId="08CAD4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1.351</w:t>
                  </w:r>
                </w:p>
              </w:tc>
              <w:tc>
                <w:tcPr>
                  <w:tcW w:w="551" w:type="pct"/>
                  <w:tcBorders>
                    <w:left w:val="single" w:color="auto" w:sz="4" w:space="0"/>
                    <w:right w:val="single" w:color="auto" w:sz="4" w:space="0"/>
                  </w:tcBorders>
                  <w:shd w:val="clear" w:color="auto" w:fill="auto"/>
                  <w:noWrap w:val="0"/>
                  <w:vAlign w:val="center"/>
                </w:tcPr>
                <w:p w14:paraId="69F740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0.188</w:t>
                  </w:r>
                </w:p>
              </w:tc>
              <w:tc>
                <w:tcPr>
                  <w:tcW w:w="598" w:type="pct"/>
                  <w:tcBorders>
                    <w:left w:val="single" w:color="auto" w:sz="4" w:space="0"/>
                    <w:right w:val="single" w:color="auto" w:sz="4" w:space="0"/>
                  </w:tcBorders>
                  <w:shd w:val="clear" w:color="auto" w:fill="auto"/>
                  <w:noWrap w:val="0"/>
                  <w:vAlign w:val="center"/>
                </w:tcPr>
                <w:p w14:paraId="2B8C66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8.61</w:t>
                  </w:r>
                </w:p>
              </w:tc>
              <w:tc>
                <w:tcPr>
                  <w:tcW w:w="451" w:type="pct"/>
                  <w:tcBorders>
                    <w:left w:val="single" w:color="auto" w:sz="4" w:space="0"/>
                    <w:right w:val="single" w:color="auto" w:sz="4" w:space="0"/>
                  </w:tcBorders>
                  <w:shd w:val="clear" w:color="auto" w:fill="auto"/>
                  <w:noWrap w:val="0"/>
                  <w:vAlign w:val="center"/>
                </w:tcPr>
                <w:p w14:paraId="71862A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20</w:t>
                  </w:r>
                </w:p>
              </w:tc>
            </w:tr>
            <w:tr w14:paraId="2F230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11" w:type="pct"/>
                  <w:vMerge w:val="continue"/>
                  <w:tcBorders>
                    <w:right w:val="single" w:color="auto" w:sz="4" w:space="0"/>
                  </w:tcBorders>
                  <w:shd w:val="clear" w:color="auto" w:fill="auto"/>
                  <w:noWrap w:val="0"/>
                  <w:vAlign w:val="center"/>
                </w:tcPr>
                <w:p w14:paraId="6571382F">
                  <w:pPr>
                    <w:jc w:val="center"/>
                    <w:rPr>
                      <w:rFonts w:hint="eastAsia"/>
                      <w:sz w:val="21"/>
                      <w:szCs w:val="21"/>
                      <w:lang w:eastAsia="zh-CN"/>
                    </w:rPr>
                  </w:pPr>
                </w:p>
              </w:tc>
              <w:tc>
                <w:tcPr>
                  <w:tcW w:w="423" w:type="pct"/>
                  <w:tcBorders>
                    <w:right w:val="single" w:color="auto" w:sz="4" w:space="0"/>
                  </w:tcBorders>
                  <w:shd w:val="clear" w:color="auto" w:fill="auto"/>
                  <w:noWrap w:val="0"/>
                  <w:vAlign w:val="center"/>
                </w:tcPr>
                <w:p w14:paraId="277A6734">
                  <w:pPr>
                    <w:jc w:val="center"/>
                    <w:rPr>
                      <w:rFonts w:hint="eastAsia" w:ascii="Times New Roman" w:hAnsi="Times New Roman"/>
                      <w:kern w:val="2"/>
                      <w:sz w:val="21"/>
                      <w:szCs w:val="21"/>
                      <w:lang w:val="en-US" w:eastAsia="zh-CN" w:bidi="ar-SA"/>
                    </w:rPr>
                  </w:pPr>
                  <w:r>
                    <w:rPr>
                      <w:rFonts w:hint="eastAsia"/>
                      <w:sz w:val="21"/>
                      <w:szCs w:val="21"/>
                      <w:lang w:eastAsia="zh-CN"/>
                    </w:rPr>
                    <w:t>甲醇</w:t>
                  </w:r>
                </w:p>
              </w:tc>
              <w:tc>
                <w:tcPr>
                  <w:tcW w:w="533" w:type="pct"/>
                  <w:tcBorders>
                    <w:left w:val="single" w:color="auto" w:sz="4" w:space="0"/>
                    <w:right w:val="single" w:color="auto" w:sz="4" w:space="0"/>
                  </w:tcBorders>
                  <w:shd w:val="clear" w:color="auto" w:fill="auto"/>
                  <w:noWrap w:val="0"/>
                  <w:vAlign w:val="center"/>
                </w:tcPr>
                <w:p w14:paraId="71F014E4">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0.2</w:t>
                  </w:r>
                </w:p>
              </w:tc>
              <w:tc>
                <w:tcPr>
                  <w:tcW w:w="599" w:type="pct"/>
                  <w:tcBorders>
                    <w:left w:val="single" w:color="auto" w:sz="4" w:space="0"/>
                    <w:right w:val="single" w:color="auto" w:sz="4" w:space="0"/>
                  </w:tcBorders>
                  <w:shd w:val="clear" w:color="auto" w:fill="auto"/>
                  <w:noWrap w:val="0"/>
                  <w:vAlign w:val="center"/>
                </w:tcPr>
                <w:p w14:paraId="038AF7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0.0278 </w:t>
                  </w:r>
                </w:p>
              </w:tc>
              <w:tc>
                <w:tcPr>
                  <w:tcW w:w="710" w:type="pct"/>
                  <w:tcBorders>
                    <w:left w:val="single" w:color="auto" w:sz="4" w:space="0"/>
                    <w:right w:val="single" w:color="auto" w:sz="4" w:space="0"/>
                  </w:tcBorders>
                  <w:shd w:val="clear" w:color="auto" w:fill="auto"/>
                  <w:noWrap w:val="0"/>
                  <w:vAlign w:val="center"/>
                </w:tcPr>
                <w:p w14:paraId="0E9C2C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1.2725 </w:t>
                  </w:r>
                </w:p>
              </w:tc>
              <w:tc>
                <w:tcPr>
                  <w:tcW w:w="272" w:type="pct"/>
                  <w:vMerge w:val="continue"/>
                  <w:tcBorders>
                    <w:left w:val="single" w:color="auto" w:sz="4" w:space="0"/>
                    <w:right w:val="single" w:color="auto" w:sz="4" w:space="0"/>
                  </w:tcBorders>
                  <w:shd w:val="clear" w:color="auto" w:fill="auto"/>
                  <w:noWrap w:val="0"/>
                  <w:vAlign w:val="center"/>
                </w:tcPr>
                <w:p w14:paraId="111AB7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548" w:type="pct"/>
                  <w:tcBorders>
                    <w:left w:val="single" w:color="auto" w:sz="4" w:space="0"/>
                    <w:right w:val="single" w:color="auto" w:sz="4" w:space="0"/>
                  </w:tcBorders>
                  <w:shd w:val="clear" w:color="auto" w:fill="auto"/>
                  <w:noWrap w:val="0"/>
                  <w:vAlign w:val="center"/>
                </w:tcPr>
                <w:p w14:paraId="550C3F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0.06</w:t>
                  </w:r>
                </w:p>
              </w:tc>
              <w:tc>
                <w:tcPr>
                  <w:tcW w:w="551" w:type="pct"/>
                  <w:tcBorders>
                    <w:left w:val="single" w:color="auto" w:sz="4" w:space="0"/>
                    <w:right w:val="single" w:color="auto" w:sz="4" w:space="0"/>
                  </w:tcBorders>
                  <w:shd w:val="clear" w:color="auto" w:fill="auto"/>
                  <w:noWrap w:val="0"/>
                  <w:vAlign w:val="center"/>
                </w:tcPr>
                <w:p w14:paraId="4123B6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0.0083</w:t>
                  </w:r>
                </w:p>
              </w:tc>
              <w:tc>
                <w:tcPr>
                  <w:tcW w:w="598" w:type="pct"/>
                  <w:tcBorders>
                    <w:left w:val="single" w:color="auto" w:sz="4" w:space="0"/>
                    <w:right w:val="single" w:color="auto" w:sz="4" w:space="0"/>
                  </w:tcBorders>
                  <w:shd w:val="clear" w:color="auto" w:fill="auto"/>
                  <w:noWrap w:val="0"/>
                  <w:vAlign w:val="center"/>
                </w:tcPr>
                <w:p w14:paraId="7B500B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0.3817</w:t>
                  </w:r>
                </w:p>
              </w:tc>
              <w:tc>
                <w:tcPr>
                  <w:tcW w:w="451" w:type="pct"/>
                  <w:tcBorders>
                    <w:left w:val="single" w:color="auto" w:sz="4" w:space="0"/>
                    <w:right w:val="single" w:color="auto" w:sz="4" w:space="0"/>
                  </w:tcBorders>
                  <w:shd w:val="clear" w:color="auto" w:fill="auto"/>
                  <w:noWrap w:val="0"/>
                  <w:vAlign w:val="center"/>
                </w:tcPr>
                <w:p w14:paraId="50B9FE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50</w:t>
                  </w:r>
                </w:p>
              </w:tc>
            </w:tr>
            <w:tr w14:paraId="1C4A9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11" w:type="pct"/>
                  <w:vMerge w:val="continue"/>
                  <w:tcBorders>
                    <w:right w:val="single" w:color="auto" w:sz="4" w:space="0"/>
                  </w:tcBorders>
                  <w:shd w:val="clear" w:color="auto" w:fill="auto"/>
                  <w:noWrap w:val="0"/>
                  <w:vAlign w:val="center"/>
                </w:tcPr>
                <w:p w14:paraId="76F6B824">
                  <w:pPr>
                    <w:jc w:val="center"/>
                    <w:rPr>
                      <w:rFonts w:hint="eastAsia"/>
                      <w:sz w:val="21"/>
                      <w:szCs w:val="21"/>
                      <w:lang w:eastAsia="zh-CN"/>
                    </w:rPr>
                  </w:pPr>
                </w:p>
              </w:tc>
              <w:tc>
                <w:tcPr>
                  <w:tcW w:w="423" w:type="pct"/>
                  <w:tcBorders>
                    <w:right w:val="single" w:color="auto" w:sz="4" w:space="0"/>
                  </w:tcBorders>
                  <w:shd w:val="clear" w:color="auto" w:fill="auto"/>
                  <w:noWrap w:val="0"/>
                  <w:vAlign w:val="center"/>
                </w:tcPr>
                <w:p w14:paraId="406298A5">
                  <w:pPr>
                    <w:jc w:val="center"/>
                    <w:rPr>
                      <w:rFonts w:hint="eastAsia" w:ascii="Times New Roman" w:hAnsi="Times New Roman"/>
                      <w:kern w:val="2"/>
                      <w:sz w:val="21"/>
                      <w:szCs w:val="21"/>
                      <w:lang w:val="en-US" w:eastAsia="zh-CN" w:bidi="ar-SA"/>
                    </w:rPr>
                  </w:pPr>
                  <w:r>
                    <w:rPr>
                      <w:rFonts w:hint="eastAsia"/>
                      <w:sz w:val="21"/>
                      <w:szCs w:val="21"/>
                      <w:lang w:eastAsia="zh-CN"/>
                    </w:rPr>
                    <w:t>非甲烷总烃</w:t>
                  </w:r>
                </w:p>
              </w:tc>
              <w:tc>
                <w:tcPr>
                  <w:tcW w:w="533" w:type="pct"/>
                  <w:tcBorders>
                    <w:left w:val="single" w:color="auto" w:sz="4" w:space="0"/>
                    <w:right w:val="single" w:color="auto" w:sz="4" w:space="0"/>
                  </w:tcBorders>
                  <w:shd w:val="clear" w:color="auto" w:fill="auto"/>
                  <w:noWrap w:val="0"/>
                  <w:vAlign w:val="center"/>
                </w:tcPr>
                <w:p w14:paraId="77C40236">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0.095</w:t>
                  </w:r>
                </w:p>
              </w:tc>
              <w:tc>
                <w:tcPr>
                  <w:tcW w:w="599" w:type="pct"/>
                  <w:tcBorders>
                    <w:left w:val="single" w:color="auto" w:sz="4" w:space="0"/>
                    <w:right w:val="single" w:color="auto" w:sz="4" w:space="0"/>
                  </w:tcBorders>
                  <w:shd w:val="clear" w:color="auto" w:fill="auto"/>
                  <w:noWrap w:val="0"/>
                  <w:vAlign w:val="center"/>
                </w:tcPr>
                <w:p w14:paraId="4FFBDF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0.0132 </w:t>
                  </w:r>
                </w:p>
              </w:tc>
              <w:tc>
                <w:tcPr>
                  <w:tcW w:w="710" w:type="pct"/>
                  <w:tcBorders>
                    <w:left w:val="single" w:color="auto" w:sz="4" w:space="0"/>
                    <w:right w:val="single" w:color="auto" w:sz="4" w:space="0"/>
                  </w:tcBorders>
                  <w:shd w:val="clear" w:color="auto" w:fill="auto"/>
                  <w:noWrap w:val="0"/>
                  <w:vAlign w:val="center"/>
                </w:tcPr>
                <w:p w14:paraId="179973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0.6044 </w:t>
                  </w:r>
                </w:p>
              </w:tc>
              <w:tc>
                <w:tcPr>
                  <w:tcW w:w="272" w:type="pct"/>
                  <w:vMerge w:val="continue"/>
                  <w:tcBorders>
                    <w:left w:val="single" w:color="auto" w:sz="4" w:space="0"/>
                    <w:right w:val="single" w:color="auto" w:sz="4" w:space="0"/>
                  </w:tcBorders>
                  <w:shd w:val="clear" w:color="auto" w:fill="auto"/>
                  <w:noWrap w:val="0"/>
                  <w:vAlign w:val="center"/>
                </w:tcPr>
                <w:p w14:paraId="08B6D1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548" w:type="pct"/>
                  <w:tcBorders>
                    <w:left w:val="single" w:color="auto" w:sz="4" w:space="0"/>
                    <w:right w:val="single" w:color="auto" w:sz="4" w:space="0"/>
                  </w:tcBorders>
                  <w:shd w:val="clear" w:color="auto" w:fill="auto"/>
                  <w:noWrap w:val="0"/>
                  <w:vAlign w:val="center"/>
                </w:tcPr>
                <w:p w14:paraId="67F24A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1.97</w:t>
                  </w:r>
                </w:p>
              </w:tc>
              <w:tc>
                <w:tcPr>
                  <w:tcW w:w="551" w:type="pct"/>
                  <w:tcBorders>
                    <w:left w:val="single" w:color="auto" w:sz="4" w:space="0"/>
                    <w:right w:val="single" w:color="auto" w:sz="4" w:space="0"/>
                  </w:tcBorders>
                  <w:shd w:val="clear" w:color="auto" w:fill="auto"/>
                  <w:noWrap w:val="0"/>
                  <w:vAlign w:val="center"/>
                </w:tcPr>
                <w:p w14:paraId="5F47E0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0.274</w:t>
                  </w:r>
                </w:p>
              </w:tc>
              <w:tc>
                <w:tcPr>
                  <w:tcW w:w="598" w:type="pct"/>
                  <w:tcBorders>
                    <w:left w:val="single" w:color="auto" w:sz="4" w:space="0"/>
                    <w:right w:val="single" w:color="auto" w:sz="4" w:space="0"/>
                  </w:tcBorders>
                  <w:shd w:val="clear" w:color="auto" w:fill="auto"/>
                  <w:noWrap w:val="0"/>
                  <w:vAlign w:val="center"/>
                </w:tcPr>
                <w:p w14:paraId="2FEE25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12.55</w:t>
                  </w:r>
                </w:p>
              </w:tc>
              <w:tc>
                <w:tcPr>
                  <w:tcW w:w="451" w:type="pct"/>
                  <w:tcBorders>
                    <w:left w:val="single" w:color="auto" w:sz="4" w:space="0"/>
                    <w:right w:val="single" w:color="auto" w:sz="4" w:space="0"/>
                  </w:tcBorders>
                  <w:shd w:val="clear" w:color="auto" w:fill="auto"/>
                  <w:noWrap w:val="0"/>
                  <w:vAlign w:val="center"/>
                </w:tcPr>
                <w:p w14:paraId="124DC4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120</w:t>
                  </w:r>
                </w:p>
              </w:tc>
            </w:tr>
            <w:tr w14:paraId="363AF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11" w:type="pct"/>
                  <w:vMerge w:val="continue"/>
                  <w:tcBorders>
                    <w:right w:val="single" w:color="auto" w:sz="4" w:space="0"/>
                  </w:tcBorders>
                  <w:shd w:val="clear" w:color="auto" w:fill="auto"/>
                  <w:noWrap w:val="0"/>
                  <w:vAlign w:val="center"/>
                </w:tcPr>
                <w:p w14:paraId="7C3146A0">
                  <w:pPr>
                    <w:jc w:val="center"/>
                    <w:rPr>
                      <w:rFonts w:hint="eastAsia"/>
                      <w:sz w:val="21"/>
                      <w:szCs w:val="21"/>
                    </w:rPr>
                  </w:pPr>
                </w:p>
              </w:tc>
              <w:tc>
                <w:tcPr>
                  <w:tcW w:w="423" w:type="pct"/>
                  <w:tcBorders>
                    <w:right w:val="single" w:color="auto" w:sz="4" w:space="0"/>
                  </w:tcBorders>
                  <w:shd w:val="clear" w:color="auto" w:fill="auto"/>
                  <w:noWrap w:val="0"/>
                  <w:vAlign w:val="center"/>
                </w:tcPr>
                <w:p w14:paraId="5C8F2553">
                  <w:pPr>
                    <w:jc w:val="center"/>
                    <w:rPr>
                      <w:rFonts w:hint="eastAsia" w:ascii="Times New Roman" w:hAnsi="Times New Roman"/>
                      <w:kern w:val="2"/>
                      <w:sz w:val="21"/>
                      <w:szCs w:val="21"/>
                      <w:lang w:val="en-US" w:eastAsia="zh-CN" w:bidi="ar-SA"/>
                    </w:rPr>
                  </w:pPr>
                  <w:r>
                    <w:rPr>
                      <w:rFonts w:hint="eastAsia"/>
                      <w:sz w:val="21"/>
                      <w:szCs w:val="21"/>
                    </w:rPr>
                    <w:t>氮氧化物</w:t>
                  </w:r>
                </w:p>
              </w:tc>
              <w:tc>
                <w:tcPr>
                  <w:tcW w:w="533" w:type="pct"/>
                  <w:tcBorders>
                    <w:left w:val="single" w:color="auto" w:sz="4" w:space="0"/>
                    <w:right w:val="single" w:color="auto" w:sz="4" w:space="0"/>
                  </w:tcBorders>
                  <w:shd w:val="clear" w:color="auto" w:fill="auto"/>
                  <w:noWrap w:val="0"/>
                  <w:vAlign w:val="center"/>
                </w:tcPr>
                <w:p w14:paraId="4542AF95">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0.043</w:t>
                  </w:r>
                </w:p>
              </w:tc>
              <w:tc>
                <w:tcPr>
                  <w:tcW w:w="599" w:type="pct"/>
                  <w:tcBorders>
                    <w:left w:val="single" w:color="auto" w:sz="4" w:space="0"/>
                    <w:right w:val="single" w:color="auto" w:sz="4" w:space="0"/>
                  </w:tcBorders>
                  <w:shd w:val="clear" w:color="auto" w:fill="auto"/>
                  <w:noWrap w:val="0"/>
                  <w:vAlign w:val="center"/>
                </w:tcPr>
                <w:p w14:paraId="3E5A32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0.0060 </w:t>
                  </w:r>
                </w:p>
              </w:tc>
              <w:tc>
                <w:tcPr>
                  <w:tcW w:w="710" w:type="pct"/>
                  <w:tcBorders>
                    <w:left w:val="single" w:color="auto" w:sz="4" w:space="0"/>
                    <w:right w:val="single" w:color="auto" w:sz="4" w:space="0"/>
                  </w:tcBorders>
                  <w:shd w:val="clear" w:color="auto" w:fill="auto"/>
                  <w:noWrap w:val="0"/>
                  <w:vAlign w:val="center"/>
                </w:tcPr>
                <w:p w14:paraId="268DA9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0.2736 </w:t>
                  </w:r>
                </w:p>
              </w:tc>
              <w:tc>
                <w:tcPr>
                  <w:tcW w:w="272" w:type="pct"/>
                  <w:vMerge w:val="continue"/>
                  <w:tcBorders>
                    <w:left w:val="single" w:color="auto" w:sz="4" w:space="0"/>
                    <w:right w:val="single" w:color="auto" w:sz="4" w:space="0"/>
                  </w:tcBorders>
                  <w:shd w:val="clear" w:color="auto" w:fill="auto"/>
                  <w:noWrap w:val="0"/>
                  <w:vAlign w:val="center"/>
                </w:tcPr>
                <w:p w14:paraId="683062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858" w:type="dxa"/>
                  <w:tcBorders>
                    <w:left w:val="single" w:color="auto" w:sz="4" w:space="0"/>
                    <w:right w:val="single" w:color="auto" w:sz="4" w:space="0"/>
                  </w:tcBorders>
                  <w:shd w:val="clear" w:color="auto" w:fill="auto"/>
                  <w:noWrap w:val="0"/>
                  <w:vAlign w:val="center"/>
                </w:tcPr>
                <w:p w14:paraId="1CBA0B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0.043</w:t>
                  </w:r>
                </w:p>
              </w:tc>
              <w:tc>
                <w:tcPr>
                  <w:tcW w:w="868" w:type="dxa"/>
                  <w:tcBorders>
                    <w:left w:val="single" w:color="auto" w:sz="4" w:space="0"/>
                    <w:right w:val="single" w:color="auto" w:sz="4" w:space="0"/>
                  </w:tcBorders>
                  <w:shd w:val="clear" w:color="auto" w:fill="auto"/>
                  <w:noWrap w:val="0"/>
                  <w:vAlign w:val="center"/>
                </w:tcPr>
                <w:p w14:paraId="21B2DD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 xml:space="preserve">0.0060 </w:t>
                  </w:r>
                </w:p>
              </w:tc>
              <w:tc>
                <w:tcPr>
                  <w:tcW w:w="943" w:type="dxa"/>
                  <w:tcBorders>
                    <w:left w:val="single" w:color="auto" w:sz="4" w:space="0"/>
                    <w:right w:val="single" w:color="auto" w:sz="4" w:space="0"/>
                  </w:tcBorders>
                  <w:shd w:val="clear" w:color="auto" w:fill="auto"/>
                  <w:noWrap w:val="0"/>
                  <w:vAlign w:val="center"/>
                </w:tcPr>
                <w:p w14:paraId="6C17C3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default" w:ascii="Times New Roman" w:hAnsi="Times New Roman" w:eastAsia="宋体" w:cs="Times New Roman"/>
                      <w:i w:val="0"/>
                      <w:iCs w:val="0"/>
                      <w:color w:val="000000"/>
                      <w:kern w:val="0"/>
                      <w:sz w:val="21"/>
                      <w:szCs w:val="21"/>
                      <w:u w:val="none"/>
                      <w:lang w:val="en-US" w:eastAsia="zh-CN" w:bidi="zh-HK"/>
                    </w:rPr>
                    <w:t>0.27</w:t>
                  </w:r>
                  <w:r>
                    <w:rPr>
                      <w:rFonts w:hint="eastAsia" w:ascii="Times New Roman" w:hAnsi="Times New Roman" w:eastAsia="宋体" w:cs="Times New Roman"/>
                      <w:i w:val="0"/>
                      <w:iCs w:val="0"/>
                      <w:color w:val="000000"/>
                      <w:kern w:val="0"/>
                      <w:sz w:val="21"/>
                      <w:szCs w:val="21"/>
                      <w:u w:val="none"/>
                      <w:lang w:val="en-US" w:eastAsia="zh-CN" w:bidi="zh-HK"/>
                    </w:rPr>
                    <w:t>4</w:t>
                  </w:r>
                  <w:r>
                    <w:rPr>
                      <w:rFonts w:hint="default" w:ascii="Times New Roman" w:hAnsi="Times New Roman" w:eastAsia="宋体" w:cs="Times New Roman"/>
                      <w:i w:val="0"/>
                      <w:iCs w:val="0"/>
                      <w:color w:val="000000"/>
                      <w:kern w:val="0"/>
                      <w:sz w:val="21"/>
                      <w:szCs w:val="21"/>
                      <w:u w:val="none"/>
                      <w:lang w:val="en-US" w:eastAsia="zh-CN" w:bidi="zh-HK"/>
                    </w:rPr>
                    <w:t xml:space="preserve"> </w:t>
                  </w:r>
                </w:p>
              </w:tc>
              <w:tc>
                <w:tcPr>
                  <w:tcW w:w="451" w:type="pct"/>
                  <w:tcBorders>
                    <w:left w:val="single" w:color="auto" w:sz="4" w:space="0"/>
                    <w:right w:val="single" w:color="auto" w:sz="4" w:space="0"/>
                  </w:tcBorders>
                  <w:shd w:val="clear" w:color="auto" w:fill="auto"/>
                  <w:noWrap w:val="0"/>
                  <w:vAlign w:val="center"/>
                </w:tcPr>
                <w:p w14:paraId="6E08A6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100</w:t>
                  </w:r>
                </w:p>
              </w:tc>
            </w:tr>
            <w:tr w14:paraId="6E9BD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11" w:type="pct"/>
                  <w:vMerge w:val="restart"/>
                  <w:tcBorders>
                    <w:right w:val="single" w:color="auto" w:sz="4" w:space="0"/>
                  </w:tcBorders>
                  <w:shd w:val="clear" w:color="auto" w:fill="auto"/>
                  <w:noWrap w:val="0"/>
                  <w:vAlign w:val="center"/>
                </w:tcPr>
                <w:p w14:paraId="316EEA64">
                  <w:pPr>
                    <w:jc w:val="center"/>
                    <w:rPr>
                      <w:rFonts w:hint="eastAsia"/>
                      <w:sz w:val="21"/>
                      <w:szCs w:val="21"/>
                      <w:lang w:eastAsia="zh-CN"/>
                    </w:rPr>
                  </w:pPr>
                  <w:r>
                    <w:rPr>
                      <w:rFonts w:hint="eastAsia"/>
                      <w:sz w:val="21"/>
                      <w:szCs w:val="21"/>
                      <w:lang w:eastAsia="zh-CN"/>
                    </w:rPr>
                    <w:t>干燥废气</w:t>
                  </w:r>
                </w:p>
              </w:tc>
              <w:tc>
                <w:tcPr>
                  <w:tcW w:w="423" w:type="pct"/>
                  <w:tcBorders>
                    <w:right w:val="single" w:color="auto" w:sz="4" w:space="0"/>
                  </w:tcBorders>
                  <w:shd w:val="clear" w:color="auto" w:fill="auto"/>
                  <w:noWrap w:val="0"/>
                  <w:vAlign w:val="center"/>
                </w:tcPr>
                <w:p w14:paraId="3BE55AC9">
                  <w:pPr>
                    <w:jc w:val="center"/>
                    <w:rPr>
                      <w:rFonts w:hint="eastAsia" w:ascii="Times New Roman" w:hAnsi="Times New Roman" w:eastAsia="宋体"/>
                      <w:kern w:val="2"/>
                      <w:sz w:val="21"/>
                      <w:szCs w:val="21"/>
                      <w:lang w:val="en-US" w:eastAsia="zh-CN" w:bidi="ar-SA"/>
                    </w:rPr>
                  </w:pPr>
                  <w:r>
                    <w:rPr>
                      <w:rFonts w:hint="eastAsia"/>
                      <w:sz w:val="21"/>
                      <w:szCs w:val="21"/>
                      <w:lang w:eastAsia="zh-CN"/>
                    </w:rPr>
                    <w:t>甲醛</w:t>
                  </w:r>
                </w:p>
              </w:tc>
              <w:tc>
                <w:tcPr>
                  <w:tcW w:w="839" w:type="dxa"/>
                  <w:tcBorders>
                    <w:left w:val="single" w:color="auto" w:sz="4" w:space="0"/>
                    <w:right w:val="single" w:color="auto" w:sz="4" w:space="0"/>
                  </w:tcBorders>
                  <w:shd w:val="clear" w:color="auto" w:fill="auto"/>
                  <w:noWrap w:val="0"/>
                  <w:vAlign w:val="center"/>
                </w:tcPr>
                <w:p w14:paraId="6236A2AE">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1.21</w:t>
                  </w:r>
                </w:p>
              </w:tc>
              <w:tc>
                <w:tcPr>
                  <w:tcW w:w="1010" w:type="dxa"/>
                  <w:tcBorders>
                    <w:left w:val="single" w:color="auto" w:sz="4" w:space="0"/>
                    <w:right w:val="single" w:color="auto" w:sz="4" w:space="0"/>
                  </w:tcBorders>
                  <w:shd w:val="clear" w:color="auto" w:fill="auto"/>
                  <w:noWrap w:val="0"/>
                  <w:vAlign w:val="center"/>
                </w:tcPr>
                <w:p w14:paraId="3A9517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0.168</w:t>
                  </w:r>
                </w:p>
              </w:tc>
              <w:tc>
                <w:tcPr>
                  <w:tcW w:w="1195" w:type="dxa"/>
                  <w:tcBorders>
                    <w:left w:val="single" w:color="auto" w:sz="4" w:space="0"/>
                    <w:right w:val="single" w:color="auto" w:sz="4" w:space="0"/>
                  </w:tcBorders>
                  <w:shd w:val="clear" w:color="auto" w:fill="auto"/>
                  <w:noWrap w:val="0"/>
                  <w:vAlign w:val="center"/>
                </w:tcPr>
                <w:p w14:paraId="0A3497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2.98</w:t>
                  </w:r>
                </w:p>
              </w:tc>
              <w:tc>
                <w:tcPr>
                  <w:tcW w:w="272" w:type="pct"/>
                  <w:vMerge w:val="continue"/>
                  <w:tcBorders>
                    <w:left w:val="single" w:color="auto" w:sz="4" w:space="0"/>
                    <w:right w:val="single" w:color="auto" w:sz="4" w:space="0"/>
                  </w:tcBorders>
                  <w:shd w:val="clear" w:color="auto" w:fill="auto"/>
                  <w:noWrap w:val="0"/>
                  <w:vAlign w:val="center"/>
                </w:tcPr>
                <w:p w14:paraId="60998B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548" w:type="pct"/>
                  <w:tcBorders>
                    <w:left w:val="single" w:color="auto" w:sz="4" w:space="0"/>
                    <w:right w:val="single" w:color="auto" w:sz="4" w:space="0"/>
                  </w:tcBorders>
                  <w:shd w:val="clear" w:color="auto" w:fill="auto"/>
                  <w:noWrap w:val="0"/>
                  <w:vAlign w:val="center"/>
                </w:tcPr>
                <w:p w14:paraId="08CFBD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551" w:type="pct"/>
                  <w:tcBorders>
                    <w:left w:val="single" w:color="auto" w:sz="4" w:space="0"/>
                    <w:right w:val="single" w:color="auto" w:sz="4" w:space="0"/>
                  </w:tcBorders>
                  <w:shd w:val="clear" w:color="auto" w:fill="auto"/>
                  <w:noWrap w:val="0"/>
                  <w:vAlign w:val="center"/>
                </w:tcPr>
                <w:p w14:paraId="445D01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598" w:type="pct"/>
                  <w:tcBorders>
                    <w:left w:val="single" w:color="auto" w:sz="4" w:space="0"/>
                    <w:right w:val="single" w:color="auto" w:sz="4" w:space="0"/>
                  </w:tcBorders>
                  <w:shd w:val="clear" w:color="auto" w:fill="auto"/>
                  <w:noWrap w:val="0"/>
                  <w:vAlign w:val="center"/>
                </w:tcPr>
                <w:p w14:paraId="6BF94F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451" w:type="pct"/>
                  <w:tcBorders>
                    <w:left w:val="single" w:color="auto" w:sz="4" w:space="0"/>
                    <w:right w:val="single" w:color="auto" w:sz="4" w:space="0"/>
                  </w:tcBorders>
                  <w:shd w:val="clear" w:color="auto" w:fill="auto"/>
                  <w:noWrap w:val="0"/>
                  <w:vAlign w:val="center"/>
                </w:tcPr>
                <w:p w14:paraId="5483A2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r>
            <w:tr w14:paraId="3A8AC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11" w:type="pct"/>
                  <w:vMerge w:val="continue"/>
                  <w:tcBorders>
                    <w:right w:val="single" w:color="auto" w:sz="4" w:space="0"/>
                  </w:tcBorders>
                  <w:shd w:val="clear" w:color="auto" w:fill="auto"/>
                  <w:noWrap w:val="0"/>
                  <w:vAlign w:val="center"/>
                </w:tcPr>
                <w:p w14:paraId="0DB1EDB6">
                  <w:pPr>
                    <w:jc w:val="center"/>
                    <w:rPr>
                      <w:rFonts w:hint="eastAsia"/>
                      <w:sz w:val="21"/>
                      <w:szCs w:val="21"/>
                      <w:lang w:val="en-US" w:eastAsia="zh-CN"/>
                    </w:rPr>
                  </w:pPr>
                </w:p>
              </w:tc>
              <w:tc>
                <w:tcPr>
                  <w:tcW w:w="423" w:type="pct"/>
                  <w:tcBorders>
                    <w:right w:val="single" w:color="auto" w:sz="4" w:space="0"/>
                  </w:tcBorders>
                  <w:shd w:val="clear" w:color="auto" w:fill="auto"/>
                  <w:noWrap w:val="0"/>
                  <w:vAlign w:val="center"/>
                </w:tcPr>
                <w:p w14:paraId="7D7AE374">
                  <w:pPr>
                    <w:jc w:val="center"/>
                    <w:rPr>
                      <w:rFonts w:hint="eastAsia" w:ascii="Times New Roman" w:hAnsi="Times New Roman"/>
                      <w:kern w:val="2"/>
                      <w:sz w:val="21"/>
                      <w:szCs w:val="21"/>
                      <w:lang w:val="en-US" w:eastAsia="zh-CN" w:bidi="ar-SA"/>
                    </w:rPr>
                  </w:pPr>
                  <w:r>
                    <w:rPr>
                      <w:rFonts w:hint="eastAsia"/>
                      <w:sz w:val="21"/>
                      <w:szCs w:val="21"/>
                      <w:lang w:val="en-US" w:eastAsia="zh-CN"/>
                    </w:rPr>
                    <w:t>TSP</w:t>
                  </w:r>
                </w:p>
              </w:tc>
              <w:tc>
                <w:tcPr>
                  <w:tcW w:w="839" w:type="dxa"/>
                  <w:tcBorders>
                    <w:left w:val="single" w:color="auto" w:sz="4" w:space="0"/>
                    <w:right w:val="single" w:color="auto" w:sz="4" w:space="0"/>
                  </w:tcBorders>
                  <w:shd w:val="clear" w:color="auto" w:fill="auto"/>
                  <w:noWrap w:val="0"/>
                  <w:vAlign w:val="center"/>
                </w:tcPr>
                <w:p w14:paraId="4E1D0E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36</w:t>
                  </w:r>
                </w:p>
              </w:tc>
              <w:tc>
                <w:tcPr>
                  <w:tcW w:w="1010" w:type="dxa"/>
                  <w:tcBorders>
                    <w:left w:val="single" w:color="auto" w:sz="4" w:space="0"/>
                    <w:right w:val="single" w:color="auto" w:sz="4" w:space="0"/>
                  </w:tcBorders>
                  <w:shd w:val="clear" w:color="auto" w:fill="auto"/>
                  <w:noWrap w:val="0"/>
                  <w:vAlign w:val="center"/>
                </w:tcPr>
                <w:p w14:paraId="7D5394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5.0</w:t>
                  </w:r>
                </w:p>
              </w:tc>
              <w:tc>
                <w:tcPr>
                  <w:tcW w:w="1195" w:type="dxa"/>
                  <w:tcBorders>
                    <w:left w:val="single" w:color="auto" w:sz="4" w:space="0"/>
                    <w:right w:val="single" w:color="auto" w:sz="4" w:space="0"/>
                  </w:tcBorders>
                  <w:shd w:val="clear" w:color="auto" w:fill="auto"/>
                  <w:noWrap w:val="0"/>
                  <w:vAlign w:val="center"/>
                </w:tcPr>
                <w:p w14:paraId="4F3BCA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229.04</w:t>
                  </w:r>
                </w:p>
              </w:tc>
              <w:tc>
                <w:tcPr>
                  <w:tcW w:w="272" w:type="pct"/>
                  <w:vMerge w:val="continue"/>
                  <w:tcBorders>
                    <w:left w:val="single" w:color="auto" w:sz="4" w:space="0"/>
                    <w:right w:val="single" w:color="auto" w:sz="4" w:space="0"/>
                  </w:tcBorders>
                  <w:shd w:val="clear" w:color="auto" w:fill="auto"/>
                  <w:noWrap w:val="0"/>
                  <w:vAlign w:val="center"/>
                </w:tcPr>
                <w:p w14:paraId="023611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858" w:type="dxa"/>
                  <w:tcBorders>
                    <w:left w:val="single" w:color="auto" w:sz="4" w:space="0"/>
                    <w:right w:val="single" w:color="auto" w:sz="4" w:space="0"/>
                  </w:tcBorders>
                  <w:shd w:val="clear" w:color="auto" w:fill="auto"/>
                  <w:noWrap w:val="0"/>
                  <w:vAlign w:val="center"/>
                </w:tcPr>
                <w:p w14:paraId="13E3F3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868" w:type="dxa"/>
                  <w:tcBorders>
                    <w:left w:val="single" w:color="auto" w:sz="4" w:space="0"/>
                    <w:right w:val="single" w:color="auto" w:sz="4" w:space="0"/>
                  </w:tcBorders>
                  <w:shd w:val="clear" w:color="auto" w:fill="auto"/>
                  <w:noWrap w:val="0"/>
                  <w:vAlign w:val="center"/>
                </w:tcPr>
                <w:p w14:paraId="02B5D6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943" w:type="dxa"/>
                  <w:tcBorders>
                    <w:left w:val="single" w:color="auto" w:sz="4" w:space="0"/>
                    <w:right w:val="single" w:color="auto" w:sz="4" w:space="0"/>
                  </w:tcBorders>
                  <w:shd w:val="clear" w:color="auto" w:fill="auto"/>
                  <w:noWrap w:val="0"/>
                  <w:vAlign w:val="center"/>
                </w:tcPr>
                <w:p w14:paraId="2D8A4C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709" w:type="dxa"/>
                  <w:tcBorders>
                    <w:left w:val="single" w:color="auto" w:sz="4" w:space="0"/>
                    <w:right w:val="single" w:color="auto" w:sz="4" w:space="0"/>
                  </w:tcBorders>
                  <w:shd w:val="clear" w:color="auto" w:fill="auto"/>
                  <w:noWrap w:val="0"/>
                  <w:vAlign w:val="center"/>
                </w:tcPr>
                <w:p w14:paraId="3830533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r>
            <w:tr w14:paraId="07AF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11" w:type="pct"/>
                  <w:vMerge w:val="continue"/>
                  <w:tcBorders>
                    <w:right w:val="single" w:color="auto" w:sz="4" w:space="0"/>
                  </w:tcBorders>
                  <w:shd w:val="clear" w:color="auto" w:fill="auto"/>
                  <w:noWrap w:val="0"/>
                  <w:vAlign w:val="center"/>
                </w:tcPr>
                <w:p w14:paraId="3DB68C3A">
                  <w:pPr>
                    <w:jc w:val="center"/>
                    <w:rPr>
                      <w:rFonts w:hint="eastAsia"/>
                      <w:sz w:val="21"/>
                      <w:szCs w:val="21"/>
                      <w:lang w:eastAsia="zh-CN"/>
                    </w:rPr>
                  </w:pPr>
                </w:p>
              </w:tc>
              <w:tc>
                <w:tcPr>
                  <w:tcW w:w="423" w:type="pct"/>
                  <w:tcBorders>
                    <w:right w:val="single" w:color="auto" w:sz="4" w:space="0"/>
                  </w:tcBorders>
                  <w:shd w:val="clear" w:color="auto" w:fill="auto"/>
                  <w:noWrap w:val="0"/>
                  <w:vAlign w:val="center"/>
                </w:tcPr>
                <w:p w14:paraId="2F70611D">
                  <w:pPr>
                    <w:jc w:val="center"/>
                    <w:rPr>
                      <w:rFonts w:hint="eastAsia" w:ascii="Times New Roman" w:hAnsi="Times New Roman"/>
                      <w:kern w:val="2"/>
                      <w:sz w:val="21"/>
                      <w:szCs w:val="21"/>
                      <w:lang w:val="en-US" w:eastAsia="zh-CN" w:bidi="ar-SA"/>
                    </w:rPr>
                  </w:pPr>
                  <w:r>
                    <w:rPr>
                      <w:rFonts w:hint="eastAsia"/>
                      <w:sz w:val="21"/>
                      <w:szCs w:val="21"/>
                      <w:lang w:eastAsia="zh-CN"/>
                    </w:rPr>
                    <w:t>非甲烷总烃</w:t>
                  </w:r>
                </w:p>
              </w:tc>
              <w:tc>
                <w:tcPr>
                  <w:tcW w:w="839" w:type="dxa"/>
                  <w:tcBorders>
                    <w:left w:val="single" w:color="auto" w:sz="4" w:space="0"/>
                    <w:right w:val="single" w:color="auto" w:sz="4" w:space="0"/>
                  </w:tcBorders>
                  <w:shd w:val="clear" w:color="auto" w:fill="auto"/>
                  <w:noWrap w:val="0"/>
                  <w:vAlign w:val="center"/>
                </w:tcPr>
                <w:p w14:paraId="1B3C2D60">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zh-HK"/>
                    </w:rPr>
                    <w:t>6.46</w:t>
                  </w:r>
                </w:p>
              </w:tc>
              <w:tc>
                <w:tcPr>
                  <w:tcW w:w="1010" w:type="dxa"/>
                  <w:tcBorders>
                    <w:left w:val="single" w:color="auto" w:sz="4" w:space="0"/>
                    <w:right w:val="single" w:color="auto" w:sz="4" w:space="0"/>
                  </w:tcBorders>
                  <w:shd w:val="clear" w:color="auto" w:fill="auto"/>
                  <w:noWrap w:val="0"/>
                  <w:vAlign w:val="center"/>
                </w:tcPr>
                <w:p w14:paraId="293114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0.897</w:t>
                  </w:r>
                </w:p>
              </w:tc>
              <w:tc>
                <w:tcPr>
                  <w:tcW w:w="1195" w:type="dxa"/>
                  <w:tcBorders>
                    <w:left w:val="single" w:color="auto" w:sz="4" w:space="0"/>
                    <w:right w:val="single" w:color="auto" w:sz="4" w:space="0"/>
                  </w:tcBorders>
                  <w:shd w:val="clear" w:color="auto" w:fill="auto"/>
                  <w:noWrap w:val="0"/>
                  <w:vAlign w:val="center"/>
                </w:tcPr>
                <w:p w14:paraId="28EB16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highlight w:val="none"/>
                      <w:u w:val="none"/>
                      <w:lang w:val="en-US" w:eastAsia="zh-CN" w:bidi="zh-HK"/>
                    </w:rPr>
                    <w:t>41.09</w:t>
                  </w:r>
                </w:p>
              </w:tc>
              <w:tc>
                <w:tcPr>
                  <w:tcW w:w="272" w:type="pct"/>
                  <w:vMerge w:val="continue"/>
                  <w:tcBorders>
                    <w:left w:val="single" w:color="auto" w:sz="4" w:space="0"/>
                    <w:right w:val="single" w:color="auto" w:sz="4" w:space="0"/>
                  </w:tcBorders>
                  <w:shd w:val="clear" w:color="auto" w:fill="auto"/>
                  <w:noWrap w:val="0"/>
                  <w:vAlign w:val="center"/>
                </w:tcPr>
                <w:p w14:paraId="101A60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p>
              </w:tc>
              <w:tc>
                <w:tcPr>
                  <w:tcW w:w="858" w:type="dxa"/>
                  <w:tcBorders>
                    <w:left w:val="single" w:color="auto" w:sz="4" w:space="0"/>
                    <w:right w:val="single" w:color="auto" w:sz="4" w:space="0"/>
                  </w:tcBorders>
                  <w:shd w:val="clear" w:color="auto" w:fill="auto"/>
                  <w:noWrap w:val="0"/>
                  <w:vAlign w:val="center"/>
                </w:tcPr>
                <w:p w14:paraId="76A4ED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868" w:type="dxa"/>
                  <w:tcBorders>
                    <w:left w:val="single" w:color="auto" w:sz="4" w:space="0"/>
                    <w:right w:val="single" w:color="auto" w:sz="4" w:space="0"/>
                  </w:tcBorders>
                  <w:shd w:val="clear" w:color="auto" w:fill="auto"/>
                  <w:noWrap w:val="0"/>
                  <w:vAlign w:val="center"/>
                </w:tcPr>
                <w:p w14:paraId="3FB00A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943" w:type="dxa"/>
                  <w:tcBorders>
                    <w:left w:val="single" w:color="auto" w:sz="4" w:space="0"/>
                    <w:right w:val="single" w:color="auto" w:sz="4" w:space="0"/>
                  </w:tcBorders>
                  <w:shd w:val="clear" w:color="auto" w:fill="auto"/>
                  <w:noWrap w:val="0"/>
                  <w:vAlign w:val="center"/>
                </w:tcPr>
                <w:p w14:paraId="3FB79D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c>
                <w:tcPr>
                  <w:tcW w:w="709" w:type="dxa"/>
                  <w:tcBorders>
                    <w:left w:val="single" w:color="auto" w:sz="4" w:space="0"/>
                    <w:right w:val="single" w:color="auto" w:sz="4" w:space="0"/>
                  </w:tcBorders>
                  <w:shd w:val="clear" w:color="auto" w:fill="auto"/>
                  <w:noWrap w:val="0"/>
                  <w:vAlign w:val="center"/>
                </w:tcPr>
                <w:p w14:paraId="6528495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zh-HK"/>
                    </w:rPr>
                  </w:pPr>
                  <w:r>
                    <w:rPr>
                      <w:rFonts w:hint="eastAsia" w:ascii="Times New Roman" w:hAnsi="Times New Roman" w:eastAsia="宋体" w:cs="Times New Roman"/>
                      <w:i w:val="0"/>
                      <w:iCs w:val="0"/>
                      <w:color w:val="000000"/>
                      <w:kern w:val="0"/>
                      <w:sz w:val="21"/>
                      <w:szCs w:val="21"/>
                      <w:u w:val="none"/>
                      <w:lang w:val="en-US" w:eastAsia="zh-CN" w:bidi="zh-HK"/>
                    </w:rPr>
                    <w:t>/</w:t>
                  </w:r>
                </w:p>
              </w:tc>
            </w:tr>
          </w:tbl>
          <w:p w14:paraId="439735EA">
            <w:pPr>
              <w:spacing w:line="500" w:lineRule="exact"/>
              <w:ind w:firstLine="482" w:firstLineChars="200"/>
              <w:jc w:val="left"/>
              <w:rPr>
                <w:rFonts w:hAnsi="宋体"/>
                <w:b/>
                <w:kern w:val="0"/>
                <w:sz w:val="24"/>
              </w:rPr>
            </w:pPr>
            <w:r>
              <w:rPr>
                <w:rFonts w:hint="eastAsia" w:hAnsi="宋体"/>
                <w:b/>
                <w:kern w:val="0"/>
                <w:sz w:val="24"/>
              </w:rPr>
              <w:t>3、污染物排放量变化情况</w:t>
            </w:r>
          </w:p>
          <w:p w14:paraId="35FBD0D0">
            <w:pPr>
              <w:spacing w:line="500" w:lineRule="exact"/>
              <w:ind w:firstLine="480" w:firstLineChars="200"/>
              <w:rPr>
                <w:sz w:val="24"/>
              </w:rPr>
            </w:pPr>
            <w:r>
              <w:rPr>
                <w:rFonts w:hint="eastAsia"/>
                <w:sz w:val="24"/>
              </w:rPr>
              <w:t>⑴技改前污染物排放情况</w:t>
            </w:r>
          </w:p>
          <w:p w14:paraId="72AA0BFA">
            <w:pPr>
              <w:spacing w:line="50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eastAsia="zh-CN"/>
              </w:rPr>
              <w:t>改造前干燥系统热源为生物质，满负荷运行时年使用生物质</w:t>
            </w:r>
            <w:r>
              <w:rPr>
                <w:rFonts w:hint="eastAsia" w:ascii="Times New Roman" w:hAnsi="Times New Roman" w:eastAsia="宋体" w:cs="Times New Roman"/>
                <w:sz w:val="24"/>
                <w:lang w:val="en-US" w:eastAsia="zh-CN"/>
              </w:rPr>
              <w:t>15568.36t，</w:t>
            </w:r>
            <w:r>
              <w:rPr>
                <w:rFonts w:hint="eastAsia" w:ascii="Times New Roman" w:hAnsi="Times New Roman" w:eastAsia="宋体" w:cs="Times New Roman"/>
                <w:sz w:val="24"/>
              </w:rPr>
              <w:t>根据</w:t>
            </w:r>
            <w:r>
              <w:rPr>
                <w:rFonts w:hint="eastAsia" w:ascii="Times New Roman" w:hAnsi="Times New Roman" w:eastAsia="宋体" w:cs="Times New Roman"/>
                <w:sz w:val="24"/>
                <w:lang w:eastAsia="zh-CN"/>
              </w:rPr>
              <w:t>系数法计算</w:t>
            </w:r>
            <w:r>
              <w:rPr>
                <w:rFonts w:hint="eastAsia" w:ascii="Times New Roman" w:hAnsi="Times New Roman" w:eastAsia="宋体" w:cs="Times New Roman"/>
                <w:sz w:val="24"/>
              </w:rPr>
              <w:t>生物质燃烧污染物排放量：粉尘</w:t>
            </w:r>
            <w:r>
              <w:rPr>
                <w:rFonts w:hint="eastAsia" w:ascii="Times New Roman" w:hAnsi="Times New Roman" w:eastAsia="宋体" w:cs="Times New Roman"/>
                <w:sz w:val="24"/>
                <w:lang w:eastAsia="zh-CN"/>
              </w:rPr>
              <w:t>排放量</w:t>
            </w:r>
            <w:r>
              <w:rPr>
                <w:rFonts w:hint="eastAsia" w:ascii="Times New Roman" w:hAnsi="Times New Roman" w:eastAsia="宋体" w:cs="Times New Roman"/>
                <w:sz w:val="24"/>
              </w:rPr>
              <w:t>为</w:t>
            </w:r>
            <w:r>
              <w:rPr>
                <w:rFonts w:hint="eastAsia" w:ascii="Times New Roman" w:hAnsi="Times New Roman" w:eastAsia="宋体" w:cs="Times New Roman"/>
                <w:sz w:val="24"/>
                <w:lang w:val="en-US" w:eastAsia="zh-CN"/>
              </w:rPr>
              <w:t>9.48</w:t>
            </w:r>
            <w:r>
              <w:rPr>
                <w:rFonts w:hint="eastAsia" w:ascii="Times New Roman" w:hAnsi="Times New Roman" w:eastAsia="宋体" w:cs="Times New Roman"/>
                <w:sz w:val="24"/>
              </w:rPr>
              <w:t>t/a，SO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lang w:eastAsia="zh-CN"/>
              </w:rPr>
              <w:t>排放量</w:t>
            </w:r>
            <w:r>
              <w:rPr>
                <w:rFonts w:hint="eastAsia" w:ascii="Times New Roman" w:hAnsi="Times New Roman" w:eastAsia="宋体" w:cs="Times New Roman"/>
                <w:sz w:val="24"/>
                <w:lang w:val="en-US" w:eastAsia="zh-CN"/>
              </w:rPr>
              <w:t>9.53</w:t>
            </w:r>
            <w:r>
              <w:rPr>
                <w:rFonts w:hint="eastAsia" w:ascii="Times New Roman" w:hAnsi="Times New Roman" w:eastAsia="宋体" w:cs="Times New Roman"/>
                <w:sz w:val="24"/>
              </w:rPr>
              <w:t>t/a，NOx</w:t>
            </w:r>
            <w:r>
              <w:rPr>
                <w:rFonts w:hint="eastAsia" w:ascii="Times New Roman" w:hAnsi="Times New Roman" w:eastAsia="宋体" w:cs="Times New Roman"/>
                <w:sz w:val="24"/>
                <w:lang w:eastAsia="zh-CN"/>
              </w:rPr>
              <w:t>排放量</w:t>
            </w:r>
            <w:r>
              <w:rPr>
                <w:rFonts w:hint="eastAsia" w:ascii="Times New Roman" w:hAnsi="Times New Roman" w:eastAsia="宋体" w:cs="Times New Roman"/>
                <w:sz w:val="24"/>
                <w:lang w:val="en-US" w:eastAsia="zh-CN"/>
              </w:rPr>
              <w:t>5.72</w:t>
            </w:r>
            <w:r>
              <w:rPr>
                <w:rFonts w:hint="eastAsia" w:ascii="Times New Roman" w:hAnsi="Times New Roman" w:eastAsia="宋体" w:cs="Times New Roman"/>
                <w:sz w:val="24"/>
              </w:rPr>
              <w:t>t/a</w:t>
            </w:r>
            <w:r>
              <w:rPr>
                <w:rFonts w:hint="eastAsia" w:cs="Times New Roman"/>
                <w:sz w:val="24"/>
                <w:lang w:eastAsia="zh-CN"/>
              </w:rPr>
              <w:t>，</w:t>
            </w:r>
            <w:r>
              <w:rPr>
                <w:rFonts w:hint="eastAsia" w:ascii="Times New Roman" w:hAnsi="Times New Roman" w:eastAsia="宋体" w:cs="Times New Roman"/>
                <w:sz w:val="24"/>
                <w:lang w:eastAsia="zh-CN"/>
              </w:rPr>
              <w:t>干燥系统的颗粒物排放量</w:t>
            </w:r>
            <w:r>
              <w:rPr>
                <w:rFonts w:hint="eastAsia" w:ascii="Times New Roman" w:hAnsi="Times New Roman" w:eastAsia="宋体" w:cs="Times New Roman"/>
                <w:sz w:val="24"/>
              </w:rPr>
              <w:t>为</w:t>
            </w:r>
            <w:r>
              <w:rPr>
                <w:rFonts w:hint="eastAsia" w:ascii="Times New Roman" w:hAnsi="Times New Roman" w:eastAsia="宋体" w:cs="Times New Roman"/>
                <w:sz w:val="24"/>
                <w:lang w:val="en-US" w:eastAsia="zh-CN"/>
              </w:rPr>
              <w:t>0.824</w:t>
            </w:r>
            <w:r>
              <w:rPr>
                <w:rFonts w:hint="eastAsia" w:ascii="Times New Roman" w:hAnsi="Times New Roman" w:eastAsia="宋体" w:cs="Times New Roman"/>
                <w:sz w:val="24"/>
              </w:rPr>
              <w:t>t/a，</w:t>
            </w:r>
            <w:r>
              <w:rPr>
                <w:rFonts w:hint="eastAsia" w:ascii="Times New Roman" w:hAnsi="Times New Roman" w:eastAsia="宋体" w:cs="Times New Roman"/>
                <w:sz w:val="24"/>
                <w:lang w:eastAsia="zh-CN"/>
              </w:rPr>
              <w:t>非甲烷总烃排放量</w:t>
            </w:r>
            <w:r>
              <w:rPr>
                <w:rFonts w:hint="eastAsia" w:ascii="Times New Roman" w:hAnsi="Times New Roman" w:eastAsia="宋体" w:cs="Times New Roman"/>
                <w:sz w:val="24"/>
                <w:lang w:val="en-US" w:eastAsia="zh-CN"/>
              </w:rPr>
              <w:t>1.84</w:t>
            </w:r>
            <w:r>
              <w:rPr>
                <w:rFonts w:hint="eastAsia" w:ascii="Times New Roman" w:hAnsi="Times New Roman" w:eastAsia="宋体" w:cs="Times New Roman"/>
                <w:sz w:val="24"/>
              </w:rPr>
              <w:t>t/a</w:t>
            </w:r>
            <w:r>
              <w:rPr>
                <w:rFonts w:hint="eastAsia" w:cs="Times New Roman"/>
                <w:sz w:val="24"/>
                <w:lang w:eastAsia="zh-CN"/>
              </w:rPr>
              <w:t>。</w:t>
            </w:r>
          </w:p>
          <w:p w14:paraId="03EAC98C">
            <w:pPr>
              <w:spacing w:line="500" w:lineRule="exact"/>
              <w:jc w:val="center"/>
              <w:rPr>
                <w:sz w:val="24"/>
              </w:rPr>
            </w:pPr>
            <w:r>
              <w:rPr>
                <w:sz w:val="24"/>
              </w:rPr>
              <w:t>表</w:t>
            </w:r>
            <w:r>
              <w:rPr>
                <w:rFonts w:hint="eastAsia"/>
                <w:sz w:val="24"/>
              </w:rPr>
              <w:t>4-</w:t>
            </w:r>
            <w:r>
              <w:rPr>
                <w:rFonts w:hint="eastAsia"/>
                <w:sz w:val="24"/>
                <w:lang w:val="en-US" w:eastAsia="zh-CN"/>
              </w:rPr>
              <w:t>9</w:t>
            </w:r>
            <w:r>
              <w:rPr>
                <w:rFonts w:hint="eastAsia"/>
                <w:sz w:val="24"/>
              </w:rPr>
              <w:t xml:space="preserve">  技改前</w:t>
            </w:r>
            <w:r>
              <w:rPr>
                <w:rFonts w:hint="eastAsia"/>
                <w:sz w:val="24"/>
                <w:lang w:eastAsia="zh-CN"/>
              </w:rPr>
              <w:t>萘系减水剂粉剂生产过程</w:t>
            </w:r>
            <w:r>
              <w:rPr>
                <w:rFonts w:hint="eastAsia"/>
                <w:sz w:val="24"/>
              </w:rPr>
              <w:t>污染物排放情况表</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59"/>
              <w:gridCol w:w="1901"/>
              <w:gridCol w:w="1838"/>
              <w:gridCol w:w="1450"/>
              <w:gridCol w:w="1547"/>
            </w:tblGrid>
            <w:tr w14:paraId="5E459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17" w:hRule="atLeast"/>
              </w:trPr>
              <w:tc>
                <w:tcPr>
                  <w:tcW w:w="787" w:type="pct"/>
                  <w:shd w:val="clear" w:color="auto" w:fill="auto"/>
                  <w:noWrap w:val="0"/>
                  <w:vAlign w:val="center"/>
                </w:tcPr>
                <w:p w14:paraId="1B301FAC">
                  <w:pPr>
                    <w:jc w:val="center"/>
                    <w:rPr>
                      <w:szCs w:val="21"/>
                    </w:rPr>
                  </w:pPr>
                  <w:r>
                    <w:rPr>
                      <w:rFonts w:hint="eastAsia"/>
                      <w:szCs w:val="21"/>
                    </w:rPr>
                    <w:t>生产</w:t>
                  </w:r>
                  <w:r>
                    <w:rPr>
                      <w:szCs w:val="21"/>
                    </w:rPr>
                    <w:t>线</w:t>
                  </w:r>
                </w:p>
              </w:tc>
              <w:tc>
                <w:tcPr>
                  <w:tcW w:w="1188" w:type="pct"/>
                  <w:shd w:val="clear" w:color="auto" w:fill="auto"/>
                  <w:noWrap w:val="0"/>
                  <w:vAlign w:val="center"/>
                </w:tcPr>
                <w:p w14:paraId="66429C89">
                  <w:pPr>
                    <w:jc w:val="center"/>
                    <w:rPr>
                      <w:szCs w:val="21"/>
                    </w:rPr>
                  </w:pPr>
                  <w:r>
                    <w:rPr>
                      <w:szCs w:val="21"/>
                    </w:rPr>
                    <w:t>核算时间</w:t>
                  </w:r>
                </w:p>
              </w:tc>
              <w:tc>
                <w:tcPr>
                  <w:tcW w:w="1149" w:type="pct"/>
                  <w:tcBorders>
                    <w:left w:val="single" w:color="auto" w:sz="4" w:space="0"/>
                  </w:tcBorders>
                  <w:shd w:val="clear" w:color="auto" w:fill="auto"/>
                  <w:noWrap w:val="0"/>
                  <w:vAlign w:val="center"/>
                </w:tcPr>
                <w:p w14:paraId="6417DEA0">
                  <w:pPr>
                    <w:jc w:val="center"/>
                    <w:rPr>
                      <w:szCs w:val="21"/>
                    </w:rPr>
                  </w:pPr>
                  <w:r>
                    <w:rPr>
                      <w:szCs w:val="21"/>
                    </w:rPr>
                    <w:t>产污环节</w:t>
                  </w:r>
                </w:p>
              </w:tc>
              <w:tc>
                <w:tcPr>
                  <w:tcW w:w="906" w:type="pct"/>
                  <w:tcBorders>
                    <w:right w:val="single" w:color="auto" w:sz="4" w:space="0"/>
                  </w:tcBorders>
                  <w:shd w:val="clear" w:color="auto" w:fill="auto"/>
                  <w:noWrap w:val="0"/>
                  <w:vAlign w:val="center"/>
                </w:tcPr>
                <w:p w14:paraId="1B0B042E">
                  <w:pPr>
                    <w:jc w:val="center"/>
                    <w:rPr>
                      <w:szCs w:val="21"/>
                    </w:rPr>
                  </w:pPr>
                  <w:r>
                    <w:rPr>
                      <w:rFonts w:hint="eastAsia"/>
                      <w:szCs w:val="21"/>
                    </w:rPr>
                    <w:t>污染物</w:t>
                  </w:r>
                </w:p>
              </w:tc>
              <w:tc>
                <w:tcPr>
                  <w:tcW w:w="967" w:type="pct"/>
                  <w:tcBorders>
                    <w:right w:val="single" w:color="auto" w:sz="4" w:space="0"/>
                  </w:tcBorders>
                  <w:shd w:val="clear" w:color="auto" w:fill="auto"/>
                  <w:noWrap w:val="0"/>
                  <w:vAlign w:val="center"/>
                </w:tcPr>
                <w:p w14:paraId="12BEABA0">
                  <w:pPr>
                    <w:jc w:val="center"/>
                    <w:rPr>
                      <w:szCs w:val="21"/>
                    </w:rPr>
                  </w:pPr>
                  <w:r>
                    <w:rPr>
                      <w:rFonts w:hint="eastAsia"/>
                      <w:szCs w:val="21"/>
                    </w:rPr>
                    <w:t>满负荷排放量</w:t>
                  </w:r>
                </w:p>
              </w:tc>
            </w:tr>
            <w:tr w14:paraId="5D02A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787" w:type="pct"/>
                  <w:vMerge w:val="restart"/>
                  <w:shd w:val="clear" w:color="auto" w:fill="auto"/>
                  <w:noWrap w:val="0"/>
                  <w:vAlign w:val="center"/>
                </w:tcPr>
                <w:p w14:paraId="742078F4">
                  <w:pPr>
                    <w:jc w:val="center"/>
                    <w:rPr>
                      <w:rFonts w:hint="eastAsia" w:eastAsia="宋体"/>
                      <w:szCs w:val="21"/>
                      <w:lang w:eastAsia="zh-CN"/>
                    </w:rPr>
                  </w:pPr>
                  <w:r>
                    <w:rPr>
                      <w:rFonts w:hint="eastAsia"/>
                      <w:szCs w:val="21"/>
                      <w:lang w:eastAsia="zh-CN"/>
                    </w:rPr>
                    <w:t>萘系减水剂粉剂</w:t>
                  </w:r>
                </w:p>
              </w:tc>
              <w:tc>
                <w:tcPr>
                  <w:tcW w:w="1188" w:type="pct"/>
                  <w:vMerge w:val="restart"/>
                  <w:shd w:val="clear" w:color="auto" w:fill="auto"/>
                  <w:noWrap w:val="0"/>
                  <w:vAlign w:val="center"/>
                </w:tcPr>
                <w:p w14:paraId="7407A1DE">
                  <w:pPr>
                    <w:jc w:val="center"/>
                    <w:rPr>
                      <w:rFonts w:hint="eastAsia"/>
                      <w:szCs w:val="21"/>
                    </w:rPr>
                  </w:pPr>
                  <w:r>
                    <w:rPr>
                      <w:rFonts w:hint="eastAsia"/>
                      <w:szCs w:val="21"/>
                    </w:rPr>
                    <w:t>技改前（202</w:t>
                  </w:r>
                  <w:r>
                    <w:rPr>
                      <w:rFonts w:hint="eastAsia"/>
                      <w:szCs w:val="21"/>
                      <w:lang w:val="en-US" w:eastAsia="zh-CN"/>
                    </w:rPr>
                    <w:t>1</w:t>
                  </w:r>
                  <w:r>
                    <w:rPr>
                      <w:rFonts w:hint="eastAsia"/>
                      <w:szCs w:val="21"/>
                    </w:rPr>
                    <w:t>年）</w:t>
                  </w:r>
                </w:p>
              </w:tc>
              <w:tc>
                <w:tcPr>
                  <w:tcW w:w="1149" w:type="pct"/>
                  <w:vMerge w:val="restart"/>
                  <w:tcBorders>
                    <w:left w:val="single" w:color="auto" w:sz="4" w:space="0"/>
                  </w:tcBorders>
                  <w:shd w:val="clear" w:color="auto" w:fill="auto"/>
                  <w:noWrap w:val="0"/>
                  <w:vAlign w:val="center"/>
                </w:tcPr>
                <w:p w14:paraId="4C0B4970">
                  <w:pPr>
                    <w:jc w:val="center"/>
                    <w:rPr>
                      <w:rFonts w:hint="eastAsia" w:eastAsia="宋体"/>
                      <w:szCs w:val="21"/>
                      <w:lang w:eastAsia="zh-CN"/>
                    </w:rPr>
                  </w:pPr>
                  <w:r>
                    <w:rPr>
                      <w:rFonts w:hint="eastAsia"/>
                      <w:szCs w:val="21"/>
                      <w:lang w:eastAsia="zh-CN"/>
                    </w:rPr>
                    <w:t>热风炉燃烧废气</w:t>
                  </w:r>
                </w:p>
              </w:tc>
              <w:tc>
                <w:tcPr>
                  <w:tcW w:w="906" w:type="pct"/>
                  <w:tcBorders>
                    <w:right w:val="single" w:color="auto" w:sz="4" w:space="0"/>
                  </w:tcBorders>
                  <w:shd w:val="clear" w:color="auto" w:fill="auto"/>
                  <w:noWrap w:val="0"/>
                  <w:vAlign w:val="center"/>
                </w:tcPr>
                <w:p w14:paraId="08415884">
                  <w:pPr>
                    <w:jc w:val="center"/>
                    <w:rPr>
                      <w:rFonts w:hint="eastAsia" w:ascii="Times New Roman" w:hAnsi="Times New Roman"/>
                      <w:kern w:val="2"/>
                      <w:sz w:val="21"/>
                      <w:szCs w:val="21"/>
                      <w:lang w:val="en-US" w:eastAsia="zh-CN" w:bidi="ar-SA"/>
                    </w:rPr>
                  </w:pPr>
                  <w:r>
                    <w:rPr>
                      <w:rFonts w:hint="eastAsia"/>
                      <w:szCs w:val="21"/>
                    </w:rPr>
                    <w:t>颗粒物</w:t>
                  </w:r>
                </w:p>
              </w:tc>
              <w:tc>
                <w:tcPr>
                  <w:tcW w:w="967" w:type="pct"/>
                  <w:tcBorders>
                    <w:right w:val="single" w:color="auto" w:sz="4" w:space="0"/>
                  </w:tcBorders>
                  <w:shd w:val="clear" w:color="auto" w:fill="auto"/>
                  <w:noWrap w:val="0"/>
                  <w:vAlign w:val="center"/>
                </w:tcPr>
                <w:p w14:paraId="07E53C31">
                  <w:pPr>
                    <w:jc w:val="center"/>
                    <w:rPr>
                      <w:rFonts w:hint="eastAsia" w:ascii="Times New Roman" w:hAnsi="Times New Roman"/>
                      <w:kern w:val="2"/>
                      <w:sz w:val="21"/>
                      <w:szCs w:val="21"/>
                      <w:lang w:val="en-US" w:eastAsia="zh-CN" w:bidi="ar-SA"/>
                    </w:rPr>
                  </w:pPr>
                  <w:r>
                    <w:rPr>
                      <w:rFonts w:hint="eastAsia"/>
                      <w:szCs w:val="21"/>
                      <w:lang w:val="en-US" w:eastAsia="zh-CN"/>
                    </w:rPr>
                    <w:t>9.48</w:t>
                  </w:r>
                  <w:r>
                    <w:rPr>
                      <w:rFonts w:hint="eastAsia"/>
                      <w:szCs w:val="21"/>
                    </w:rPr>
                    <w:t>t/a</w:t>
                  </w:r>
                </w:p>
              </w:tc>
            </w:tr>
            <w:tr w14:paraId="1CEA8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787" w:type="pct"/>
                  <w:vMerge w:val="continue"/>
                  <w:shd w:val="clear" w:color="auto" w:fill="auto"/>
                  <w:noWrap w:val="0"/>
                  <w:vAlign w:val="center"/>
                </w:tcPr>
                <w:p w14:paraId="19949C55">
                  <w:pPr>
                    <w:jc w:val="center"/>
                    <w:rPr>
                      <w:rFonts w:hint="eastAsia"/>
                      <w:szCs w:val="21"/>
                    </w:rPr>
                  </w:pPr>
                </w:p>
              </w:tc>
              <w:tc>
                <w:tcPr>
                  <w:tcW w:w="1188" w:type="pct"/>
                  <w:vMerge w:val="continue"/>
                  <w:shd w:val="clear" w:color="auto" w:fill="auto"/>
                  <w:noWrap w:val="0"/>
                  <w:vAlign w:val="center"/>
                </w:tcPr>
                <w:p w14:paraId="28896AF1">
                  <w:pPr>
                    <w:jc w:val="center"/>
                    <w:rPr>
                      <w:rFonts w:hint="eastAsia"/>
                      <w:szCs w:val="21"/>
                    </w:rPr>
                  </w:pPr>
                </w:p>
              </w:tc>
              <w:tc>
                <w:tcPr>
                  <w:tcW w:w="1149" w:type="pct"/>
                  <w:vMerge w:val="continue"/>
                  <w:tcBorders>
                    <w:left w:val="single" w:color="auto" w:sz="4" w:space="0"/>
                  </w:tcBorders>
                  <w:shd w:val="clear" w:color="auto" w:fill="auto"/>
                  <w:noWrap w:val="0"/>
                  <w:vAlign w:val="center"/>
                </w:tcPr>
                <w:p w14:paraId="08197A10">
                  <w:pPr>
                    <w:jc w:val="center"/>
                    <w:rPr>
                      <w:rFonts w:hint="eastAsia"/>
                      <w:szCs w:val="21"/>
                    </w:rPr>
                  </w:pPr>
                </w:p>
              </w:tc>
              <w:tc>
                <w:tcPr>
                  <w:tcW w:w="906" w:type="pct"/>
                  <w:tcBorders>
                    <w:right w:val="single" w:color="auto" w:sz="4" w:space="0"/>
                  </w:tcBorders>
                  <w:shd w:val="clear" w:color="auto" w:fill="auto"/>
                  <w:noWrap w:val="0"/>
                  <w:vAlign w:val="center"/>
                </w:tcPr>
                <w:p w14:paraId="5433504A">
                  <w:pPr>
                    <w:jc w:val="center"/>
                    <w:rPr>
                      <w:rFonts w:hint="eastAsia" w:ascii="Times New Roman" w:hAnsi="Times New Roman"/>
                      <w:kern w:val="2"/>
                      <w:sz w:val="21"/>
                      <w:szCs w:val="21"/>
                      <w:lang w:val="en-US" w:eastAsia="zh-CN" w:bidi="ar-SA"/>
                    </w:rPr>
                  </w:pPr>
                  <w:r>
                    <w:rPr>
                      <w:rFonts w:hint="eastAsia"/>
                      <w:szCs w:val="21"/>
                    </w:rPr>
                    <w:t>二氧化硫</w:t>
                  </w:r>
                </w:p>
              </w:tc>
              <w:tc>
                <w:tcPr>
                  <w:tcW w:w="967" w:type="pct"/>
                  <w:tcBorders>
                    <w:right w:val="single" w:color="auto" w:sz="4" w:space="0"/>
                  </w:tcBorders>
                  <w:shd w:val="clear" w:color="auto" w:fill="auto"/>
                  <w:noWrap w:val="0"/>
                  <w:vAlign w:val="center"/>
                </w:tcPr>
                <w:p w14:paraId="6AE6B61E">
                  <w:pPr>
                    <w:jc w:val="center"/>
                    <w:rPr>
                      <w:rFonts w:hint="eastAsia" w:ascii="Times New Roman" w:hAnsi="Times New Roman"/>
                      <w:kern w:val="2"/>
                      <w:sz w:val="21"/>
                      <w:szCs w:val="21"/>
                      <w:lang w:val="en-US" w:eastAsia="zh-CN" w:bidi="ar-SA"/>
                    </w:rPr>
                  </w:pPr>
                  <w:r>
                    <w:rPr>
                      <w:rFonts w:hint="eastAsia"/>
                      <w:szCs w:val="21"/>
                      <w:lang w:val="en-US" w:eastAsia="zh-CN"/>
                    </w:rPr>
                    <w:t>9.53</w:t>
                  </w:r>
                  <w:r>
                    <w:rPr>
                      <w:rFonts w:hint="eastAsia"/>
                      <w:szCs w:val="21"/>
                    </w:rPr>
                    <w:t>t/a</w:t>
                  </w:r>
                </w:p>
              </w:tc>
            </w:tr>
            <w:tr w14:paraId="352AE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787" w:type="pct"/>
                  <w:vMerge w:val="continue"/>
                  <w:shd w:val="clear" w:color="auto" w:fill="auto"/>
                  <w:noWrap w:val="0"/>
                  <w:vAlign w:val="center"/>
                </w:tcPr>
                <w:p w14:paraId="652A3C1B">
                  <w:pPr>
                    <w:jc w:val="center"/>
                    <w:rPr>
                      <w:rFonts w:hint="eastAsia"/>
                      <w:szCs w:val="21"/>
                    </w:rPr>
                  </w:pPr>
                </w:p>
              </w:tc>
              <w:tc>
                <w:tcPr>
                  <w:tcW w:w="1188" w:type="pct"/>
                  <w:vMerge w:val="continue"/>
                  <w:shd w:val="clear" w:color="auto" w:fill="auto"/>
                  <w:noWrap w:val="0"/>
                  <w:vAlign w:val="center"/>
                </w:tcPr>
                <w:p w14:paraId="2601F31E">
                  <w:pPr>
                    <w:jc w:val="center"/>
                    <w:rPr>
                      <w:rFonts w:hint="eastAsia"/>
                      <w:szCs w:val="21"/>
                    </w:rPr>
                  </w:pPr>
                </w:p>
              </w:tc>
              <w:tc>
                <w:tcPr>
                  <w:tcW w:w="1149" w:type="pct"/>
                  <w:vMerge w:val="continue"/>
                  <w:tcBorders>
                    <w:left w:val="single" w:color="auto" w:sz="4" w:space="0"/>
                  </w:tcBorders>
                  <w:shd w:val="clear" w:color="auto" w:fill="auto"/>
                  <w:noWrap w:val="0"/>
                  <w:vAlign w:val="center"/>
                </w:tcPr>
                <w:p w14:paraId="1A55AE86">
                  <w:pPr>
                    <w:jc w:val="center"/>
                    <w:rPr>
                      <w:rFonts w:hint="eastAsia"/>
                      <w:szCs w:val="21"/>
                    </w:rPr>
                  </w:pPr>
                </w:p>
              </w:tc>
              <w:tc>
                <w:tcPr>
                  <w:tcW w:w="906" w:type="pct"/>
                  <w:tcBorders>
                    <w:right w:val="single" w:color="auto" w:sz="4" w:space="0"/>
                  </w:tcBorders>
                  <w:shd w:val="clear" w:color="auto" w:fill="auto"/>
                  <w:noWrap w:val="0"/>
                  <w:vAlign w:val="center"/>
                </w:tcPr>
                <w:p w14:paraId="162AF52C">
                  <w:pPr>
                    <w:jc w:val="center"/>
                    <w:rPr>
                      <w:rFonts w:hint="eastAsia" w:ascii="Times New Roman" w:hAnsi="Times New Roman"/>
                      <w:kern w:val="2"/>
                      <w:sz w:val="21"/>
                      <w:szCs w:val="21"/>
                      <w:lang w:val="en-US" w:eastAsia="zh-CN" w:bidi="ar-SA"/>
                    </w:rPr>
                  </w:pPr>
                  <w:r>
                    <w:rPr>
                      <w:rFonts w:hint="eastAsia"/>
                      <w:szCs w:val="21"/>
                    </w:rPr>
                    <w:t>氮氧化物</w:t>
                  </w:r>
                </w:p>
              </w:tc>
              <w:tc>
                <w:tcPr>
                  <w:tcW w:w="967" w:type="pct"/>
                  <w:tcBorders>
                    <w:right w:val="single" w:color="auto" w:sz="4" w:space="0"/>
                  </w:tcBorders>
                  <w:shd w:val="clear" w:color="auto" w:fill="auto"/>
                  <w:noWrap w:val="0"/>
                  <w:vAlign w:val="center"/>
                </w:tcPr>
                <w:p w14:paraId="18B164B7">
                  <w:pPr>
                    <w:jc w:val="center"/>
                    <w:rPr>
                      <w:rFonts w:hint="eastAsia" w:ascii="Times New Roman" w:hAnsi="Times New Roman"/>
                      <w:kern w:val="2"/>
                      <w:sz w:val="21"/>
                      <w:szCs w:val="21"/>
                      <w:lang w:val="en-US" w:eastAsia="zh-CN" w:bidi="ar-SA"/>
                    </w:rPr>
                  </w:pPr>
                  <w:r>
                    <w:rPr>
                      <w:rFonts w:hint="eastAsia"/>
                      <w:szCs w:val="21"/>
                      <w:lang w:val="en-US" w:eastAsia="zh-CN"/>
                    </w:rPr>
                    <w:t>5.72</w:t>
                  </w:r>
                  <w:r>
                    <w:rPr>
                      <w:rFonts w:hint="eastAsia"/>
                      <w:szCs w:val="21"/>
                    </w:rPr>
                    <w:t>t/a</w:t>
                  </w:r>
                </w:p>
              </w:tc>
            </w:tr>
            <w:tr w14:paraId="127E9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787" w:type="pct"/>
                  <w:vMerge w:val="continue"/>
                  <w:shd w:val="clear" w:color="auto" w:fill="auto"/>
                  <w:noWrap w:val="0"/>
                  <w:vAlign w:val="center"/>
                </w:tcPr>
                <w:p w14:paraId="1986B8E9">
                  <w:pPr>
                    <w:jc w:val="center"/>
                    <w:rPr>
                      <w:rFonts w:hint="eastAsia"/>
                      <w:szCs w:val="21"/>
                    </w:rPr>
                  </w:pPr>
                </w:p>
              </w:tc>
              <w:tc>
                <w:tcPr>
                  <w:tcW w:w="1188" w:type="pct"/>
                  <w:vMerge w:val="continue"/>
                  <w:shd w:val="clear" w:color="auto" w:fill="auto"/>
                  <w:noWrap w:val="0"/>
                  <w:vAlign w:val="center"/>
                </w:tcPr>
                <w:p w14:paraId="5B0C1FE5">
                  <w:pPr>
                    <w:jc w:val="center"/>
                    <w:rPr>
                      <w:rFonts w:hint="eastAsia"/>
                      <w:szCs w:val="21"/>
                    </w:rPr>
                  </w:pPr>
                </w:p>
              </w:tc>
              <w:tc>
                <w:tcPr>
                  <w:tcW w:w="1149" w:type="pct"/>
                  <w:vMerge w:val="restart"/>
                  <w:tcBorders>
                    <w:left w:val="single" w:color="auto" w:sz="4" w:space="0"/>
                  </w:tcBorders>
                  <w:shd w:val="clear" w:color="auto" w:fill="auto"/>
                  <w:noWrap w:val="0"/>
                  <w:vAlign w:val="center"/>
                </w:tcPr>
                <w:p w14:paraId="2C5870D3">
                  <w:pPr>
                    <w:jc w:val="center"/>
                    <w:rPr>
                      <w:rFonts w:hint="eastAsia" w:eastAsia="宋体"/>
                      <w:szCs w:val="21"/>
                      <w:lang w:eastAsia="zh-CN"/>
                    </w:rPr>
                  </w:pPr>
                  <w:r>
                    <w:rPr>
                      <w:rFonts w:hint="eastAsia"/>
                      <w:szCs w:val="21"/>
                      <w:lang w:eastAsia="zh-CN"/>
                    </w:rPr>
                    <w:t>干燥系统废气</w:t>
                  </w:r>
                </w:p>
              </w:tc>
              <w:tc>
                <w:tcPr>
                  <w:tcW w:w="906" w:type="pct"/>
                  <w:tcBorders>
                    <w:right w:val="single" w:color="auto" w:sz="4" w:space="0"/>
                  </w:tcBorders>
                  <w:shd w:val="clear" w:color="auto" w:fill="auto"/>
                  <w:noWrap w:val="0"/>
                  <w:vAlign w:val="center"/>
                </w:tcPr>
                <w:p w14:paraId="00010505">
                  <w:pPr>
                    <w:jc w:val="center"/>
                    <w:rPr>
                      <w:rFonts w:hint="eastAsia"/>
                      <w:szCs w:val="21"/>
                    </w:rPr>
                  </w:pPr>
                  <w:r>
                    <w:rPr>
                      <w:rFonts w:hint="eastAsia"/>
                      <w:szCs w:val="21"/>
                    </w:rPr>
                    <w:t>颗粒物</w:t>
                  </w:r>
                </w:p>
              </w:tc>
              <w:tc>
                <w:tcPr>
                  <w:tcW w:w="967" w:type="pct"/>
                  <w:tcBorders>
                    <w:right w:val="single" w:color="auto" w:sz="4" w:space="0"/>
                  </w:tcBorders>
                  <w:shd w:val="clear" w:color="auto" w:fill="auto"/>
                  <w:noWrap w:val="0"/>
                  <w:vAlign w:val="center"/>
                </w:tcPr>
                <w:p w14:paraId="68C4D6A1">
                  <w:pPr>
                    <w:jc w:val="center"/>
                    <w:rPr>
                      <w:rFonts w:hint="default"/>
                      <w:szCs w:val="21"/>
                      <w:lang w:val="en-US" w:eastAsia="zh-CN"/>
                    </w:rPr>
                  </w:pPr>
                  <w:r>
                    <w:rPr>
                      <w:rFonts w:hint="eastAsia"/>
                      <w:szCs w:val="21"/>
                      <w:lang w:val="en-US" w:eastAsia="zh-CN"/>
                    </w:rPr>
                    <w:t>0.824</w:t>
                  </w:r>
                  <w:r>
                    <w:rPr>
                      <w:rFonts w:hint="eastAsia"/>
                      <w:szCs w:val="21"/>
                    </w:rPr>
                    <w:t>t/a</w:t>
                  </w:r>
                </w:p>
              </w:tc>
            </w:tr>
            <w:tr w14:paraId="35858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787" w:type="pct"/>
                  <w:vMerge w:val="continue"/>
                  <w:shd w:val="clear" w:color="auto" w:fill="auto"/>
                  <w:noWrap w:val="0"/>
                  <w:vAlign w:val="center"/>
                </w:tcPr>
                <w:p w14:paraId="0392AD25">
                  <w:pPr>
                    <w:jc w:val="center"/>
                    <w:rPr>
                      <w:rFonts w:hint="eastAsia"/>
                      <w:szCs w:val="21"/>
                    </w:rPr>
                  </w:pPr>
                </w:p>
              </w:tc>
              <w:tc>
                <w:tcPr>
                  <w:tcW w:w="1188" w:type="pct"/>
                  <w:vMerge w:val="continue"/>
                  <w:shd w:val="clear" w:color="auto" w:fill="auto"/>
                  <w:noWrap w:val="0"/>
                  <w:vAlign w:val="center"/>
                </w:tcPr>
                <w:p w14:paraId="0F871247">
                  <w:pPr>
                    <w:jc w:val="center"/>
                    <w:rPr>
                      <w:rFonts w:hint="eastAsia"/>
                      <w:szCs w:val="21"/>
                    </w:rPr>
                  </w:pPr>
                </w:p>
              </w:tc>
              <w:tc>
                <w:tcPr>
                  <w:tcW w:w="1149" w:type="pct"/>
                  <w:vMerge w:val="continue"/>
                  <w:tcBorders>
                    <w:left w:val="single" w:color="auto" w:sz="4" w:space="0"/>
                  </w:tcBorders>
                  <w:shd w:val="clear" w:color="auto" w:fill="auto"/>
                  <w:noWrap w:val="0"/>
                  <w:vAlign w:val="center"/>
                </w:tcPr>
                <w:p w14:paraId="0EFEB4F5">
                  <w:pPr>
                    <w:jc w:val="center"/>
                    <w:rPr>
                      <w:rFonts w:hint="eastAsia"/>
                      <w:szCs w:val="21"/>
                    </w:rPr>
                  </w:pPr>
                </w:p>
              </w:tc>
              <w:tc>
                <w:tcPr>
                  <w:tcW w:w="906" w:type="pct"/>
                  <w:tcBorders>
                    <w:right w:val="single" w:color="auto" w:sz="4" w:space="0"/>
                  </w:tcBorders>
                  <w:shd w:val="clear" w:color="auto" w:fill="auto"/>
                  <w:noWrap w:val="0"/>
                  <w:vAlign w:val="center"/>
                </w:tcPr>
                <w:p w14:paraId="41C26563">
                  <w:pPr>
                    <w:jc w:val="center"/>
                    <w:rPr>
                      <w:rFonts w:hint="eastAsia"/>
                      <w:szCs w:val="21"/>
                      <w:lang w:eastAsia="zh-CN"/>
                    </w:rPr>
                  </w:pPr>
                  <w:r>
                    <w:rPr>
                      <w:rFonts w:hint="eastAsia"/>
                      <w:szCs w:val="21"/>
                      <w:lang w:eastAsia="zh-CN"/>
                    </w:rPr>
                    <w:t>非甲烷总烃</w:t>
                  </w:r>
                </w:p>
                <w:p w14:paraId="1A862DE4">
                  <w:pPr>
                    <w:jc w:val="center"/>
                    <w:rPr>
                      <w:rFonts w:hint="eastAsia" w:eastAsia="宋体"/>
                      <w:szCs w:val="21"/>
                      <w:lang w:eastAsia="zh-CN"/>
                    </w:rPr>
                  </w:pPr>
                  <w:r>
                    <w:rPr>
                      <w:rFonts w:hint="eastAsia"/>
                      <w:szCs w:val="21"/>
                      <w:lang w:eastAsia="zh-CN"/>
                    </w:rPr>
                    <w:t>（甲醛、萘）</w:t>
                  </w:r>
                </w:p>
              </w:tc>
              <w:tc>
                <w:tcPr>
                  <w:tcW w:w="967" w:type="pct"/>
                  <w:tcBorders>
                    <w:right w:val="single" w:color="auto" w:sz="4" w:space="0"/>
                  </w:tcBorders>
                  <w:shd w:val="clear" w:color="auto" w:fill="auto"/>
                  <w:noWrap w:val="0"/>
                  <w:vAlign w:val="center"/>
                </w:tcPr>
                <w:p w14:paraId="6EA6A1F8">
                  <w:pPr>
                    <w:jc w:val="center"/>
                    <w:rPr>
                      <w:rFonts w:hint="default"/>
                      <w:szCs w:val="21"/>
                      <w:lang w:val="en-US" w:eastAsia="zh-CN"/>
                    </w:rPr>
                  </w:pPr>
                  <w:r>
                    <w:rPr>
                      <w:rFonts w:hint="eastAsia"/>
                      <w:szCs w:val="21"/>
                      <w:lang w:val="en-US" w:eastAsia="zh-CN"/>
                    </w:rPr>
                    <w:t>1.84</w:t>
                  </w:r>
                  <w:r>
                    <w:rPr>
                      <w:rFonts w:hint="eastAsia"/>
                      <w:szCs w:val="21"/>
                    </w:rPr>
                    <w:t>t/a</w:t>
                  </w:r>
                </w:p>
              </w:tc>
            </w:tr>
          </w:tbl>
          <w:p w14:paraId="43460B08">
            <w:pPr>
              <w:spacing w:line="500" w:lineRule="exact"/>
              <w:ind w:firstLine="480" w:firstLineChars="200"/>
              <w:rPr>
                <w:sz w:val="24"/>
              </w:rPr>
            </w:pPr>
            <w:r>
              <w:rPr>
                <w:rFonts w:hint="eastAsia"/>
                <w:sz w:val="24"/>
              </w:rPr>
              <w:t>⑵技改后污染物产生及排放情况</w:t>
            </w:r>
          </w:p>
          <w:p w14:paraId="10BB81F5">
            <w:pPr>
              <w:spacing w:line="500" w:lineRule="exact"/>
              <w:ind w:firstLine="480" w:firstLineChars="200"/>
              <w:jc w:val="left"/>
              <w:rPr>
                <w:rFonts w:hint="eastAsia"/>
                <w:sz w:val="24"/>
                <w:lang w:val="en-US" w:eastAsia="zh-CN"/>
              </w:rPr>
            </w:pPr>
            <w:r>
              <w:rPr>
                <w:rFonts w:hint="eastAsia"/>
                <w:sz w:val="24"/>
                <w:lang w:eastAsia="zh-CN"/>
              </w:rPr>
              <w:t>技改后萘系减水剂粉剂生产过程的热源为现有甲醛的尾气燃烧产生的热能，则根据计算技改后萘系减水剂粉剂生产过程</w:t>
            </w:r>
            <w:r>
              <w:rPr>
                <w:rFonts w:hint="eastAsia"/>
                <w:sz w:val="24"/>
              </w:rPr>
              <w:t>污染物排放情况</w:t>
            </w:r>
            <w:r>
              <w:rPr>
                <w:rFonts w:hint="eastAsia"/>
                <w:sz w:val="24"/>
                <w:lang w:eastAsia="zh-CN"/>
              </w:rPr>
              <w:t>见</w:t>
            </w:r>
            <w:r>
              <w:rPr>
                <w:rFonts w:hint="eastAsia"/>
                <w:sz w:val="24"/>
              </w:rPr>
              <w:t>表</w:t>
            </w:r>
            <w:r>
              <w:rPr>
                <w:rFonts w:hint="eastAsia"/>
                <w:sz w:val="24"/>
                <w:lang w:val="en-US" w:eastAsia="zh-CN"/>
              </w:rPr>
              <w:t>4-10。</w:t>
            </w:r>
          </w:p>
          <w:p w14:paraId="2061CD0E">
            <w:pPr>
              <w:spacing w:line="500" w:lineRule="exact"/>
              <w:jc w:val="center"/>
              <w:rPr>
                <w:sz w:val="24"/>
              </w:rPr>
            </w:pPr>
            <w:r>
              <w:rPr>
                <w:sz w:val="24"/>
              </w:rPr>
              <w:t>表</w:t>
            </w:r>
            <w:r>
              <w:rPr>
                <w:rFonts w:hint="eastAsia"/>
                <w:sz w:val="24"/>
              </w:rPr>
              <w:t>4-</w:t>
            </w:r>
            <w:r>
              <w:rPr>
                <w:rFonts w:hint="eastAsia"/>
                <w:sz w:val="24"/>
                <w:lang w:val="en-US" w:eastAsia="zh-CN"/>
              </w:rPr>
              <w:t>10</w:t>
            </w:r>
            <w:r>
              <w:rPr>
                <w:rFonts w:hint="eastAsia"/>
                <w:sz w:val="24"/>
              </w:rPr>
              <w:t xml:space="preserve">  技改后</w:t>
            </w:r>
            <w:r>
              <w:rPr>
                <w:rFonts w:hint="eastAsia"/>
                <w:sz w:val="24"/>
                <w:lang w:eastAsia="zh-CN"/>
              </w:rPr>
              <w:t>萘系减水剂粉剂生产过程</w:t>
            </w:r>
            <w:r>
              <w:rPr>
                <w:rFonts w:hint="eastAsia"/>
                <w:sz w:val="24"/>
              </w:rPr>
              <w:t>污染物排放情况表</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00"/>
              <w:gridCol w:w="1139"/>
              <w:gridCol w:w="1184"/>
              <w:gridCol w:w="2316"/>
              <w:gridCol w:w="2356"/>
            </w:tblGrid>
            <w:tr w14:paraId="003AF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17" w:hRule="atLeast"/>
              </w:trPr>
              <w:tc>
                <w:tcPr>
                  <w:tcW w:w="625" w:type="pct"/>
                  <w:shd w:val="clear" w:color="auto" w:fill="auto"/>
                  <w:noWrap w:val="0"/>
                  <w:vAlign w:val="center"/>
                </w:tcPr>
                <w:p w14:paraId="125CE291">
                  <w:pPr>
                    <w:jc w:val="center"/>
                    <w:rPr>
                      <w:color w:val="auto"/>
                      <w:szCs w:val="21"/>
                    </w:rPr>
                  </w:pPr>
                  <w:r>
                    <w:rPr>
                      <w:rFonts w:hint="eastAsia"/>
                      <w:color w:val="auto"/>
                      <w:szCs w:val="21"/>
                    </w:rPr>
                    <w:t>生产</w:t>
                  </w:r>
                  <w:r>
                    <w:rPr>
                      <w:color w:val="auto"/>
                      <w:szCs w:val="21"/>
                    </w:rPr>
                    <w:t>线</w:t>
                  </w:r>
                </w:p>
              </w:tc>
              <w:tc>
                <w:tcPr>
                  <w:tcW w:w="712" w:type="pct"/>
                  <w:shd w:val="clear" w:color="auto" w:fill="auto"/>
                  <w:noWrap w:val="0"/>
                  <w:vAlign w:val="center"/>
                </w:tcPr>
                <w:p w14:paraId="52DD3DDA">
                  <w:pPr>
                    <w:jc w:val="center"/>
                    <w:rPr>
                      <w:rFonts w:hint="eastAsia"/>
                      <w:color w:val="auto"/>
                      <w:szCs w:val="21"/>
                    </w:rPr>
                  </w:pPr>
                  <w:r>
                    <w:rPr>
                      <w:color w:val="auto"/>
                      <w:szCs w:val="21"/>
                    </w:rPr>
                    <w:t>核算</w:t>
                  </w:r>
                </w:p>
                <w:p w14:paraId="63EBE74D">
                  <w:pPr>
                    <w:jc w:val="center"/>
                    <w:rPr>
                      <w:color w:val="auto"/>
                      <w:szCs w:val="21"/>
                    </w:rPr>
                  </w:pPr>
                  <w:r>
                    <w:rPr>
                      <w:color w:val="auto"/>
                      <w:szCs w:val="21"/>
                    </w:rPr>
                    <w:t>时间</w:t>
                  </w:r>
                </w:p>
              </w:tc>
              <w:tc>
                <w:tcPr>
                  <w:tcW w:w="740" w:type="pct"/>
                  <w:tcBorders>
                    <w:left w:val="single" w:color="auto" w:sz="4" w:space="0"/>
                  </w:tcBorders>
                  <w:shd w:val="clear" w:color="auto" w:fill="auto"/>
                  <w:noWrap w:val="0"/>
                  <w:vAlign w:val="center"/>
                </w:tcPr>
                <w:p w14:paraId="18AEA08C">
                  <w:pPr>
                    <w:jc w:val="center"/>
                    <w:rPr>
                      <w:color w:val="auto"/>
                      <w:szCs w:val="21"/>
                    </w:rPr>
                  </w:pPr>
                  <w:r>
                    <w:rPr>
                      <w:color w:val="auto"/>
                      <w:szCs w:val="21"/>
                    </w:rPr>
                    <w:t>产污环节</w:t>
                  </w:r>
                </w:p>
              </w:tc>
              <w:tc>
                <w:tcPr>
                  <w:tcW w:w="1448" w:type="pct"/>
                  <w:tcBorders>
                    <w:right w:val="single" w:color="auto" w:sz="4" w:space="0"/>
                  </w:tcBorders>
                  <w:shd w:val="clear" w:color="auto" w:fill="auto"/>
                  <w:noWrap w:val="0"/>
                  <w:vAlign w:val="center"/>
                </w:tcPr>
                <w:p w14:paraId="5A2176A0">
                  <w:pPr>
                    <w:jc w:val="center"/>
                    <w:rPr>
                      <w:color w:val="auto"/>
                      <w:szCs w:val="21"/>
                    </w:rPr>
                  </w:pPr>
                  <w:r>
                    <w:rPr>
                      <w:rFonts w:hint="eastAsia"/>
                      <w:color w:val="auto"/>
                      <w:szCs w:val="21"/>
                    </w:rPr>
                    <w:t>污染物</w:t>
                  </w:r>
                </w:p>
              </w:tc>
              <w:tc>
                <w:tcPr>
                  <w:tcW w:w="1473" w:type="pct"/>
                  <w:tcBorders>
                    <w:right w:val="single" w:color="auto" w:sz="4" w:space="0"/>
                  </w:tcBorders>
                  <w:shd w:val="clear" w:color="auto" w:fill="auto"/>
                  <w:noWrap w:val="0"/>
                  <w:vAlign w:val="center"/>
                </w:tcPr>
                <w:p w14:paraId="600F02F9">
                  <w:pPr>
                    <w:jc w:val="center"/>
                    <w:rPr>
                      <w:color w:val="auto"/>
                      <w:szCs w:val="21"/>
                    </w:rPr>
                  </w:pPr>
                  <w:r>
                    <w:rPr>
                      <w:rFonts w:hint="eastAsia"/>
                      <w:color w:val="auto"/>
                      <w:szCs w:val="21"/>
                    </w:rPr>
                    <w:t>满负荷排放量</w:t>
                  </w:r>
                </w:p>
              </w:tc>
            </w:tr>
            <w:tr w14:paraId="42110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625" w:type="pct"/>
                  <w:vMerge w:val="restart"/>
                  <w:shd w:val="clear" w:color="auto" w:fill="auto"/>
                  <w:noWrap w:val="0"/>
                  <w:vAlign w:val="center"/>
                </w:tcPr>
                <w:p w14:paraId="0CBCE81D">
                  <w:pPr>
                    <w:jc w:val="center"/>
                    <w:rPr>
                      <w:rFonts w:hint="eastAsia" w:eastAsia="宋体"/>
                      <w:color w:val="auto"/>
                      <w:szCs w:val="21"/>
                      <w:lang w:eastAsia="zh-CN"/>
                    </w:rPr>
                  </w:pPr>
                  <w:r>
                    <w:rPr>
                      <w:rFonts w:hint="eastAsia"/>
                      <w:color w:val="auto"/>
                      <w:szCs w:val="21"/>
                      <w:lang w:eastAsia="zh-CN"/>
                    </w:rPr>
                    <w:t>萘系减水剂粉剂</w:t>
                  </w:r>
                </w:p>
              </w:tc>
              <w:tc>
                <w:tcPr>
                  <w:tcW w:w="712" w:type="pct"/>
                  <w:vMerge w:val="restart"/>
                  <w:shd w:val="clear" w:color="auto" w:fill="auto"/>
                  <w:noWrap w:val="0"/>
                  <w:vAlign w:val="center"/>
                </w:tcPr>
                <w:p w14:paraId="5491129D">
                  <w:pPr>
                    <w:jc w:val="center"/>
                    <w:rPr>
                      <w:rFonts w:hint="eastAsia"/>
                      <w:color w:val="auto"/>
                      <w:szCs w:val="21"/>
                    </w:rPr>
                  </w:pPr>
                  <w:r>
                    <w:rPr>
                      <w:rFonts w:hint="eastAsia"/>
                      <w:color w:val="auto"/>
                      <w:szCs w:val="21"/>
                    </w:rPr>
                    <w:t>技改</w:t>
                  </w:r>
                  <w:r>
                    <w:rPr>
                      <w:rFonts w:hint="eastAsia"/>
                      <w:color w:val="auto"/>
                      <w:szCs w:val="21"/>
                      <w:lang w:eastAsia="zh-CN"/>
                    </w:rPr>
                    <w:t>后</w:t>
                  </w:r>
                </w:p>
              </w:tc>
              <w:tc>
                <w:tcPr>
                  <w:tcW w:w="740" w:type="pct"/>
                  <w:vMerge w:val="restart"/>
                  <w:tcBorders>
                    <w:left w:val="single" w:color="auto" w:sz="4" w:space="0"/>
                  </w:tcBorders>
                  <w:shd w:val="clear" w:color="auto" w:fill="auto"/>
                  <w:noWrap w:val="0"/>
                  <w:vAlign w:val="center"/>
                </w:tcPr>
                <w:p w14:paraId="144FA376">
                  <w:pPr>
                    <w:jc w:val="center"/>
                    <w:rPr>
                      <w:rFonts w:hint="eastAsia" w:eastAsia="宋体"/>
                      <w:color w:val="auto"/>
                      <w:szCs w:val="21"/>
                      <w:lang w:eastAsia="zh-CN"/>
                    </w:rPr>
                  </w:pPr>
                  <w:r>
                    <w:rPr>
                      <w:rFonts w:hint="eastAsia"/>
                      <w:color w:val="auto"/>
                      <w:szCs w:val="21"/>
                      <w:lang w:eastAsia="zh-CN"/>
                    </w:rPr>
                    <w:t>热风炉燃烧废气、干燥废气</w:t>
                  </w:r>
                </w:p>
              </w:tc>
              <w:tc>
                <w:tcPr>
                  <w:tcW w:w="1448" w:type="pct"/>
                  <w:tcBorders>
                    <w:right w:val="single" w:color="auto" w:sz="4" w:space="0"/>
                  </w:tcBorders>
                  <w:shd w:val="clear" w:color="auto" w:fill="auto"/>
                  <w:noWrap w:val="0"/>
                  <w:vAlign w:val="center"/>
                </w:tcPr>
                <w:p w14:paraId="5BCD27B3">
                  <w:pPr>
                    <w:jc w:val="center"/>
                    <w:rPr>
                      <w:rFonts w:hint="eastAsia" w:ascii="Times New Roman" w:hAnsi="Times New Roman"/>
                      <w:color w:val="auto"/>
                      <w:kern w:val="2"/>
                      <w:sz w:val="21"/>
                      <w:szCs w:val="21"/>
                      <w:lang w:val="en-US" w:eastAsia="zh-CN" w:bidi="ar-SA"/>
                    </w:rPr>
                  </w:pPr>
                  <w:r>
                    <w:rPr>
                      <w:rFonts w:hint="eastAsia"/>
                      <w:color w:val="auto"/>
                      <w:sz w:val="21"/>
                      <w:szCs w:val="21"/>
                      <w:lang w:eastAsia="zh-CN"/>
                    </w:rPr>
                    <w:t>甲醛</w:t>
                  </w:r>
                </w:p>
              </w:tc>
              <w:tc>
                <w:tcPr>
                  <w:tcW w:w="2356" w:type="dxa"/>
                  <w:tcBorders>
                    <w:right w:val="single" w:color="auto" w:sz="4" w:space="0"/>
                  </w:tcBorders>
                  <w:shd w:val="clear" w:color="auto" w:fill="auto"/>
                  <w:noWrap w:val="0"/>
                  <w:vAlign w:val="center"/>
                </w:tcPr>
                <w:p w14:paraId="41FC97C5">
                  <w:pPr>
                    <w:keepNext w:val="0"/>
                    <w:keepLines w:val="0"/>
                    <w:widowControl/>
                    <w:suppressLineNumbers w:val="0"/>
                    <w:jc w:val="center"/>
                    <w:textAlignment w:val="center"/>
                    <w:rPr>
                      <w:rFonts w:hint="default" w:ascii="Times New Roman" w:hAnsi="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0.365</w:t>
                  </w:r>
                </w:p>
              </w:tc>
            </w:tr>
            <w:tr w14:paraId="2B573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25" w:type="pct"/>
                  <w:vMerge w:val="continue"/>
                  <w:shd w:val="clear" w:color="auto" w:fill="auto"/>
                  <w:noWrap w:val="0"/>
                  <w:vAlign w:val="center"/>
                </w:tcPr>
                <w:p w14:paraId="1A8EF09E">
                  <w:pPr>
                    <w:jc w:val="center"/>
                    <w:rPr>
                      <w:rFonts w:hint="eastAsia"/>
                      <w:color w:val="auto"/>
                      <w:szCs w:val="21"/>
                    </w:rPr>
                  </w:pPr>
                </w:p>
              </w:tc>
              <w:tc>
                <w:tcPr>
                  <w:tcW w:w="712" w:type="pct"/>
                  <w:vMerge w:val="continue"/>
                  <w:shd w:val="clear" w:color="auto" w:fill="auto"/>
                  <w:noWrap w:val="0"/>
                  <w:vAlign w:val="center"/>
                </w:tcPr>
                <w:p w14:paraId="3AB4A758">
                  <w:pPr>
                    <w:jc w:val="center"/>
                    <w:rPr>
                      <w:rFonts w:hint="eastAsia"/>
                      <w:color w:val="auto"/>
                      <w:szCs w:val="21"/>
                    </w:rPr>
                  </w:pPr>
                </w:p>
              </w:tc>
              <w:tc>
                <w:tcPr>
                  <w:tcW w:w="740" w:type="pct"/>
                  <w:vMerge w:val="continue"/>
                  <w:tcBorders>
                    <w:left w:val="single" w:color="auto" w:sz="4" w:space="0"/>
                  </w:tcBorders>
                  <w:shd w:val="clear" w:color="auto" w:fill="auto"/>
                  <w:noWrap w:val="0"/>
                  <w:vAlign w:val="center"/>
                </w:tcPr>
                <w:p w14:paraId="0EF97E91">
                  <w:pPr>
                    <w:jc w:val="center"/>
                    <w:rPr>
                      <w:rFonts w:hint="eastAsia"/>
                      <w:color w:val="auto"/>
                      <w:szCs w:val="21"/>
                    </w:rPr>
                  </w:pPr>
                </w:p>
              </w:tc>
              <w:tc>
                <w:tcPr>
                  <w:tcW w:w="1448" w:type="pct"/>
                  <w:tcBorders>
                    <w:right w:val="single" w:color="auto" w:sz="4" w:space="0"/>
                  </w:tcBorders>
                  <w:shd w:val="clear" w:color="auto" w:fill="auto"/>
                  <w:noWrap w:val="0"/>
                  <w:vAlign w:val="center"/>
                </w:tcPr>
                <w:p w14:paraId="5EE4E598">
                  <w:pPr>
                    <w:jc w:val="center"/>
                    <w:rPr>
                      <w:rFonts w:hint="eastAsia"/>
                      <w:color w:val="auto"/>
                      <w:szCs w:val="21"/>
                    </w:rPr>
                  </w:pPr>
                  <w:r>
                    <w:rPr>
                      <w:rFonts w:hint="eastAsia"/>
                      <w:color w:val="auto"/>
                      <w:sz w:val="21"/>
                      <w:szCs w:val="21"/>
                      <w:lang w:val="en-US" w:eastAsia="zh-CN"/>
                    </w:rPr>
                    <w:t>TSP</w:t>
                  </w:r>
                </w:p>
              </w:tc>
              <w:tc>
                <w:tcPr>
                  <w:tcW w:w="2356" w:type="dxa"/>
                  <w:tcBorders>
                    <w:right w:val="single" w:color="auto" w:sz="4" w:space="0"/>
                  </w:tcBorders>
                  <w:shd w:val="clear" w:color="auto" w:fill="auto"/>
                  <w:noWrap w:val="0"/>
                  <w:vAlign w:val="center"/>
                </w:tcPr>
                <w:p w14:paraId="42443029">
                  <w:pPr>
                    <w:keepNext w:val="0"/>
                    <w:keepLines w:val="0"/>
                    <w:widowControl/>
                    <w:suppressLineNumbers w:val="0"/>
                    <w:jc w:val="center"/>
                    <w:textAlignment w:val="center"/>
                    <w:rPr>
                      <w:rFonts w:hint="default"/>
                      <w:color w:val="auto"/>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zh-HK"/>
                    </w:rPr>
                    <w:t>1.351</w:t>
                  </w:r>
                </w:p>
              </w:tc>
            </w:tr>
            <w:tr w14:paraId="46DCA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25" w:type="pct"/>
                  <w:vMerge w:val="continue"/>
                  <w:shd w:val="clear" w:color="auto" w:fill="auto"/>
                  <w:noWrap w:val="0"/>
                  <w:vAlign w:val="center"/>
                </w:tcPr>
                <w:p w14:paraId="2BAD2035">
                  <w:pPr>
                    <w:jc w:val="center"/>
                    <w:rPr>
                      <w:rFonts w:hint="eastAsia"/>
                      <w:color w:val="auto"/>
                      <w:szCs w:val="21"/>
                    </w:rPr>
                  </w:pPr>
                </w:p>
              </w:tc>
              <w:tc>
                <w:tcPr>
                  <w:tcW w:w="712" w:type="pct"/>
                  <w:vMerge w:val="continue"/>
                  <w:shd w:val="clear" w:color="auto" w:fill="auto"/>
                  <w:noWrap w:val="0"/>
                  <w:vAlign w:val="center"/>
                </w:tcPr>
                <w:p w14:paraId="633C49CC">
                  <w:pPr>
                    <w:jc w:val="center"/>
                    <w:rPr>
                      <w:rFonts w:hint="eastAsia"/>
                      <w:color w:val="auto"/>
                      <w:szCs w:val="21"/>
                    </w:rPr>
                  </w:pPr>
                </w:p>
              </w:tc>
              <w:tc>
                <w:tcPr>
                  <w:tcW w:w="740" w:type="pct"/>
                  <w:vMerge w:val="continue"/>
                  <w:tcBorders>
                    <w:left w:val="single" w:color="auto" w:sz="4" w:space="0"/>
                  </w:tcBorders>
                  <w:shd w:val="clear" w:color="auto" w:fill="auto"/>
                  <w:noWrap w:val="0"/>
                  <w:vAlign w:val="center"/>
                </w:tcPr>
                <w:p w14:paraId="695893AE">
                  <w:pPr>
                    <w:jc w:val="center"/>
                    <w:rPr>
                      <w:rFonts w:hint="eastAsia"/>
                      <w:color w:val="auto"/>
                      <w:szCs w:val="21"/>
                    </w:rPr>
                  </w:pPr>
                </w:p>
              </w:tc>
              <w:tc>
                <w:tcPr>
                  <w:tcW w:w="1448" w:type="pct"/>
                  <w:tcBorders>
                    <w:right w:val="single" w:color="auto" w:sz="4" w:space="0"/>
                  </w:tcBorders>
                  <w:shd w:val="clear" w:color="auto" w:fill="auto"/>
                  <w:noWrap w:val="0"/>
                  <w:vAlign w:val="center"/>
                </w:tcPr>
                <w:p w14:paraId="5C3904A7">
                  <w:pPr>
                    <w:jc w:val="center"/>
                    <w:rPr>
                      <w:rFonts w:hint="eastAsia"/>
                      <w:color w:val="auto"/>
                      <w:szCs w:val="21"/>
                    </w:rPr>
                  </w:pPr>
                  <w:r>
                    <w:rPr>
                      <w:rFonts w:hint="eastAsia"/>
                      <w:color w:val="auto"/>
                      <w:sz w:val="21"/>
                      <w:szCs w:val="21"/>
                      <w:lang w:eastAsia="zh-CN"/>
                    </w:rPr>
                    <w:t>甲醇</w:t>
                  </w:r>
                </w:p>
              </w:tc>
              <w:tc>
                <w:tcPr>
                  <w:tcW w:w="2356" w:type="dxa"/>
                  <w:tcBorders>
                    <w:right w:val="single" w:color="auto" w:sz="4" w:space="0"/>
                  </w:tcBorders>
                  <w:shd w:val="clear" w:color="auto" w:fill="auto"/>
                  <w:noWrap w:val="0"/>
                  <w:vAlign w:val="center"/>
                </w:tcPr>
                <w:p w14:paraId="62423A4E">
                  <w:pPr>
                    <w:keepNext w:val="0"/>
                    <w:keepLines w:val="0"/>
                    <w:widowControl/>
                    <w:suppressLineNumbers w:val="0"/>
                    <w:jc w:val="center"/>
                    <w:textAlignment w:val="center"/>
                    <w:rPr>
                      <w:rFonts w:hint="default"/>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zh-HK"/>
                    </w:rPr>
                    <w:t>0.06</w:t>
                  </w:r>
                </w:p>
              </w:tc>
            </w:tr>
            <w:tr w14:paraId="4EB45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25" w:type="pct"/>
                  <w:vMerge w:val="continue"/>
                  <w:shd w:val="clear" w:color="auto" w:fill="auto"/>
                  <w:noWrap w:val="0"/>
                  <w:vAlign w:val="center"/>
                </w:tcPr>
                <w:p w14:paraId="513ADE42">
                  <w:pPr>
                    <w:jc w:val="center"/>
                    <w:rPr>
                      <w:rFonts w:hint="eastAsia"/>
                      <w:color w:val="auto"/>
                      <w:szCs w:val="21"/>
                    </w:rPr>
                  </w:pPr>
                </w:p>
              </w:tc>
              <w:tc>
                <w:tcPr>
                  <w:tcW w:w="712" w:type="pct"/>
                  <w:vMerge w:val="continue"/>
                  <w:shd w:val="clear" w:color="auto" w:fill="auto"/>
                  <w:noWrap w:val="0"/>
                  <w:vAlign w:val="center"/>
                </w:tcPr>
                <w:p w14:paraId="2C4FC472">
                  <w:pPr>
                    <w:jc w:val="center"/>
                    <w:rPr>
                      <w:rFonts w:hint="eastAsia"/>
                      <w:color w:val="auto"/>
                      <w:szCs w:val="21"/>
                    </w:rPr>
                  </w:pPr>
                </w:p>
              </w:tc>
              <w:tc>
                <w:tcPr>
                  <w:tcW w:w="740" w:type="pct"/>
                  <w:vMerge w:val="continue"/>
                  <w:tcBorders>
                    <w:left w:val="single" w:color="auto" w:sz="4" w:space="0"/>
                  </w:tcBorders>
                  <w:shd w:val="clear" w:color="auto" w:fill="auto"/>
                  <w:noWrap w:val="0"/>
                  <w:vAlign w:val="center"/>
                </w:tcPr>
                <w:p w14:paraId="2A5C4B83">
                  <w:pPr>
                    <w:jc w:val="center"/>
                    <w:rPr>
                      <w:rFonts w:hint="eastAsia"/>
                      <w:color w:val="auto"/>
                      <w:szCs w:val="21"/>
                    </w:rPr>
                  </w:pPr>
                </w:p>
              </w:tc>
              <w:tc>
                <w:tcPr>
                  <w:tcW w:w="1448" w:type="pct"/>
                  <w:tcBorders>
                    <w:right w:val="single" w:color="auto" w:sz="4" w:space="0"/>
                  </w:tcBorders>
                  <w:shd w:val="clear" w:color="auto" w:fill="auto"/>
                  <w:noWrap w:val="0"/>
                  <w:vAlign w:val="center"/>
                </w:tcPr>
                <w:p w14:paraId="2C2A5C37">
                  <w:pPr>
                    <w:jc w:val="center"/>
                    <w:rPr>
                      <w:rFonts w:hint="eastAsia" w:ascii="Times New Roman" w:hAnsi="Times New Roman"/>
                      <w:color w:val="auto"/>
                      <w:kern w:val="2"/>
                      <w:sz w:val="21"/>
                      <w:szCs w:val="21"/>
                      <w:lang w:val="en-US" w:eastAsia="zh-CN" w:bidi="ar-SA"/>
                    </w:rPr>
                  </w:pPr>
                  <w:r>
                    <w:rPr>
                      <w:rFonts w:hint="eastAsia"/>
                      <w:color w:val="auto"/>
                      <w:sz w:val="21"/>
                      <w:szCs w:val="21"/>
                      <w:lang w:eastAsia="zh-CN"/>
                    </w:rPr>
                    <w:t>非甲烷总烃</w:t>
                  </w:r>
                </w:p>
              </w:tc>
              <w:tc>
                <w:tcPr>
                  <w:tcW w:w="2356" w:type="dxa"/>
                  <w:tcBorders>
                    <w:right w:val="single" w:color="auto" w:sz="4" w:space="0"/>
                  </w:tcBorders>
                  <w:shd w:val="clear" w:color="auto" w:fill="auto"/>
                  <w:noWrap w:val="0"/>
                  <w:vAlign w:val="center"/>
                </w:tcPr>
                <w:p w14:paraId="586BA3F5">
                  <w:pPr>
                    <w:keepNext w:val="0"/>
                    <w:keepLines w:val="0"/>
                    <w:widowControl/>
                    <w:suppressLineNumbers w:val="0"/>
                    <w:jc w:val="center"/>
                    <w:textAlignment w:val="center"/>
                    <w:rPr>
                      <w:rFonts w:hint="default" w:ascii="Times New Roman" w:hAnsi="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zh-HK"/>
                    </w:rPr>
                    <w:t>1.97</w:t>
                  </w:r>
                </w:p>
              </w:tc>
            </w:tr>
            <w:tr w14:paraId="4299D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625" w:type="pct"/>
                  <w:vMerge w:val="continue"/>
                  <w:shd w:val="clear" w:color="auto" w:fill="auto"/>
                  <w:noWrap w:val="0"/>
                  <w:vAlign w:val="center"/>
                </w:tcPr>
                <w:p w14:paraId="24CFC960">
                  <w:pPr>
                    <w:jc w:val="center"/>
                    <w:rPr>
                      <w:rFonts w:hint="eastAsia"/>
                      <w:color w:val="auto"/>
                      <w:szCs w:val="21"/>
                    </w:rPr>
                  </w:pPr>
                </w:p>
              </w:tc>
              <w:tc>
                <w:tcPr>
                  <w:tcW w:w="712" w:type="pct"/>
                  <w:vMerge w:val="continue"/>
                  <w:shd w:val="clear" w:color="auto" w:fill="auto"/>
                  <w:noWrap w:val="0"/>
                  <w:vAlign w:val="center"/>
                </w:tcPr>
                <w:p w14:paraId="0FD580AF">
                  <w:pPr>
                    <w:jc w:val="center"/>
                    <w:rPr>
                      <w:rFonts w:hint="eastAsia"/>
                      <w:color w:val="auto"/>
                      <w:szCs w:val="21"/>
                    </w:rPr>
                  </w:pPr>
                </w:p>
              </w:tc>
              <w:tc>
                <w:tcPr>
                  <w:tcW w:w="740" w:type="pct"/>
                  <w:vMerge w:val="continue"/>
                  <w:tcBorders>
                    <w:left w:val="single" w:color="auto" w:sz="4" w:space="0"/>
                  </w:tcBorders>
                  <w:shd w:val="clear" w:color="auto" w:fill="auto"/>
                  <w:noWrap w:val="0"/>
                  <w:vAlign w:val="center"/>
                </w:tcPr>
                <w:p w14:paraId="02EA20D4">
                  <w:pPr>
                    <w:jc w:val="center"/>
                    <w:rPr>
                      <w:rFonts w:hint="eastAsia"/>
                      <w:color w:val="auto"/>
                      <w:szCs w:val="21"/>
                    </w:rPr>
                  </w:pPr>
                </w:p>
              </w:tc>
              <w:tc>
                <w:tcPr>
                  <w:tcW w:w="1448" w:type="pct"/>
                  <w:tcBorders>
                    <w:right w:val="single" w:color="auto" w:sz="4" w:space="0"/>
                  </w:tcBorders>
                  <w:shd w:val="clear" w:color="auto" w:fill="auto"/>
                  <w:noWrap w:val="0"/>
                  <w:vAlign w:val="center"/>
                </w:tcPr>
                <w:p w14:paraId="5D4BEDB0">
                  <w:pPr>
                    <w:jc w:val="center"/>
                    <w:rPr>
                      <w:rFonts w:hint="eastAsia" w:ascii="Times New Roman" w:hAnsi="Times New Roman"/>
                      <w:color w:val="auto"/>
                      <w:kern w:val="2"/>
                      <w:sz w:val="21"/>
                      <w:szCs w:val="21"/>
                      <w:lang w:val="en-US" w:eastAsia="zh-CN" w:bidi="ar-SA"/>
                    </w:rPr>
                  </w:pPr>
                  <w:r>
                    <w:rPr>
                      <w:rFonts w:hint="eastAsia"/>
                      <w:color w:val="auto"/>
                      <w:sz w:val="21"/>
                      <w:szCs w:val="21"/>
                    </w:rPr>
                    <w:t>氮氧化物</w:t>
                  </w:r>
                </w:p>
              </w:tc>
              <w:tc>
                <w:tcPr>
                  <w:tcW w:w="2356" w:type="dxa"/>
                  <w:tcBorders>
                    <w:right w:val="single" w:color="auto" w:sz="4" w:space="0"/>
                  </w:tcBorders>
                  <w:shd w:val="clear" w:color="auto" w:fill="auto"/>
                  <w:noWrap w:val="0"/>
                  <w:vAlign w:val="center"/>
                </w:tcPr>
                <w:p w14:paraId="30F1D7F4">
                  <w:pPr>
                    <w:keepNext w:val="0"/>
                    <w:keepLines w:val="0"/>
                    <w:widowControl/>
                    <w:suppressLineNumbers w:val="0"/>
                    <w:jc w:val="center"/>
                    <w:textAlignment w:val="center"/>
                    <w:rPr>
                      <w:rFonts w:hint="eastAsia" w:ascii="Times New Roman" w:hAnsi="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zh-HK"/>
                    </w:rPr>
                    <w:t>0.043</w:t>
                  </w:r>
                </w:p>
              </w:tc>
            </w:tr>
          </w:tbl>
          <w:p w14:paraId="3883D97A">
            <w:pPr>
              <w:spacing w:line="500" w:lineRule="exact"/>
              <w:ind w:firstLine="480" w:firstLineChars="200"/>
              <w:jc w:val="left"/>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⑶技改后全厂污染物排放情况</w:t>
            </w:r>
          </w:p>
          <w:p w14:paraId="75D5FEFF">
            <w:pPr>
              <w:spacing w:line="500" w:lineRule="exact"/>
              <w:ind w:firstLine="480" w:firstLineChars="200"/>
              <w:jc w:val="left"/>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由于本项目采用现有甲醛尾气燃烧产生的热能来生产减水剂粉剂，新建的排气筒中热风炉燃烧产生的污染物排放量来自现有甲醛尾气燃烧的排放量，因此，三本账计算中本项目热风炉燃烧产生的污染物排放量为</w:t>
            </w:r>
            <w:r>
              <w:rPr>
                <w:rFonts w:hint="eastAsia" w:ascii="Times New Roman" w:hAnsi="Times New Roman" w:eastAsia="宋体" w:cs="Times New Roman"/>
                <w:sz w:val="24"/>
                <w:lang w:val="en-US" w:eastAsia="zh-CN"/>
              </w:rPr>
              <w:t>0，则</w:t>
            </w:r>
            <w:r>
              <w:rPr>
                <w:rFonts w:hint="eastAsia" w:ascii="Times New Roman" w:hAnsi="Times New Roman" w:eastAsia="宋体" w:cs="Times New Roman"/>
                <w:sz w:val="24"/>
                <w:lang w:eastAsia="zh-CN"/>
              </w:rPr>
              <w:t>实施后本项目涉及的污染物、全厂有组织排放量如下表。</w:t>
            </w:r>
          </w:p>
          <w:p w14:paraId="3D50B580">
            <w:pPr>
              <w:spacing w:line="500" w:lineRule="exact"/>
              <w:jc w:val="center"/>
              <w:rPr>
                <w:sz w:val="24"/>
              </w:rPr>
            </w:pPr>
            <w:r>
              <w:rPr>
                <w:sz w:val="24"/>
              </w:rPr>
              <w:t>表</w:t>
            </w:r>
            <w:r>
              <w:rPr>
                <w:rFonts w:hint="eastAsia"/>
                <w:sz w:val="24"/>
              </w:rPr>
              <w:t>4-</w:t>
            </w:r>
            <w:r>
              <w:rPr>
                <w:rFonts w:hint="eastAsia"/>
                <w:sz w:val="24"/>
                <w:lang w:val="en-US" w:eastAsia="zh-CN"/>
              </w:rPr>
              <w:t>11</w:t>
            </w:r>
            <w:r>
              <w:rPr>
                <w:rFonts w:hint="eastAsia"/>
                <w:sz w:val="24"/>
              </w:rPr>
              <w:t xml:space="preserve">  </w:t>
            </w:r>
            <w:r>
              <w:rPr>
                <w:rFonts w:hint="eastAsia"/>
                <w:sz w:val="24"/>
                <w:szCs w:val="24"/>
              </w:rPr>
              <w:t>技改</w:t>
            </w:r>
            <w:r>
              <w:rPr>
                <w:rFonts w:hint="eastAsia"/>
                <w:sz w:val="24"/>
                <w:szCs w:val="24"/>
                <w:lang w:eastAsia="zh-CN"/>
              </w:rPr>
              <w:t>前后干燥系统</w:t>
            </w:r>
            <w:r>
              <w:rPr>
                <w:rFonts w:hint="eastAsia"/>
                <w:sz w:val="24"/>
                <w:szCs w:val="24"/>
              </w:rPr>
              <w:t>废气污</w:t>
            </w:r>
            <w:r>
              <w:rPr>
                <w:rFonts w:hint="eastAsia"/>
                <w:sz w:val="24"/>
              </w:rPr>
              <w:t>染物排放量</w:t>
            </w:r>
            <w:r>
              <w:rPr>
                <w:rFonts w:hint="eastAsia"/>
                <w:sz w:val="24"/>
                <w:lang w:eastAsia="zh-CN"/>
              </w:rPr>
              <w:t>变化表</w:t>
            </w:r>
            <w:r>
              <w:rPr>
                <w:rFonts w:hint="eastAsia"/>
                <w:sz w:val="24"/>
              </w:rPr>
              <w:t>（满负荷）</w:t>
            </w:r>
          </w:p>
          <w:tbl>
            <w:tblPr>
              <w:tblStyle w:val="4"/>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058"/>
              <w:gridCol w:w="872"/>
              <w:gridCol w:w="928"/>
              <w:gridCol w:w="965"/>
              <w:gridCol w:w="1096"/>
              <w:gridCol w:w="1114"/>
              <w:gridCol w:w="967"/>
            </w:tblGrid>
            <w:tr w14:paraId="5A8FC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15" w:type="pct"/>
                  <w:tcBorders>
                    <w:tl2br w:val="single" w:color="auto" w:sz="4" w:space="0"/>
                  </w:tcBorders>
                  <w:noWrap w:val="0"/>
                  <w:tcMar>
                    <w:left w:w="28" w:type="dxa"/>
                    <w:right w:w="28" w:type="dxa"/>
                  </w:tcMar>
                  <w:vAlign w:val="center"/>
                </w:tcPr>
                <w:p w14:paraId="5369F36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jc w:val="right"/>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项目</w:t>
                  </w:r>
                </w:p>
                <w:p w14:paraId="2929880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jc w:val="left"/>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分类</w:t>
                  </w:r>
                </w:p>
              </w:tc>
              <w:tc>
                <w:tcPr>
                  <w:tcW w:w="662" w:type="pct"/>
                  <w:noWrap w:val="0"/>
                  <w:tcMar>
                    <w:left w:w="28" w:type="dxa"/>
                    <w:right w:w="28" w:type="dxa"/>
                  </w:tcMar>
                  <w:vAlign w:val="center"/>
                </w:tcPr>
                <w:p w14:paraId="7741E0C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污染物名称</w:t>
                  </w:r>
                </w:p>
              </w:tc>
              <w:tc>
                <w:tcPr>
                  <w:tcW w:w="546" w:type="pct"/>
                  <w:noWrap w:val="0"/>
                  <w:tcMar>
                    <w:left w:w="28" w:type="dxa"/>
                    <w:right w:w="28" w:type="dxa"/>
                  </w:tcMar>
                  <w:vAlign w:val="center"/>
                </w:tcPr>
                <w:p w14:paraId="6EF6E38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现有工程排放量</w:t>
                  </w:r>
                  <w:r>
                    <w:rPr>
                      <w:rFonts w:ascii="Times New Roman" w:hAnsi="Times New Roman"/>
                      <w:snapToGrid w:val="0"/>
                      <w:spacing w:val="0"/>
                      <w:kern w:val="21"/>
                      <w:sz w:val="21"/>
                      <w:szCs w:val="21"/>
                      <w:lang w:val="en-US" w:eastAsia="zh-CN"/>
                    </w:rPr>
                    <w:fldChar w:fldCharType="begin"/>
                  </w:r>
                  <w:r>
                    <w:rPr>
                      <w:rFonts w:ascii="Times New Roman" w:hAnsi="Times New Roman"/>
                      <w:snapToGrid w:val="0"/>
                      <w:spacing w:val="0"/>
                      <w:kern w:val="21"/>
                      <w:sz w:val="21"/>
                      <w:szCs w:val="21"/>
                      <w:lang w:val="en-US" w:eastAsia="zh-CN"/>
                    </w:rPr>
                    <w:instrText xml:space="preserve"> = 1 \* GB3 \* MERGEFORMAT </w:instrText>
                  </w:r>
                  <w:r>
                    <w:rPr>
                      <w:rFonts w:ascii="Times New Roman" w:hAnsi="Times New Roman"/>
                      <w:snapToGrid w:val="0"/>
                      <w:spacing w:val="0"/>
                      <w:kern w:val="21"/>
                      <w:sz w:val="21"/>
                      <w:szCs w:val="21"/>
                      <w:lang w:val="en-US" w:eastAsia="zh-CN"/>
                    </w:rPr>
                    <w:fldChar w:fldCharType="separate"/>
                  </w:r>
                  <w:r>
                    <w:rPr>
                      <w:rFonts w:ascii="Times New Roman" w:hAnsi="宋体"/>
                      <w:spacing w:val="0"/>
                      <w:kern w:val="2"/>
                      <w:sz w:val="21"/>
                      <w:szCs w:val="21"/>
                      <w:lang w:val="en-US" w:eastAsia="zh-CN"/>
                    </w:rPr>
                    <w:t>①</w:t>
                  </w:r>
                  <w:r>
                    <w:rPr>
                      <w:rFonts w:ascii="Times New Roman" w:hAnsi="Times New Roman"/>
                      <w:snapToGrid w:val="0"/>
                      <w:spacing w:val="0"/>
                      <w:kern w:val="21"/>
                      <w:sz w:val="21"/>
                      <w:szCs w:val="21"/>
                      <w:lang w:val="en-US" w:eastAsia="zh-CN"/>
                    </w:rPr>
                    <w:fldChar w:fldCharType="end"/>
                  </w:r>
                </w:p>
              </w:tc>
              <w:tc>
                <w:tcPr>
                  <w:tcW w:w="581" w:type="pct"/>
                  <w:noWrap w:val="0"/>
                  <w:tcMar>
                    <w:left w:w="28" w:type="dxa"/>
                    <w:right w:w="28" w:type="dxa"/>
                  </w:tcMar>
                  <w:vAlign w:val="center"/>
                </w:tcPr>
                <w:p w14:paraId="666853BE">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在建工程排放量</w:t>
                  </w:r>
                  <w:r>
                    <w:rPr>
                      <w:rFonts w:ascii="Times New Roman" w:hAnsi="Times New Roman"/>
                      <w:snapToGrid w:val="0"/>
                      <w:spacing w:val="0"/>
                      <w:kern w:val="21"/>
                      <w:sz w:val="21"/>
                      <w:szCs w:val="21"/>
                      <w:lang w:val="en-US" w:eastAsia="zh-CN"/>
                    </w:rPr>
                    <w:fldChar w:fldCharType="begin"/>
                  </w:r>
                  <w:r>
                    <w:rPr>
                      <w:rFonts w:ascii="Times New Roman" w:hAnsi="Times New Roman"/>
                      <w:snapToGrid w:val="0"/>
                      <w:spacing w:val="0"/>
                      <w:kern w:val="21"/>
                      <w:sz w:val="21"/>
                      <w:szCs w:val="21"/>
                      <w:lang w:val="en-US" w:eastAsia="zh-CN"/>
                    </w:rPr>
                    <w:instrText xml:space="preserve"> = 3 \* GB3 \* MERGEFORMAT </w:instrText>
                  </w:r>
                  <w:r>
                    <w:rPr>
                      <w:rFonts w:ascii="Times New Roman" w:hAnsi="Times New Roman"/>
                      <w:snapToGrid w:val="0"/>
                      <w:spacing w:val="0"/>
                      <w:kern w:val="21"/>
                      <w:sz w:val="21"/>
                      <w:szCs w:val="21"/>
                      <w:lang w:val="en-US" w:eastAsia="zh-CN"/>
                    </w:rPr>
                    <w:fldChar w:fldCharType="separate"/>
                  </w:r>
                  <w:r>
                    <w:rPr>
                      <w:rFonts w:ascii="Times New Roman" w:hAnsi="宋体"/>
                      <w:spacing w:val="0"/>
                      <w:kern w:val="2"/>
                      <w:sz w:val="21"/>
                      <w:szCs w:val="21"/>
                      <w:lang w:val="en-US" w:eastAsia="zh-CN"/>
                    </w:rPr>
                    <w:t>③</w:t>
                  </w:r>
                  <w:r>
                    <w:rPr>
                      <w:rFonts w:ascii="Times New Roman" w:hAnsi="Times New Roman"/>
                      <w:snapToGrid w:val="0"/>
                      <w:spacing w:val="0"/>
                      <w:kern w:val="21"/>
                      <w:sz w:val="21"/>
                      <w:szCs w:val="21"/>
                      <w:lang w:val="en-US" w:eastAsia="zh-CN"/>
                    </w:rPr>
                    <w:fldChar w:fldCharType="end"/>
                  </w:r>
                </w:p>
              </w:tc>
              <w:tc>
                <w:tcPr>
                  <w:tcW w:w="604" w:type="pct"/>
                  <w:noWrap w:val="0"/>
                  <w:tcMar>
                    <w:left w:w="28" w:type="dxa"/>
                    <w:right w:w="28" w:type="dxa"/>
                  </w:tcMar>
                  <w:vAlign w:val="center"/>
                </w:tcPr>
                <w:p w14:paraId="55942EB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本项目</w:t>
                  </w:r>
                </w:p>
                <w:p w14:paraId="7EB6EDD7">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排放量</w:t>
                  </w:r>
                  <w:r>
                    <w:rPr>
                      <w:rFonts w:ascii="Times New Roman" w:hAnsi="Times New Roman"/>
                      <w:snapToGrid w:val="0"/>
                      <w:spacing w:val="0"/>
                      <w:kern w:val="21"/>
                      <w:sz w:val="21"/>
                      <w:szCs w:val="21"/>
                      <w:lang w:val="en-US" w:eastAsia="zh-CN"/>
                    </w:rPr>
                    <w:fldChar w:fldCharType="begin"/>
                  </w:r>
                  <w:r>
                    <w:rPr>
                      <w:rFonts w:ascii="Times New Roman" w:hAnsi="Times New Roman"/>
                      <w:snapToGrid w:val="0"/>
                      <w:spacing w:val="0"/>
                      <w:kern w:val="21"/>
                      <w:sz w:val="21"/>
                      <w:szCs w:val="21"/>
                      <w:lang w:val="en-US" w:eastAsia="zh-CN"/>
                    </w:rPr>
                    <w:instrText xml:space="preserve"> = 4 \* GB3 \* MERGEFORMAT </w:instrText>
                  </w:r>
                  <w:r>
                    <w:rPr>
                      <w:rFonts w:ascii="Times New Roman" w:hAnsi="Times New Roman"/>
                      <w:snapToGrid w:val="0"/>
                      <w:spacing w:val="0"/>
                      <w:kern w:val="21"/>
                      <w:sz w:val="21"/>
                      <w:szCs w:val="21"/>
                      <w:lang w:val="en-US" w:eastAsia="zh-CN"/>
                    </w:rPr>
                    <w:fldChar w:fldCharType="separate"/>
                  </w:r>
                  <w:r>
                    <w:rPr>
                      <w:rFonts w:ascii="Times New Roman" w:hAnsi="宋体"/>
                      <w:spacing w:val="0"/>
                      <w:kern w:val="2"/>
                      <w:sz w:val="21"/>
                      <w:szCs w:val="21"/>
                      <w:lang w:val="en-US" w:eastAsia="zh-CN"/>
                    </w:rPr>
                    <w:t>④</w:t>
                  </w:r>
                  <w:r>
                    <w:rPr>
                      <w:rFonts w:ascii="Times New Roman" w:hAnsi="Times New Roman"/>
                      <w:snapToGrid w:val="0"/>
                      <w:spacing w:val="0"/>
                      <w:kern w:val="21"/>
                      <w:sz w:val="21"/>
                      <w:szCs w:val="21"/>
                      <w:lang w:val="en-US" w:eastAsia="zh-CN"/>
                    </w:rPr>
                    <w:fldChar w:fldCharType="end"/>
                  </w:r>
                </w:p>
              </w:tc>
              <w:tc>
                <w:tcPr>
                  <w:tcW w:w="686" w:type="pct"/>
                  <w:noWrap w:val="0"/>
                  <w:tcMar>
                    <w:left w:w="28" w:type="dxa"/>
                    <w:right w:w="28" w:type="dxa"/>
                  </w:tcMar>
                  <w:vAlign w:val="center"/>
                </w:tcPr>
                <w:p w14:paraId="66D81016">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以新带老削减量（新建项目不填）</w:t>
                  </w:r>
                  <w:r>
                    <w:rPr>
                      <w:rFonts w:ascii="Times New Roman" w:hAnsi="Times New Roman"/>
                      <w:snapToGrid w:val="0"/>
                      <w:spacing w:val="0"/>
                      <w:kern w:val="21"/>
                      <w:sz w:val="21"/>
                      <w:szCs w:val="21"/>
                      <w:lang w:val="en-US" w:eastAsia="zh-CN"/>
                    </w:rPr>
                    <w:fldChar w:fldCharType="begin"/>
                  </w:r>
                  <w:r>
                    <w:rPr>
                      <w:rFonts w:ascii="Times New Roman" w:hAnsi="Times New Roman"/>
                      <w:snapToGrid w:val="0"/>
                      <w:spacing w:val="0"/>
                      <w:kern w:val="21"/>
                      <w:sz w:val="21"/>
                      <w:szCs w:val="21"/>
                      <w:lang w:val="en-US" w:eastAsia="zh-CN"/>
                    </w:rPr>
                    <w:instrText xml:space="preserve"> = 5 \* GB3 \* MERGEFORMAT </w:instrText>
                  </w:r>
                  <w:r>
                    <w:rPr>
                      <w:rFonts w:ascii="Times New Roman" w:hAnsi="Times New Roman"/>
                      <w:snapToGrid w:val="0"/>
                      <w:spacing w:val="0"/>
                      <w:kern w:val="21"/>
                      <w:sz w:val="21"/>
                      <w:szCs w:val="21"/>
                      <w:lang w:val="en-US" w:eastAsia="zh-CN"/>
                    </w:rPr>
                    <w:fldChar w:fldCharType="separate"/>
                  </w:r>
                  <w:r>
                    <w:rPr>
                      <w:rFonts w:ascii="Times New Roman" w:hAnsi="宋体"/>
                      <w:spacing w:val="0"/>
                      <w:kern w:val="2"/>
                      <w:sz w:val="21"/>
                      <w:szCs w:val="21"/>
                      <w:lang w:val="en-US" w:eastAsia="zh-CN"/>
                    </w:rPr>
                    <w:t>⑤</w:t>
                  </w:r>
                  <w:r>
                    <w:rPr>
                      <w:rFonts w:ascii="Times New Roman" w:hAnsi="Times New Roman"/>
                      <w:snapToGrid w:val="0"/>
                      <w:spacing w:val="0"/>
                      <w:kern w:val="21"/>
                      <w:sz w:val="21"/>
                      <w:szCs w:val="21"/>
                      <w:lang w:val="en-US" w:eastAsia="zh-CN"/>
                    </w:rPr>
                    <w:fldChar w:fldCharType="end"/>
                  </w:r>
                </w:p>
              </w:tc>
              <w:tc>
                <w:tcPr>
                  <w:tcW w:w="697" w:type="pct"/>
                  <w:noWrap w:val="0"/>
                  <w:tcMar>
                    <w:left w:w="28" w:type="dxa"/>
                    <w:right w:w="28" w:type="dxa"/>
                  </w:tcMar>
                  <w:vAlign w:val="center"/>
                </w:tcPr>
                <w:p w14:paraId="33A28BB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本项目建成后全厂排放量</w:t>
                  </w:r>
                  <w:r>
                    <w:rPr>
                      <w:rFonts w:ascii="Times New Roman" w:hAnsi="Times New Roman"/>
                      <w:snapToGrid w:val="0"/>
                      <w:spacing w:val="0"/>
                      <w:kern w:val="21"/>
                      <w:sz w:val="21"/>
                      <w:szCs w:val="21"/>
                      <w:lang w:val="en-US" w:eastAsia="zh-CN"/>
                    </w:rPr>
                    <w:fldChar w:fldCharType="begin"/>
                  </w:r>
                  <w:r>
                    <w:rPr>
                      <w:rFonts w:ascii="Times New Roman" w:hAnsi="Times New Roman"/>
                      <w:snapToGrid w:val="0"/>
                      <w:spacing w:val="0"/>
                      <w:kern w:val="21"/>
                      <w:sz w:val="21"/>
                      <w:szCs w:val="21"/>
                      <w:lang w:val="en-US" w:eastAsia="zh-CN"/>
                    </w:rPr>
                    <w:instrText xml:space="preserve"> = 6 \* GB3 \* MERGEFORMAT </w:instrText>
                  </w:r>
                  <w:r>
                    <w:rPr>
                      <w:rFonts w:ascii="Times New Roman" w:hAnsi="Times New Roman"/>
                      <w:snapToGrid w:val="0"/>
                      <w:spacing w:val="0"/>
                      <w:kern w:val="21"/>
                      <w:sz w:val="21"/>
                      <w:szCs w:val="21"/>
                      <w:lang w:val="en-US" w:eastAsia="zh-CN"/>
                    </w:rPr>
                    <w:fldChar w:fldCharType="separate"/>
                  </w:r>
                  <w:r>
                    <w:rPr>
                      <w:rFonts w:ascii="Times New Roman" w:hAnsi="宋体"/>
                      <w:spacing w:val="0"/>
                      <w:kern w:val="2"/>
                      <w:sz w:val="21"/>
                      <w:szCs w:val="21"/>
                      <w:lang w:val="en-US" w:eastAsia="zh-CN"/>
                    </w:rPr>
                    <w:t>⑥</w:t>
                  </w:r>
                  <w:r>
                    <w:rPr>
                      <w:rFonts w:ascii="Times New Roman" w:hAnsi="Times New Roman"/>
                      <w:snapToGrid w:val="0"/>
                      <w:spacing w:val="0"/>
                      <w:kern w:val="21"/>
                      <w:sz w:val="21"/>
                      <w:szCs w:val="21"/>
                      <w:lang w:val="en-US" w:eastAsia="zh-CN"/>
                    </w:rPr>
                    <w:fldChar w:fldCharType="end"/>
                  </w:r>
                </w:p>
              </w:tc>
              <w:tc>
                <w:tcPr>
                  <w:tcW w:w="605" w:type="pct"/>
                  <w:noWrap w:val="0"/>
                  <w:tcMar>
                    <w:left w:w="28" w:type="dxa"/>
                    <w:right w:w="28" w:type="dxa"/>
                  </w:tcMar>
                  <w:vAlign w:val="center"/>
                </w:tcPr>
                <w:p w14:paraId="0C3C8E5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宋体"/>
                      <w:snapToGrid w:val="0"/>
                      <w:spacing w:val="0"/>
                      <w:kern w:val="21"/>
                      <w:sz w:val="21"/>
                      <w:szCs w:val="21"/>
                      <w:lang w:val="en-US" w:eastAsia="zh-CN"/>
                    </w:rPr>
                    <w:t>变化量</w:t>
                  </w:r>
                </w:p>
                <w:p w14:paraId="332532B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r>
                    <w:rPr>
                      <w:rFonts w:ascii="Times New Roman" w:hAnsi="Times New Roman"/>
                      <w:snapToGrid w:val="0"/>
                      <w:spacing w:val="0"/>
                      <w:kern w:val="21"/>
                      <w:sz w:val="21"/>
                      <w:szCs w:val="21"/>
                      <w:lang w:val="en-US" w:eastAsia="zh-CN"/>
                    </w:rPr>
                    <w:fldChar w:fldCharType="begin"/>
                  </w:r>
                  <w:r>
                    <w:rPr>
                      <w:rFonts w:ascii="Times New Roman" w:hAnsi="Times New Roman"/>
                      <w:snapToGrid w:val="0"/>
                      <w:spacing w:val="0"/>
                      <w:kern w:val="21"/>
                      <w:sz w:val="21"/>
                      <w:szCs w:val="21"/>
                      <w:lang w:val="en-US" w:eastAsia="zh-CN"/>
                    </w:rPr>
                    <w:instrText xml:space="preserve"> = 7 \* GB3 \* MERGEFORMAT </w:instrText>
                  </w:r>
                  <w:r>
                    <w:rPr>
                      <w:rFonts w:ascii="Times New Roman" w:hAnsi="Times New Roman"/>
                      <w:snapToGrid w:val="0"/>
                      <w:spacing w:val="0"/>
                      <w:kern w:val="21"/>
                      <w:sz w:val="21"/>
                      <w:szCs w:val="21"/>
                      <w:lang w:val="en-US" w:eastAsia="zh-CN"/>
                    </w:rPr>
                    <w:fldChar w:fldCharType="separate"/>
                  </w:r>
                  <w:r>
                    <w:rPr>
                      <w:rFonts w:ascii="Times New Roman" w:hAnsi="宋体"/>
                      <w:spacing w:val="0"/>
                      <w:kern w:val="2"/>
                      <w:sz w:val="21"/>
                      <w:szCs w:val="21"/>
                      <w:lang w:val="en-US" w:eastAsia="zh-CN"/>
                    </w:rPr>
                    <w:t>⑦</w:t>
                  </w:r>
                  <w:r>
                    <w:rPr>
                      <w:rFonts w:ascii="Times New Roman" w:hAnsi="Times New Roman"/>
                      <w:snapToGrid w:val="0"/>
                      <w:spacing w:val="0"/>
                      <w:kern w:val="21"/>
                      <w:sz w:val="21"/>
                      <w:szCs w:val="21"/>
                      <w:lang w:val="en-US" w:eastAsia="zh-CN"/>
                    </w:rPr>
                    <w:fldChar w:fldCharType="end"/>
                  </w:r>
                </w:p>
              </w:tc>
            </w:tr>
            <w:tr w14:paraId="33597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restart"/>
                  <w:noWrap w:val="0"/>
                  <w:vAlign w:val="center"/>
                </w:tcPr>
                <w:p w14:paraId="3F5463D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highlight w:val="none"/>
                      <w:lang w:val="en-US" w:eastAsia="zh-CN"/>
                    </w:rPr>
                  </w:pPr>
                  <w:r>
                    <w:rPr>
                      <w:rFonts w:ascii="Times New Roman" w:hAnsi="宋体"/>
                      <w:snapToGrid w:val="0"/>
                      <w:spacing w:val="0"/>
                      <w:kern w:val="21"/>
                      <w:sz w:val="21"/>
                      <w:szCs w:val="21"/>
                      <w:highlight w:val="none"/>
                      <w:lang w:val="en-US" w:eastAsia="zh-CN"/>
                    </w:rPr>
                    <w:t>废气</w:t>
                  </w:r>
                </w:p>
              </w:tc>
              <w:tc>
                <w:tcPr>
                  <w:tcW w:w="662" w:type="pct"/>
                  <w:noWrap w:val="0"/>
                  <w:vAlign w:val="center"/>
                </w:tcPr>
                <w:p w14:paraId="21CBE26B">
                  <w:pPr>
                    <w:jc w:val="center"/>
                    <w:rPr>
                      <w:spacing w:val="0"/>
                      <w:sz w:val="21"/>
                      <w:szCs w:val="21"/>
                      <w:highlight w:val="none"/>
                    </w:rPr>
                  </w:pPr>
                  <w:r>
                    <w:rPr>
                      <w:rFonts w:hint="eastAsia" w:ascii="Times New Roman" w:hAnsi="Times New Roman"/>
                      <w:color w:val="000000"/>
                      <w:spacing w:val="0"/>
                      <w:sz w:val="21"/>
                      <w:szCs w:val="21"/>
                      <w:highlight w:val="none"/>
                      <w:lang w:val="en-US" w:eastAsia="zh-CN"/>
                    </w:rPr>
                    <w:t>甲醇</w:t>
                  </w:r>
                </w:p>
              </w:tc>
              <w:tc>
                <w:tcPr>
                  <w:tcW w:w="546" w:type="pct"/>
                  <w:noWrap w:val="0"/>
                  <w:vAlign w:val="center"/>
                </w:tcPr>
                <w:p w14:paraId="229335E6">
                  <w:pPr>
                    <w:jc w:val="center"/>
                    <w:rPr>
                      <w:rFonts w:hint="default" w:eastAsia="宋体"/>
                      <w:spacing w:val="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0.8234</w:t>
                  </w:r>
                </w:p>
              </w:tc>
              <w:tc>
                <w:tcPr>
                  <w:tcW w:w="581" w:type="pct"/>
                  <w:noWrap w:val="0"/>
                  <w:vAlign w:val="center"/>
                </w:tcPr>
                <w:p w14:paraId="0C0C47C2">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highlight w:val="none"/>
                      <w:lang w:val="en-US" w:eastAsia="zh-CN"/>
                    </w:rPr>
                  </w:pPr>
                  <w:r>
                    <w:rPr>
                      <w:rFonts w:ascii="Times New Roman" w:hAnsi="Times New Roman"/>
                      <w:snapToGrid w:val="0"/>
                      <w:spacing w:val="0"/>
                      <w:kern w:val="21"/>
                      <w:sz w:val="21"/>
                      <w:szCs w:val="21"/>
                      <w:highlight w:val="none"/>
                      <w:lang w:val="en-US" w:eastAsia="zh-CN"/>
                    </w:rPr>
                    <w:t>/</w:t>
                  </w:r>
                </w:p>
              </w:tc>
              <w:tc>
                <w:tcPr>
                  <w:tcW w:w="604" w:type="pct"/>
                  <w:noWrap w:val="0"/>
                  <w:vAlign w:val="center"/>
                </w:tcPr>
                <w:p w14:paraId="6BB16661">
                  <w:pPr>
                    <w:jc w:val="center"/>
                    <w:rPr>
                      <w:rFonts w:hint="default" w:ascii="Times New Roman" w:hAnsi="Times New Roman"/>
                      <w:snapToGrid w:val="0"/>
                      <w:spacing w:val="0"/>
                      <w:kern w:val="21"/>
                      <w:sz w:val="21"/>
                      <w:szCs w:val="21"/>
                      <w:highlight w:val="none"/>
                      <w:lang w:val="en-US" w:eastAsia="zh-CN"/>
                    </w:rPr>
                  </w:pPr>
                  <w:r>
                    <w:rPr>
                      <w:rFonts w:hint="eastAsia" w:ascii="Times New Roman" w:hAnsi="Times New Roman" w:eastAsia="宋体" w:cs="Times New Roman"/>
                      <w:i w:val="0"/>
                      <w:iCs w:val="0"/>
                      <w:color w:val="000000"/>
                      <w:spacing w:val="0"/>
                      <w:kern w:val="0"/>
                      <w:sz w:val="21"/>
                      <w:szCs w:val="21"/>
                      <w:highlight w:val="none"/>
                      <w:u w:val="none"/>
                      <w:lang w:val="en-US" w:eastAsia="zh-CN" w:bidi="ar"/>
                    </w:rPr>
                    <w:t>0.0</w:t>
                  </w:r>
                </w:p>
              </w:tc>
              <w:tc>
                <w:tcPr>
                  <w:tcW w:w="686" w:type="pct"/>
                  <w:noWrap w:val="0"/>
                  <w:vAlign w:val="center"/>
                </w:tcPr>
                <w:p w14:paraId="29F8643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highlight w:val="none"/>
                      <w:lang w:val="en-US" w:eastAsia="zh-CN"/>
                    </w:rPr>
                  </w:pPr>
                  <w:r>
                    <w:rPr>
                      <w:rFonts w:hint="eastAsia" w:ascii="Times New Roman" w:hAnsi="Times New Roman"/>
                      <w:snapToGrid w:val="0"/>
                      <w:spacing w:val="0"/>
                      <w:kern w:val="21"/>
                      <w:sz w:val="21"/>
                      <w:szCs w:val="21"/>
                      <w:highlight w:val="none"/>
                      <w:lang w:val="en-US" w:eastAsia="zh-CN"/>
                    </w:rPr>
                    <w:t>0.0</w:t>
                  </w:r>
                </w:p>
              </w:tc>
              <w:tc>
                <w:tcPr>
                  <w:tcW w:w="697" w:type="pct"/>
                  <w:noWrap w:val="0"/>
                  <w:vAlign w:val="center"/>
                </w:tcPr>
                <w:p w14:paraId="69357FCB">
                  <w:pPr>
                    <w:jc w:val="center"/>
                    <w:rPr>
                      <w:rFonts w:hint="default" w:eastAsia="宋体"/>
                      <w:spacing w:val="0"/>
                      <w:sz w:val="21"/>
                      <w:szCs w:val="21"/>
                      <w:highlight w:val="none"/>
                      <w:lang w:val="en-US" w:eastAsia="zh-CN"/>
                    </w:rPr>
                  </w:pPr>
                  <w:r>
                    <w:rPr>
                      <w:rFonts w:hint="eastAsia" w:ascii="Times New Roman" w:hAnsi="Times New Roman" w:eastAsia="宋体" w:cs="Times New Roman"/>
                      <w:i w:val="0"/>
                      <w:iCs w:val="0"/>
                      <w:color w:val="000000"/>
                      <w:spacing w:val="0"/>
                      <w:kern w:val="0"/>
                      <w:sz w:val="21"/>
                      <w:szCs w:val="21"/>
                      <w:highlight w:val="none"/>
                      <w:u w:val="none"/>
                      <w:lang w:val="en-US" w:eastAsia="zh-CN" w:bidi="ar"/>
                    </w:rPr>
                    <w:t>0.8234</w:t>
                  </w:r>
                </w:p>
              </w:tc>
              <w:tc>
                <w:tcPr>
                  <w:tcW w:w="605" w:type="pct"/>
                  <w:noWrap w:val="0"/>
                  <w:vAlign w:val="center"/>
                </w:tcPr>
                <w:p w14:paraId="57DA60E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highlight w:val="none"/>
                      <w:lang w:val="en-US" w:eastAsia="zh-CN"/>
                    </w:rPr>
                  </w:pPr>
                  <w:r>
                    <w:rPr>
                      <w:rFonts w:hint="eastAsia" w:ascii="Times New Roman" w:hAnsi="Times New Roman"/>
                      <w:snapToGrid w:val="0"/>
                      <w:spacing w:val="0"/>
                      <w:kern w:val="21"/>
                      <w:sz w:val="21"/>
                      <w:szCs w:val="21"/>
                      <w:highlight w:val="none"/>
                      <w:lang w:val="en-US" w:eastAsia="zh-CN"/>
                    </w:rPr>
                    <w:t>+0.0</w:t>
                  </w:r>
                </w:p>
              </w:tc>
            </w:tr>
            <w:tr w14:paraId="61429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36E72566">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highlight w:val="none"/>
                      <w:lang w:val="en-US" w:eastAsia="zh-CN"/>
                    </w:rPr>
                  </w:pPr>
                </w:p>
              </w:tc>
              <w:tc>
                <w:tcPr>
                  <w:tcW w:w="662" w:type="pct"/>
                  <w:noWrap w:val="0"/>
                  <w:vAlign w:val="center"/>
                </w:tcPr>
                <w:p w14:paraId="60521932">
                  <w:pPr>
                    <w:jc w:val="center"/>
                    <w:rPr>
                      <w:rFonts w:ascii="Times New Roman" w:hAnsi="Times New Roman"/>
                      <w:spacing w:val="0"/>
                      <w:kern w:val="2"/>
                      <w:sz w:val="21"/>
                      <w:szCs w:val="21"/>
                      <w:highlight w:val="none"/>
                      <w:lang w:val="en-US" w:eastAsia="zh-CN" w:bidi="ar-SA"/>
                    </w:rPr>
                  </w:pPr>
                  <w:r>
                    <w:rPr>
                      <w:rFonts w:hint="eastAsia" w:ascii="Times New Roman" w:hAnsi="Times New Roman"/>
                      <w:color w:val="000000"/>
                      <w:spacing w:val="0"/>
                      <w:sz w:val="21"/>
                      <w:szCs w:val="21"/>
                      <w:highlight w:val="none"/>
                      <w:lang w:val="en-US" w:eastAsia="zh-CN"/>
                    </w:rPr>
                    <w:t>甲醛</w:t>
                  </w:r>
                </w:p>
              </w:tc>
              <w:tc>
                <w:tcPr>
                  <w:tcW w:w="546" w:type="pct"/>
                  <w:noWrap w:val="0"/>
                  <w:vAlign w:val="center"/>
                </w:tcPr>
                <w:p w14:paraId="0337A6DE">
                  <w:pPr>
                    <w:jc w:val="center"/>
                    <w:rPr>
                      <w:rFonts w:ascii="Times New Roman" w:hAnsi="Times New Roman"/>
                      <w:spacing w:val="0"/>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0.8554</w:t>
                  </w:r>
                </w:p>
              </w:tc>
              <w:tc>
                <w:tcPr>
                  <w:tcW w:w="581" w:type="pct"/>
                  <w:noWrap w:val="0"/>
                  <w:vAlign w:val="center"/>
                </w:tcPr>
                <w:p w14:paraId="3569D626">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highlight w:val="none"/>
                      <w:lang w:val="en-US" w:eastAsia="zh-CN" w:bidi="ar-SA"/>
                    </w:rPr>
                  </w:pPr>
                  <w:r>
                    <w:rPr>
                      <w:rFonts w:ascii="Times New Roman" w:hAnsi="Times New Roman"/>
                      <w:snapToGrid w:val="0"/>
                      <w:spacing w:val="0"/>
                      <w:kern w:val="21"/>
                      <w:sz w:val="21"/>
                      <w:szCs w:val="21"/>
                      <w:highlight w:val="none"/>
                      <w:lang w:val="en-US" w:eastAsia="zh-CN"/>
                    </w:rPr>
                    <w:t>/</w:t>
                  </w:r>
                </w:p>
              </w:tc>
              <w:tc>
                <w:tcPr>
                  <w:tcW w:w="604" w:type="pct"/>
                  <w:noWrap w:val="0"/>
                  <w:vAlign w:val="center"/>
                </w:tcPr>
                <w:p w14:paraId="32A57015">
                  <w:pPr>
                    <w:jc w:val="center"/>
                    <w:rPr>
                      <w:rFonts w:hint="default" w:ascii="Times New Roman" w:hAnsi="Times New Roman"/>
                      <w:snapToGrid w:val="0"/>
                      <w:spacing w:val="0"/>
                      <w:kern w:val="21"/>
                      <w:sz w:val="21"/>
                      <w:szCs w:val="21"/>
                      <w:highlight w:val="none"/>
                      <w:lang w:val="en-US" w:eastAsia="zh-CN" w:bidi="ar-SA"/>
                    </w:rPr>
                  </w:pPr>
                  <w:r>
                    <w:rPr>
                      <w:rFonts w:hint="eastAsia"/>
                      <w:spacing w:val="0"/>
                      <w:kern w:val="2"/>
                      <w:sz w:val="21"/>
                      <w:szCs w:val="21"/>
                      <w:highlight w:val="none"/>
                      <w:lang w:val="en-US" w:eastAsia="zh-CN" w:bidi="ar-SA"/>
                    </w:rPr>
                    <w:t>0.363</w:t>
                  </w:r>
                </w:p>
              </w:tc>
              <w:tc>
                <w:tcPr>
                  <w:tcW w:w="686" w:type="pct"/>
                  <w:noWrap w:val="0"/>
                  <w:vAlign w:val="center"/>
                </w:tcPr>
                <w:p w14:paraId="6544CFE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highlight w:val="none"/>
                      <w:lang w:val="en-US" w:eastAsia="zh-CN" w:bidi="ar-SA"/>
                    </w:rPr>
                  </w:pPr>
                  <w:r>
                    <w:rPr>
                      <w:rFonts w:hint="eastAsia" w:ascii="Times New Roman" w:hAnsi="Times New Roman"/>
                      <w:snapToGrid w:val="0"/>
                      <w:spacing w:val="0"/>
                      <w:kern w:val="21"/>
                      <w:sz w:val="21"/>
                      <w:szCs w:val="21"/>
                      <w:highlight w:val="none"/>
                      <w:lang w:val="en-US" w:eastAsia="zh-CN"/>
                    </w:rPr>
                    <w:t>0.0</w:t>
                  </w:r>
                </w:p>
              </w:tc>
              <w:tc>
                <w:tcPr>
                  <w:tcW w:w="697" w:type="pct"/>
                  <w:noWrap w:val="0"/>
                  <w:vAlign w:val="center"/>
                </w:tcPr>
                <w:p w14:paraId="53866811">
                  <w:pPr>
                    <w:jc w:val="center"/>
                    <w:rPr>
                      <w:rFonts w:hint="default" w:ascii="Times New Roman" w:hAnsi="Times New Roman"/>
                      <w:spacing w:val="0"/>
                      <w:kern w:val="2"/>
                      <w:sz w:val="21"/>
                      <w:szCs w:val="21"/>
                      <w:highlight w:val="none"/>
                      <w:lang w:val="en-US" w:eastAsia="zh-CN" w:bidi="ar-SA"/>
                    </w:rPr>
                  </w:pPr>
                  <w:r>
                    <w:rPr>
                      <w:rFonts w:hint="eastAsia"/>
                      <w:spacing w:val="0"/>
                      <w:kern w:val="2"/>
                      <w:sz w:val="21"/>
                      <w:szCs w:val="21"/>
                      <w:highlight w:val="none"/>
                      <w:lang w:val="en-US" w:eastAsia="zh-CN" w:bidi="ar-SA"/>
                    </w:rPr>
                    <w:t>1.218</w:t>
                  </w:r>
                </w:p>
              </w:tc>
              <w:tc>
                <w:tcPr>
                  <w:tcW w:w="605" w:type="pct"/>
                  <w:noWrap w:val="0"/>
                  <w:vAlign w:val="center"/>
                </w:tcPr>
                <w:p w14:paraId="2F240B1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highlight w:val="none"/>
                      <w:lang w:val="en-US" w:eastAsia="zh-CN" w:bidi="ar-SA"/>
                    </w:rPr>
                  </w:pPr>
                  <w:r>
                    <w:rPr>
                      <w:rFonts w:hint="eastAsia" w:ascii="Times New Roman" w:hAnsi="Times New Roman"/>
                      <w:snapToGrid w:val="0"/>
                      <w:spacing w:val="0"/>
                      <w:kern w:val="21"/>
                      <w:sz w:val="21"/>
                      <w:szCs w:val="21"/>
                      <w:highlight w:val="none"/>
                      <w:lang w:val="en-US" w:eastAsia="zh-CN"/>
                    </w:rPr>
                    <w:t>+0.363</w:t>
                  </w:r>
                </w:p>
              </w:tc>
            </w:tr>
            <w:tr w14:paraId="65BFC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384A27C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p>
              </w:tc>
              <w:tc>
                <w:tcPr>
                  <w:tcW w:w="662" w:type="pct"/>
                  <w:noWrap w:val="0"/>
                  <w:vAlign w:val="center"/>
                </w:tcPr>
                <w:p w14:paraId="7507037F">
                  <w:pPr>
                    <w:jc w:val="center"/>
                    <w:rPr>
                      <w:rFonts w:ascii="Times New Roman" w:hAnsi="Times New Roman"/>
                      <w:spacing w:val="0"/>
                      <w:kern w:val="2"/>
                      <w:sz w:val="21"/>
                      <w:szCs w:val="21"/>
                      <w:lang w:val="en-US" w:eastAsia="zh-CN" w:bidi="ar-SA"/>
                    </w:rPr>
                  </w:pPr>
                  <w:r>
                    <w:rPr>
                      <w:rFonts w:hint="eastAsia" w:ascii="Times New Roman" w:hAnsi="Times New Roman"/>
                      <w:color w:val="000000"/>
                      <w:spacing w:val="0"/>
                      <w:sz w:val="21"/>
                      <w:szCs w:val="21"/>
                      <w:lang w:val="en-US" w:eastAsia="zh-CN"/>
                    </w:rPr>
                    <w:t>氮氧化物</w:t>
                  </w:r>
                </w:p>
              </w:tc>
              <w:tc>
                <w:tcPr>
                  <w:tcW w:w="546" w:type="pct"/>
                  <w:noWrap w:val="0"/>
                  <w:vAlign w:val="center"/>
                </w:tcPr>
                <w:p w14:paraId="75841893">
                  <w:pPr>
                    <w:jc w:val="center"/>
                    <w:rPr>
                      <w:rFonts w:ascii="Times New Roman" w:hAnsi="Times New Roman"/>
                      <w:spacing w:val="0"/>
                      <w:kern w:val="2"/>
                      <w:sz w:val="21"/>
                      <w:szCs w:val="21"/>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16.09</w:t>
                  </w:r>
                </w:p>
              </w:tc>
              <w:tc>
                <w:tcPr>
                  <w:tcW w:w="581" w:type="pct"/>
                  <w:noWrap w:val="0"/>
                  <w:vAlign w:val="center"/>
                </w:tcPr>
                <w:p w14:paraId="0A81F3B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bidi="ar-SA"/>
                    </w:rPr>
                  </w:pPr>
                  <w:r>
                    <w:rPr>
                      <w:rFonts w:ascii="Times New Roman" w:hAnsi="Times New Roman"/>
                      <w:snapToGrid w:val="0"/>
                      <w:spacing w:val="0"/>
                      <w:kern w:val="21"/>
                      <w:sz w:val="21"/>
                      <w:szCs w:val="21"/>
                      <w:lang w:val="en-US" w:eastAsia="zh-CN"/>
                    </w:rPr>
                    <w:t>/</w:t>
                  </w:r>
                </w:p>
              </w:tc>
              <w:tc>
                <w:tcPr>
                  <w:tcW w:w="604" w:type="pct"/>
                  <w:noWrap w:val="0"/>
                  <w:vAlign w:val="center"/>
                </w:tcPr>
                <w:p w14:paraId="5F547A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snapToGrid w:val="0"/>
                      <w:spacing w:val="0"/>
                      <w:kern w:val="21"/>
                      <w:sz w:val="21"/>
                      <w:szCs w:val="21"/>
                      <w:lang w:val="en-US" w:eastAsia="zh-CN" w:bidi="ar-SA"/>
                    </w:rPr>
                  </w:pPr>
                  <w:r>
                    <w:rPr>
                      <w:rFonts w:hint="eastAsia"/>
                      <w:spacing w:val="0"/>
                      <w:kern w:val="2"/>
                      <w:sz w:val="21"/>
                      <w:szCs w:val="21"/>
                      <w:lang w:val="en-US" w:eastAsia="zh-CN" w:bidi="ar-SA"/>
                    </w:rPr>
                    <w:t>0.0</w:t>
                  </w:r>
                </w:p>
              </w:tc>
              <w:tc>
                <w:tcPr>
                  <w:tcW w:w="686" w:type="pct"/>
                  <w:noWrap w:val="0"/>
                  <w:vAlign w:val="center"/>
                </w:tcPr>
                <w:p w14:paraId="07515870">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15.88</w:t>
                  </w:r>
                </w:p>
              </w:tc>
              <w:tc>
                <w:tcPr>
                  <w:tcW w:w="697" w:type="pct"/>
                  <w:noWrap w:val="0"/>
                  <w:vAlign w:val="center"/>
                </w:tcPr>
                <w:p w14:paraId="408A3B2E">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spacing w:val="0"/>
                      <w:kern w:val="2"/>
                      <w:sz w:val="21"/>
                      <w:szCs w:val="21"/>
                      <w:lang w:val="en-US" w:eastAsia="zh-CN" w:bidi="ar-SA"/>
                    </w:rPr>
                  </w:pPr>
                  <w:r>
                    <w:rPr>
                      <w:rFonts w:hint="eastAsia"/>
                      <w:spacing w:val="0"/>
                      <w:kern w:val="2"/>
                      <w:sz w:val="21"/>
                      <w:szCs w:val="21"/>
                      <w:lang w:val="en-US" w:eastAsia="zh-CN" w:bidi="ar-SA"/>
                    </w:rPr>
                    <w:t>0.21</w:t>
                  </w:r>
                </w:p>
              </w:tc>
              <w:tc>
                <w:tcPr>
                  <w:tcW w:w="605" w:type="pct"/>
                  <w:noWrap w:val="0"/>
                  <w:vAlign w:val="center"/>
                </w:tcPr>
                <w:p w14:paraId="4AD3E9C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-15.88</w:t>
                  </w:r>
                </w:p>
              </w:tc>
            </w:tr>
            <w:tr w14:paraId="19A4F4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091D720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p>
              </w:tc>
              <w:tc>
                <w:tcPr>
                  <w:tcW w:w="662" w:type="pct"/>
                  <w:noWrap w:val="0"/>
                  <w:vAlign w:val="center"/>
                </w:tcPr>
                <w:p w14:paraId="69FAF899">
                  <w:pPr>
                    <w:jc w:val="center"/>
                    <w:rPr>
                      <w:spacing w:val="0"/>
                      <w:sz w:val="21"/>
                      <w:szCs w:val="21"/>
                    </w:rPr>
                  </w:pPr>
                  <w:r>
                    <w:rPr>
                      <w:rFonts w:hint="eastAsia" w:ascii="Times New Roman" w:hAnsi="Times New Roman"/>
                      <w:color w:val="000000"/>
                      <w:spacing w:val="0"/>
                      <w:sz w:val="21"/>
                      <w:szCs w:val="21"/>
                      <w:lang w:val="en-US" w:eastAsia="zh-CN"/>
                    </w:rPr>
                    <w:t>非甲烷总烃（萘）</w:t>
                  </w:r>
                </w:p>
              </w:tc>
              <w:tc>
                <w:tcPr>
                  <w:tcW w:w="546" w:type="pct"/>
                  <w:noWrap w:val="0"/>
                  <w:vAlign w:val="center"/>
                </w:tcPr>
                <w:p w14:paraId="01BA4087">
                  <w:pPr>
                    <w:jc w:val="center"/>
                    <w:rPr>
                      <w:rFonts w:hint="default" w:eastAsia="宋体"/>
                      <w:spacing w:val="0"/>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7.18</w:t>
                  </w:r>
                </w:p>
              </w:tc>
              <w:tc>
                <w:tcPr>
                  <w:tcW w:w="581" w:type="pct"/>
                  <w:noWrap w:val="0"/>
                  <w:vAlign w:val="center"/>
                </w:tcPr>
                <w:p w14:paraId="74E17D7A">
                  <w:pPr>
                    <w:keepNext w:val="0"/>
                    <w:keepLines w:val="0"/>
                    <w:pageBreakBefore w:val="0"/>
                    <w:kinsoku/>
                    <w:wordWrap/>
                    <w:overflowPunct/>
                    <w:topLinePunct w:val="0"/>
                    <w:autoSpaceDE/>
                    <w:autoSpaceDN/>
                    <w:bidi w:val="0"/>
                    <w:adjustRightInd w:val="0"/>
                    <w:snapToGrid w:val="0"/>
                    <w:spacing w:line="240" w:lineRule="auto"/>
                    <w:ind w:firstLine="0"/>
                    <w:jc w:val="center"/>
                    <w:rPr>
                      <w:rFonts w:ascii="Times New Roman" w:hAnsi="Times New Roman"/>
                      <w:snapToGrid w:val="0"/>
                      <w:spacing w:val="0"/>
                      <w:kern w:val="21"/>
                      <w:sz w:val="21"/>
                      <w:szCs w:val="21"/>
                      <w:lang w:val="en-US" w:eastAsia="zh-CN"/>
                    </w:rPr>
                  </w:pPr>
                  <w:r>
                    <w:rPr>
                      <w:rFonts w:ascii="Times New Roman" w:hAnsi="Times New Roman"/>
                      <w:snapToGrid w:val="0"/>
                      <w:spacing w:val="0"/>
                      <w:kern w:val="21"/>
                      <w:sz w:val="21"/>
                      <w:szCs w:val="21"/>
                      <w:lang w:val="en-US" w:eastAsia="zh-CN"/>
                    </w:rPr>
                    <w:t>/</w:t>
                  </w:r>
                </w:p>
              </w:tc>
              <w:tc>
                <w:tcPr>
                  <w:tcW w:w="604" w:type="pct"/>
                  <w:noWrap w:val="0"/>
                  <w:vAlign w:val="center"/>
                </w:tcPr>
                <w:p w14:paraId="64D552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snapToGrid w:val="0"/>
                      <w:spacing w:val="0"/>
                      <w:kern w:val="21"/>
                      <w:sz w:val="21"/>
                      <w:szCs w:val="21"/>
                      <w:lang w:val="en-US" w:eastAsia="zh-CN"/>
                    </w:rPr>
                  </w:pPr>
                  <w:r>
                    <w:rPr>
                      <w:rFonts w:hint="eastAsia"/>
                      <w:spacing w:val="0"/>
                      <w:sz w:val="21"/>
                      <w:szCs w:val="21"/>
                      <w:lang w:val="en-US" w:eastAsia="zh-CN"/>
                    </w:rPr>
                    <w:t>1.94</w:t>
                  </w:r>
                </w:p>
              </w:tc>
              <w:tc>
                <w:tcPr>
                  <w:tcW w:w="686" w:type="pct"/>
                  <w:noWrap w:val="0"/>
                  <w:vAlign w:val="center"/>
                </w:tcPr>
                <w:p w14:paraId="5E28BE9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1.84</w:t>
                  </w:r>
                </w:p>
              </w:tc>
              <w:tc>
                <w:tcPr>
                  <w:tcW w:w="697" w:type="pct"/>
                  <w:noWrap w:val="0"/>
                  <w:vAlign w:val="center"/>
                </w:tcPr>
                <w:p w14:paraId="48B6C74E">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eastAsia="宋体"/>
                      <w:spacing w:val="0"/>
                      <w:sz w:val="21"/>
                      <w:szCs w:val="21"/>
                      <w:lang w:val="en-US" w:eastAsia="zh-CN"/>
                    </w:rPr>
                  </w:pPr>
                  <w:r>
                    <w:rPr>
                      <w:rFonts w:hint="eastAsia"/>
                      <w:spacing w:val="0"/>
                      <w:sz w:val="21"/>
                      <w:szCs w:val="21"/>
                      <w:lang w:val="en-US" w:eastAsia="zh-CN"/>
                    </w:rPr>
                    <w:t>7.28</w:t>
                  </w:r>
                </w:p>
              </w:tc>
              <w:tc>
                <w:tcPr>
                  <w:tcW w:w="605" w:type="pct"/>
                  <w:noWrap w:val="0"/>
                  <w:vAlign w:val="center"/>
                </w:tcPr>
                <w:p w14:paraId="5588359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+0.1</w:t>
                  </w:r>
                </w:p>
              </w:tc>
            </w:tr>
            <w:tr w14:paraId="1F1B5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0612619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p>
              </w:tc>
              <w:tc>
                <w:tcPr>
                  <w:tcW w:w="662" w:type="pct"/>
                  <w:noWrap w:val="0"/>
                  <w:vAlign w:val="center"/>
                </w:tcPr>
                <w:p w14:paraId="103D24D1">
                  <w:pPr>
                    <w:jc w:val="center"/>
                    <w:rPr>
                      <w:spacing w:val="0"/>
                      <w:sz w:val="21"/>
                      <w:szCs w:val="21"/>
                    </w:rPr>
                  </w:pPr>
                  <w:r>
                    <w:rPr>
                      <w:rFonts w:hint="eastAsia" w:ascii="Times New Roman" w:hAnsi="Times New Roman"/>
                      <w:color w:val="000000"/>
                      <w:spacing w:val="0"/>
                      <w:sz w:val="21"/>
                      <w:szCs w:val="21"/>
                      <w:lang w:val="en-US" w:eastAsia="zh-CN"/>
                    </w:rPr>
                    <w:t>颗粒物</w:t>
                  </w:r>
                </w:p>
              </w:tc>
              <w:tc>
                <w:tcPr>
                  <w:tcW w:w="546" w:type="pct"/>
                  <w:noWrap w:val="0"/>
                  <w:vAlign w:val="center"/>
                </w:tcPr>
                <w:p w14:paraId="4E9499EC">
                  <w:pPr>
                    <w:jc w:val="center"/>
                    <w:rPr>
                      <w:rFonts w:hint="default" w:eastAsia="宋体"/>
                      <w:spacing w:val="0"/>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27.27</w:t>
                  </w:r>
                </w:p>
              </w:tc>
              <w:tc>
                <w:tcPr>
                  <w:tcW w:w="581" w:type="pct"/>
                  <w:noWrap w:val="0"/>
                  <w:vAlign w:val="center"/>
                </w:tcPr>
                <w:p w14:paraId="7CEF505E">
                  <w:pPr>
                    <w:keepNext w:val="0"/>
                    <w:keepLines w:val="0"/>
                    <w:pageBreakBefore w:val="0"/>
                    <w:kinsoku/>
                    <w:wordWrap/>
                    <w:overflowPunct/>
                    <w:topLinePunct w:val="0"/>
                    <w:autoSpaceDE/>
                    <w:autoSpaceDN/>
                    <w:bidi w:val="0"/>
                    <w:adjustRightInd w:val="0"/>
                    <w:snapToGrid w:val="0"/>
                    <w:spacing w:line="240" w:lineRule="auto"/>
                    <w:ind w:firstLine="0"/>
                    <w:jc w:val="center"/>
                    <w:rPr>
                      <w:rFonts w:ascii="Times New Roman" w:hAnsi="Times New Roman"/>
                      <w:snapToGrid w:val="0"/>
                      <w:spacing w:val="0"/>
                      <w:kern w:val="21"/>
                      <w:sz w:val="21"/>
                      <w:szCs w:val="21"/>
                      <w:lang w:val="en-US" w:eastAsia="zh-CN"/>
                    </w:rPr>
                  </w:pPr>
                  <w:r>
                    <w:rPr>
                      <w:rFonts w:ascii="Times New Roman" w:hAnsi="Times New Roman"/>
                      <w:snapToGrid w:val="0"/>
                      <w:spacing w:val="0"/>
                      <w:kern w:val="21"/>
                      <w:sz w:val="21"/>
                      <w:szCs w:val="21"/>
                      <w:lang w:val="en-US" w:eastAsia="zh-CN"/>
                    </w:rPr>
                    <w:t>/</w:t>
                  </w:r>
                </w:p>
              </w:tc>
              <w:tc>
                <w:tcPr>
                  <w:tcW w:w="604" w:type="pct"/>
                  <w:noWrap w:val="0"/>
                  <w:vAlign w:val="center"/>
                </w:tcPr>
                <w:p w14:paraId="16188F7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snapToGrid w:val="0"/>
                      <w:spacing w:val="0"/>
                      <w:kern w:val="21"/>
                      <w:sz w:val="21"/>
                      <w:szCs w:val="21"/>
                      <w:lang w:val="en-US" w:eastAsia="zh-CN"/>
                    </w:rPr>
                  </w:pPr>
                  <w:r>
                    <w:rPr>
                      <w:rFonts w:hint="eastAsia"/>
                      <w:spacing w:val="0"/>
                      <w:sz w:val="21"/>
                      <w:szCs w:val="21"/>
                      <w:lang w:val="en-US" w:eastAsia="zh-CN"/>
                    </w:rPr>
                    <w:t>1.35</w:t>
                  </w:r>
                </w:p>
              </w:tc>
              <w:tc>
                <w:tcPr>
                  <w:tcW w:w="686" w:type="pct"/>
                  <w:noWrap w:val="0"/>
                  <w:vAlign w:val="center"/>
                </w:tcPr>
                <w:p w14:paraId="1164D8F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27.17</w:t>
                  </w:r>
                </w:p>
              </w:tc>
              <w:tc>
                <w:tcPr>
                  <w:tcW w:w="697" w:type="pct"/>
                  <w:noWrap w:val="0"/>
                  <w:vAlign w:val="center"/>
                </w:tcPr>
                <w:p w14:paraId="77066277">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eastAsia="宋体"/>
                      <w:spacing w:val="0"/>
                      <w:sz w:val="21"/>
                      <w:szCs w:val="21"/>
                      <w:lang w:val="en-US" w:eastAsia="zh-CN"/>
                    </w:rPr>
                  </w:pPr>
                  <w:r>
                    <w:rPr>
                      <w:rFonts w:hint="eastAsia"/>
                      <w:spacing w:val="0"/>
                      <w:sz w:val="21"/>
                      <w:szCs w:val="21"/>
                      <w:lang w:val="en-US" w:eastAsia="zh-CN"/>
                    </w:rPr>
                    <w:t>1.45</w:t>
                  </w:r>
                </w:p>
              </w:tc>
              <w:tc>
                <w:tcPr>
                  <w:tcW w:w="605" w:type="pct"/>
                  <w:noWrap w:val="0"/>
                  <w:vAlign w:val="center"/>
                </w:tcPr>
                <w:p w14:paraId="7491816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-25.82</w:t>
                  </w:r>
                </w:p>
              </w:tc>
            </w:tr>
            <w:tr w14:paraId="307F6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70C6FA5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p>
              </w:tc>
              <w:tc>
                <w:tcPr>
                  <w:tcW w:w="662" w:type="pct"/>
                  <w:noWrap w:val="0"/>
                  <w:vAlign w:val="center"/>
                </w:tcPr>
                <w:p w14:paraId="7EBCBA75">
                  <w:pPr>
                    <w:spacing w:line="0" w:lineRule="atLeast"/>
                    <w:jc w:val="center"/>
                    <w:rPr>
                      <w:rFonts w:hint="eastAsia" w:ascii="Times New Roman" w:hAnsi="Times New Roman" w:eastAsia="宋体"/>
                      <w:spacing w:val="0"/>
                      <w:kern w:val="2"/>
                      <w:sz w:val="21"/>
                      <w:szCs w:val="21"/>
                      <w:lang w:val="en-US" w:eastAsia="zh-CN" w:bidi="ar-SA"/>
                    </w:rPr>
                  </w:pPr>
                  <w:r>
                    <w:rPr>
                      <w:rFonts w:hint="eastAsia"/>
                      <w:bCs/>
                      <w:spacing w:val="0"/>
                      <w:sz w:val="21"/>
                      <w:szCs w:val="21"/>
                    </w:rPr>
                    <w:t>氨</w:t>
                  </w:r>
                </w:p>
              </w:tc>
              <w:tc>
                <w:tcPr>
                  <w:tcW w:w="546" w:type="pct"/>
                  <w:noWrap w:val="0"/>
                  <w:vAlign w:val="center"/>
                </w:tcPr>
                <w:p w14:paraId="26C9FA0A">
                  <w:pPr>
                    <w:keepNext w:val="0"/>
                    <w:keepLines w:val="0"/>
                    <w:widowControl/>
                    <w:suppressLineNumbers w:val="0"/>
                    <w:jc w:val="center"/>
                    <w:textAlignment w:val="center"/>
                    <w:rPr>
                      <w:rFonts w:hint="eastAsia" w:ascii="Times New Roman" w:hAnsi="Times New Roman" w:eastAsia="宋体"/>
                      <w:spacing w:val="0"/>
                      <w:kern w:val="2"/>
                      <w:sz w:val="21"/>
                      <w:szCs w:val="21"/>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0.2375</w:t>
                  </w:r>
                </w:p>
              </w:tc>
              <w:tc>
                <w:tcPr>
                  <w:tcW w:w="581" w:type="pct"/>
                  <w:noWrap w:val="0"/>
                  <w:vAlign w:val="center"/>
                </w:tcPr>
                <w:p w14:paraId="3471194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snapToGrid w:val="0"/>
                      <w:spacing w:val="0"/>
                      <w:kern w:val="21"/>
                      <w:sz w:val="21"/>
                      <w:szCs w:val="21"/>
                      <w:lang w:val="en-US" w:eastAsia="zh-CN" w:bidi="ar-SA"/>
                    </w:rPr>
                  </w:pPr>
                  <w:r>
                    <w:rPr>
                      <w:rFonts w:ascii="Times New Roman" w:hAnsi="Times New Roman"/>
                      <w:snapToGrid w:val="0"/>
                      <w:spacing w:val="0"/>
                      <w:kern w:val="21"/>
                      <w:sz w:val="21"/>
                      <w:szCs w:val="21"/>
                      <w:lang w:val="en-US" w:eastAsia="zh-CN"/>
                    </w:rPr>
                    <w:t>/</w:t>
                  </w:r>
                </w:p>
              </w:tc>
              <w:tc>
                <w:tcPr>
                  <w:tcW w:w="604" w:type="pct"/>
                  <w:noWrap w:val="0"/>
                  <w:vAlign w:val="center"/>
                </w:tcPr>
                <w:p w14:paraId="34FFEA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snapToGrid w:val="0"/>
                      <w:spacing w:val="0"/>
                      <w:kern w:val="21"/>
                      <w:sz w:val="21"/>
                      <w:szCs w:val="21"/>
                      <w:lang w:val="en-US" w:eastAsia="zh-CN" w:bidi="ar-SA"/>
                    </w:rPr>
                  </w:pPr>
                  <w:r>
                    <w:rPr>
                      <w:rFonts w:hint="eastAsia"/>
                      <w:spacing w:val="0"/>
                      <w:sz w:val="21"/>
                      <w:szCs w:val="21"/>
                      <w:lang w:val="en-US" w:eastAsia="zh-CN"/>
                    </w:rPr>
                    <w:t>0.0</w:t>
                  </w:r>
                </w:p>
              </w:tc>
              <w:tc>
                <w:tcPr>
                  <w:tcW w:w="686" w:type="pct"/>
                  <w:noWrap w:val="0"/>
                  <w:vAlign w:val="center"/>
                </w:tcPr>
                <w:p w14:paraId="6809D66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eastAsia" w:ascii="Times New Roman" w:hAnsi="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0.0</w:t>
                  </w:r>
                </w:p>
              </w:tc>
              <w:tc>
                <w:tcPr>
                  <w:tcW w:w="697" w:type="pct"/>
                  <w:noWrap w:val="0"/>
                  <w:vAlign w:val="center"/>
                </w:tcPr>
                <w:p w14:paraId="671121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spacing w:val="0"/>
                      <w:kern w:val="2"/>
                      <w:sz w:val="21"/>
                      <w:szCs w:val="21"/>
                      <w:lang w:val="en-US" w:eastAsia="zh-CN" w:bidi="ar-SA"/>
                    </w:rPr>
                  </w:pPr>
                  <w:r>
                    <w:rPr>
                      <w:rFonts w:hint="eastAsia"/>
                      <w:spacing w:val="0"/>
                      <w:sz w:val="21"/>
                      <w:szCs w:val="21"/>
                      <w:lang w:val="en-US" w:eastAsia="zh-CN"/>
                    </w:rPr>
                    <w:t>0.2375</w:t>
                  </w:r>
                </w:p>
              </w:tc>
              <w:tc>
                <w:tcPr>
                  <w:tcW w:w="605" w:type="pct"/>
                  <w:noWrap w:val="0"/>
                  <w:vAlign w:val="center"/>
                </w:tcPr>
                <w:p w14:paraId="29ACCA4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0.0</w:t>
                  </w:r>
                </w:p>
              </w:tc>
            </w:tr>
            <w:tr w14:paraId="1355A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1AC4855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p>
              </w:tc>
              <w:tc>
                <w:tcPr>
                  <w:tcW w:w="662" w:type="pct"/>
                  <w:noWrap w:val="0"/>
                  <w:vAlign w:val="center"/>
                </w:tcPr>
                <w:p w14:paraId="7B079C4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spacing w:val="0"/>
                      <w:sz w:val="21"/>
                      <w:szCs w:val="21"/>
                      <w:lang w:eastAsia="zh-CN"/>
                    </w:rPr>
                  </w:pPr>
                  <w:r>
                    <w:rPr>
                      <w:rFonts w:hint="default" w:ascii="Times New Roman" w:hAnsi="Times New Roman" w:eastAsia="宋体" w:cs="Times New Roman"/>
                      <w:color w:val="auto"/>
                      <w:spacing w:val="0"/>
                      <w:sz w:val="21"/>
                      <w:szCs w:val="21"/>
                      <w:highlight w:val="none"/>
                      <w:lang w:val="en-US" w:eastAsia="zh-CN"/>
                    </w:rPr>
                    <w:t>酚类化合物</w:t>
                  </w:r>
                </w:p>
              </w:tc>
              <w:tc>
                <w:tcPr>
                  <w:tcW w:w="546" w:type="pct"/>
                  <w:noWrap w:val="0"/>
                  <w:vAlign w:val="center"/>
                </w:tcPr>
                <w:p w14:paraId="5B69538B">
                  <w:pPr>
                    <w:keepNext w:val="0"/>
                    <w:keepLines w:val="0"/>
                    <w:widowControl/>
                    <w:suppressLineNumbers w:val="0"/>
                    <w:jc w:val="center"/>
                    <w:textAlignment w:val="center"/>
                    <w:rPr>
                      <w:rFonts w:hint="eastAsia"/>
                      <w:spacing w:val="0"/>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1.2875</w:t>
                  </w:r>
                </w:p>
              </w:tc>
              <w:tc>
                <w:tcPr>
                  <w:tcW w:w="581" w:type="pct"/>
                  <w:noWrap w:val="0"/>
                  <w:vAlign w:val="center"/>
                </w:tcPr>
                <w:p w14:paraId="1CB44FBE">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w:t>
                  </w:r>
                </w:p>
              </w:tc>
              <w:tc>
                <w:tcPr>
                  <w:tcW w:w="604" w:type="pct"/>
                  <w:noWrap w:val="0"/>
                  <w:vAlign w:val="center"/>
                </w:tcPr>
                <w:p w14:paraId="038E6067">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spacing w:val="0"/>
                      <w:sz w:val="21"/>
                      <w:szCs w:val="21"/>
                      <w:lang w:val="en-US" w:eastAsia="zh-CN"/>
                    </w:rPr>
                  </w:pPr>
                  <w:r>
                    <w:rPr>
                      <w:rFonts w:hint="eastAsia"/>
                      <w:spacing w:val="0"/>
                      <w:sz w:val="21"/>
                      <w:szCs w:val="21"/>
                      <w:lang w:val="en-US" w:eastAsia="zh-CN"/>
                    </w:rPr>
                    <w:t>0.0</w:t>
                  </w:r>
                </w:p>
              </w:tc>
              <w:tc>
                <w:tcPr>
                  <w:tcW w:w="686" w:type="pct"/>
                  <w:noWrap w:val="0"/>
                  <w:vAlign w:val="center"/>
                </w:tcPr>
                <w:p w14:paraId="201AC45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c>
                <w:tcPr>
                  <w:tcW w:w="697" w:type="pct"/>
                  <w:noWrap w:val="0"/>
                  <w:vAlign w:val="center"/>
                </w:tcPr>
                <w:p w14:paraId="03C3707E">
                  <w:pPr>
                    <w:keepNext w:val="0"/>
                    <w:keepLines w:val="0"/>
                    <w:widowControl/>
                    <w:suppressLineNumbers w:val="0"/>
                    <w:jc w:val="center"/>
                    <w:textAlignment w:val="center"/>
                    <w:rPr>
                      <w:rFonts w:hint="eastAsia"/>
                      <w:spacing w:val="0"/>
                      <w:sz w:val="21"/>
                      <w:szCs w:val="21"/>
                      <w:lang w:val="en-US" w:eastAsia="zh-CN"/>
                    </w:rPr>
                  </w:pPr>
                  <w:r>
                    <w:rPr>
                      <w:rFonts w:hint="eastAsia" w:ascii="Times New Roman" w:hAnsi="Times New Roman" w:eastAsia="宋体" w:cs="Times New Roman"/>
                      <w:i w:val="0"/>
                      <w:iCs w:val="0"/>
                      <w:color w:val="000000"/>
                      <w:spacing w:val="0"/>
                      <w:kern w:val="0"/>
                      <w:sz w:val="21"/>
                      <w:szCs w:val="21"/>
                      <w:u w:val="none"/>
                      <w:lang w:val="en-US" w:eastAsia="zh-CN" w:bidi="ar"/>
                    </w:rPr>
                    <w:t>1.2875</w:t>
                  </w:r>
                </w:p>
              </w:tc>
              <w:tc>
                <w:tcPr>
                  <w:tcW w:w="605" w:type="pct"/>
                  <w:noWrap w:val="0"/>
                  <w:vAlign w:val="center"/>
                </w:tcPr>
                <w:p w14:paraId="4ADB428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r>
            <w:tr w14:paraId="2B6AA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6BA819B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p>
              </w:tc>
              <w:tc>
                <w:tcPr>
                  <w:tcW w:w="662" w:type="pct"/>
                  <w:noWrap w:val="0"/>
                  <w:vAlign w:val="center"/>
                </w:tcPr>
                <w:p w14:paraId="5EACC39B">
                  <w:pPr>
                    <w:jc w:val="center"/>
                    <w:rPr>
                      <w:rFonts w:hint="eastAsia" w:eastAsia="宋体"/>
                      <w:spacing w:val="0"/>
                      <w:sz w:val="21"/>
                      <w:szCs w:val="21"/>
                      <w:lang w:eastAsia="zh-CN"/>
                    </w:rPr>
                  </w:pPr>
                  <w:r>
                    <w:rPr>
                      <w:rFonts w:hint="eastAsia" w:ascii="Times New Roman" w:hAnsi="Times New Roman"/>
                      <w:color w:val="000000"/>
                      <w:spacing w:val="0"/>
                      <w:sz w:val="21"/>
                      <w:szCs w:val="21"/>
                      <w:lang w:val="en-US" w:eastAsia="zh-CN"/>
                    </w:rPr>
                    <w:t>硫酸雾</w:t>
                  </w:r>
                </w:p>
              </w:tc>
              <w:tc>
                <w:tcPr>
                  <w:tcW w:w="546" w:type="pct"/>
                  <w:noWrap w:val="0"/>
                  <w:vAlign w:val="center"/>
                </w:tcPr>
                <w:p w14:paraId="66C91891">
                  <w:pPr>
                    <w:jc w:val="center"/>
                    <w:rPr>
                      <w:rFonts w:hint="default" w:eastAsia="宋体"/>
                      <w:spacing w:val="0"/>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0.1131</w:t>
                  </w:r>
                </w:p>
              </w:tc>
              <w:tc>
                <w:tcPr>
                  <w:tcW w:w="581" w:type="pct"/>
                  <w:noWrap w:val="0"/>
                  <w:vAlign w:val="center"/>
                </w:tcPr>
                <w:p w14:paraId="4E20A1FE">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w:t>
                  </w:r>
                </w:p>
              </w:tc>
              <w:tc>
                <w:tcPr>
                  <w:tcW w:w="604" w:type="pct"/>
                  <w:noWrap w:val="0"/>
                  <w:vAlign w:val="center"/>
                </w:tcPr>
                <w:p w14:paraId="476E8BF5">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c>
                <w:tcPr>
                  <w:tcW w:w="686" w:type="pct"/>
                  <w:noWrap w:val="0"/>
                  <w:vAlign w:val="center"/>
                </w:tcPr>
                <w:p w14:paraId="5085542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c>
                <w:tcPr>
                  <w:tcW w:w="697" w:type="pct"/>
                  <w:noWrap w:val="0"/>
                  <w:vAlign w:val="center"/>
                </w:tcPr>
                <w:p w14:paraId="2A1A95CE">
                  <w:pPr>
                    <w:jc w:val="center"/>
                    <w:rPr>
                      <w:rFonts w:hint="default" w:eastAsia="宋体"/>
                      <w:spacing w:val="0"/>
                      <w:sz w:val="21"/>
                      <w:szCs w:val="21"/>
                      <w:lang w:val="en-US" w:eastAsia="zh-CN"/>
                    </w:rPr>
                  </w:pPr>
                  <w:r>
                    <w:rPr>
                      <w:rFonts w:hint="eastAsia" w:ascii="Times New Roman" w:hAnsi="Times New Roman" w:eastAsia="宋体" w:cs="Times New Roman"/>
                      <w:i w:val="0"/>
                      <w:iCs w:val="0"/>
                      <w:color w:val="000000"/>
                      <w:spacing w:val="0"/>
                      <w:kern w:val="0"/>
                      <w:sz w:val="21"/>
                      <w:szCs w:val="21"/>
                      <w:u w:val="none"/>
                      <w:lang w:val="en-US" w:eastAsia="zh-CN" w:bidi="ar"/>
                    </w:rPr>
                    <w:t>0.1131</w:t>
                  </w:r>
                </w:p>
              </w:tc>
              <w:tc>
                <w:tcPr>
                  <w:tcW w:w="605" w:type="pct"/>
                  <w:noWrap w:val="0"/>
                  <w:vAlign w:val="center"/>
                </w:tcPr>
                <w:p w14:paraId="13ABA276">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r>
            <w:tr w14:paraId="4662B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15" w:type="pct"/>
                  <w:vMerge w:val="continue"/>
                  <w:noWrap w:val="0"/>
                  <w:vAlign w:val="center"/>
                </w:tcPr>
                <w:p w14:paraId="0F877F30">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hAnsi="Times New Roman"/>
                      <w:snapToGrid w:val="0"/>
                      <w:spacing w:val="0"/>
                      <w:kern w:val="21"/>
                      <w:sz w:val="21"/>
                      <w:szCs w:val="21"/>
                      <w:lang w:val="en-US" w:eastAsia="zh-CN"/>
                    </w:rPr>
                  </w:pPr>
                </w:p>
              </w:tc>
              <w:tc>
                <w:tcPr>
                  <w:tcW w:w="662" w:type="pct"/>
                  <w:noWrap w:val="0"/>
                  <w:vAlign w:val="center"/>
                </w:tcPr>
                <w:p w14:paraId="4FB67FA6">
                  <w:pPr>
                    <w:jc w:val="center"/>
                    <w:rPr>
                      <w:rFonts w:hint="eastAsia" w:ascii="Times New Roman" w:hAnsi="Times New Roman"/>
                      <w:color w:val="000000"/>
                      <w:spacing w:val="0"/>
                      <w:sz w:val="21"/>
                      <w:szCs w:val="21"/>
                      <w:lang w:val="en-US" w:eastAsia="zh-CN"/>
                    </w:rPr>
                  </w:pPr>
                  <w:r>
                    <w:rPr>
                      <w:rFonts w:hint="eastAsia" w:ascii="Times New Roman" w:hAnsi="Times New Roman"/>
                      <w:color w:val="000000"/>
                      <w:spacing w:val="0"/>
                      <w:sz w:val="21"/>
                      <w:szCs w:val="21"/>
                      <w:lang w:val="en-US" w:eastAsia="zh-CN"/>
                    </w:rPr>
                    <w:t>二氧化硫</w:t>
                  </w:r>
                </w:p>
              </w:tc>
              <w:tc>
                <w:tcPr>
                  <w:tcW w:w="546" w:type="pct"/>
                  <w:noWrap w:val="0"/>
                  <w:vAlign w:val="center"/>
                </w:tcPr>
                <w:p w14:paraId="1DECDF6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26.47</w:t>
                  </w:r>
                </w:p>
              </w:tc>
              <w:tc>
                <w:tcPr>
                  <w:tcW w:w="581" w:type="pct"/>
                  <w:noWrap w:val="0"/>
                  <w:vAlign w:val="center"/>
                </w:tcPr>
                <w:p w14:paraId="0FF8A5A4">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w:t>
                  </w:r>
                </w:p>
              </w:tc>
              <w:tc>
                <w:tcPr>
                  <w:tcW w:w="604" w:type="pct"/>
                  <w:noWrap w:val="0"/>
                  <w:vAlign w:val="center"/>
                </w:tcPr>
                <w:p w14:paraId="110DBA22">
                  <w:pPr>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c>
                <w:tcPr>
                  <w:tcW w:w="686" w:type="pct"/>
                  <w:noWrap w:val="0"/>
                  <w:vAlign w:val="center"/>
                </w:tcPr>
                <w:p w14:paraId="40DE36E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26.47</w:t>
                  </w:r>
                </w:p>
              </w:tc>
              <w:tc>
                <w:tcPr>
                  <w:tcW w:w="697" w:type="pct"/>
                  <w:noWrap w:val="0"/>
                  <w:vAlign w:val="center"/>
                </w:tcPr>
                <w:p w14:paraId="134563D1">
                  <w:pPr>
                    <w:jc w:val="center"/>
                    <w:rPr>
                      <w:rFonts w:hint="default" w:ascii="Times New Roman" w:hAnsi="Times New Roman" w:eastAsia="宋体" w:cs="Times New Roman"/>
                      <w:i w:val="0"/>
                      <w:iCs w:val="0"/>
                      <w:color w:val="000000"/>
                      <w:spacing w:val="0"/>
                      <w:kern w:val="0"/>
                      <w:sz w:val="21"/>
                      <w:szCs w:val="21"/>
                      <w:u w:val="none"/>
                      <w:lang w:val="en-US" w:eastAsia="zh-CN" w:bidi="ar"/>
                    </w:rPr>
                  </w:pPr>
                  <w:r>
                    <w:rPr>
                      <w:rFonts w:hint="eastAsia" w:ascii="Times New Roman" w:hAnsi="Times New Roman" w:eastAsia="宋体" w:cs="Times New Roman"/>
                      <w:i w:val="0"/>
                      <w:iCs w:val="0"/>
                      <w:color w:val="000000"/>
                      <w:spacing w:val="0"/>
                      <w:kern w:val="0"/>
                      <w:sz w:val="21"/>
                      <w:szCs w:val="21"/>
                      <w:u w:val="none"/>
                      <w:lang w:val="en-US" w:eastAsia="zh-CN" w:bidi="ar"/>
                    </w:rPr>
                    <w:t>0.0</w:t>
                  </w:r>
                </w:p>
              </w:tc>
              <w:tc>
                <w:tcPr>
                  <w:tcW w:w="605" w:type="pct"/>
                  <w:noWrap w:val="0"/>
                  <w:vAlign w:val="center"/>
                </w:tcPr>
                <w:p w14:paraId="28BBC45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-26.47</w:t>
                  </w:r>
                </w:p>
              </w:tc>
            </w:tr>
          </w:tbl>
          <w:p w14:paraId="6B4D40B5">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left"/>
              <w:textAlignment w:val="auto"/>
              <w:rPr>
                <w:rFonts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55FBDD9D">
            <w:pPr>
              <w:spacing w:line="500" w:lineRule="exact"/>
              <w:ind w:firstLine="482" w:firstLineChars="200"/>
              <w:jc w:val="left"/>
              <w:rPr>
                <w:b/>
                <w:kern w:val="0"/>
                <w:sz w:val="24"/>
              </w:rPr>
            </w:pPr>
            <w:r>
              <w:rPr>
                <w:rFonts w:hint="eastAsia" w:hAnsi="宋体"/>
                <w:b/>
                <w:kern w:val="0"/>
                <w:sz w:val="24"/>
              </w:rPr>
              <w:t>4</w:t>
            </w:r>
            <w:r>
              <w:rPr>
                <w:rFonts w:hAnsi="宋体"/>
                <w:b/>
                <w:kern w:val="0"/>
                <w:sz w:val="24"/>
              </w:rPr>
              <w:t>、排放口</w:t>
            </w:r>
            <w:r>
              <w:rPr>
                <w:rFonts w:hint="eastAsia" w:hAnsi="宋体"/>
                <w:b/>
                <w:kern w:val="0"/>
                <w:sz w:val="24"/>
              </w:rPr>
              <w:t>基本</w:t>
            </w:r>
            <w:r>
              <w:rPr>
                <w:rFonts w:hAnsi="宋体"/>
                <w:b/>
                <w:kern w:val="0"/>
                <w:sz w:val="24"/>
              </w:rPr>
              <w:t>信息</w:t>
            </w:r>
          </w:p>
          <w:p w14:paraId="2B9EAD56">
            <w:pPr>
              <w:adjustRightInd w:val="0"/>
              <w:snapToGrid w:val="0"/>
              <w:spacing w:line="440" w:lineRule="exact"/>
              <w:ind w:firstLine="480" w:firstLineChars="200"/>
              <w:jc w:val="left"/>
              <w:textAlignment w:val="baseline"/>
              <w:rPr>
                <w:rFonts w:ascii="Times New Roman" w:hAnsi="Times New Roman" w:eastAsia="宋体" w:cs="Times New Roman"/>
                <w:sz w:val="24"/>
              </w:rPr>
            </w:pPr>
            <w:r>
              <w:rPr>
                <w:rFonts w:hint="eastAsia" w:ascii="Times New Roman" w:hAnsi="Times New Roman" w:eastAsia="宋体" w:cs="Times New Roman"/>
                <w:sz w:val="24"/>
                <w:lang w:eastAsia="zh-CN"/>
              </w:rPr>
              <w:t>技改前干燥废气排放口编号为</w:t>
            </w:r>
            <w:r>
              <w:rPr>
                <w:rFonts w:hint="eastAsia" w:ascii="Times New Roman" w:hAnsi="Times New Roman" w:eastAsia="宋体" w:cs="Times New Roman"/>
                <w:sz w:val="24"/>
                <w:lang w:val="en-US" w:eastAsia="zh-CN"/>
              </w:rPr>
              <w:t>DA005，于2021年对整套干燥系统进行拆除，本次技改后新建干燥废气排气筒，编号继续沿用技改前的DA005，具体废气</w:t>
            </w:r>
            <w:r>
              <w:rPr>
                <w:rFonts w:hint="eastAsia" w:ascii="Times New Roman" w:hAnsi="Times New Roman" w:eastAsia="宋体" w:cs="Times New Roman"/>
                <w:sz w:val="24"/>
              </w:rPr>
              <w:t>排放口基本情况如下表。</w:t>
            </w:r>
          </w:p>
          <w:p w14:paraId="2A125A9F">
            <w:pPr>
              <w:adjustRightInd w:val="0"/>
              <w:snapToGrid w:val="0"/>
              <w:spacing w:line="440" w:lineRule="exact"/>
              <w:ind w:firstLine="480" w:firstLineChars="200"/>
              <w:jc w:val="center"/>
              <w:textAlignment w:val="baseline"/>
              <w:rPr>
                <w:sz w:val="24"/>
                <w:highlight w:val="yellow"/>
              </w:rPr>
            </w:pPr>
            <w:r>
              <w:rPr>
                <w:sz w:val="24"/>
              </w:rPr>
              <w:t>表</w:t>
            </w:r>
            <w:r>
              <w:rPr>
                <w:rFonts w:hint="eastAsia"/>
                <w:sz w:val="24"/>
              </w:rPr>
              <w:t>4-</w:t>
            </w:r>
            <w:r>
              <w:rPr>
                <w:rFonts w:hint="eastAsia"/>
                <w:sz w:val="24"/>
                <w:lang w:val="en-US" w:eastAsia="zh-CN"/>
              </w:rPr>
              <w:t>12</w:t>
            </w:r>
            <w:r>
              <w:rPr>
                <w:sz w:val="24"/>
              </w:rPr>
              <w:t xml:space="preserve">  项目运营期</w:t>
            </w:r>
            <w:r>
              <w:rPr>
                <w:rFonts w:hint="eastAsia"/>
                <w:sz w:val="24"/>
              </w:rPr>
              <w:t>排放口设置</w:t>
            </w:r>
            <w:r>
              <w:rPr>
                <w:sz w:val="24"/>
              </w:rPr>
              <w:t>情况一览表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0"/>
              <w:gridCol w:w="1509"/>
              <w:gridCol w:w="2143"/>
              <w:gridCol w:w="3543"/>
            </w:tblGrid>
            <w:tr w14:paraId="14F5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500" w:type="pct"/>
                  <w:shd w:val="clear" w:color="auto" w:fill="auto"/>
                  <w:noWrap w:val="0"/>
                  <w:vAlign w:val="center"/>
                </w:tcPr>
                <w:p w14:paraId="10A08842">
                  <w:pPr>
                    <w:pStyle w:val="24"/>
                    <w:spacing w:after="0" w:line="240" w:lineRule="auto"/>
                    <w:ind w:left="0" w:leftChars="0"/>
                    <w:jc w:val="center"/>
                    <w:rPr>
                      <w:bCs/>
                      <w:kern w:val="0"/>
                      <w:szCs w:val="21"/>
                      <w:highlight w:val="yellow"/>
                      <w:lang w:val="zh-CN"/>
                    </w:rPr>
                  </w:pPr>
                  <w:r>
                    <w:rPr>
                      <w:bCs/>
                      <w:kern w:val="0"/>
                      <w:szCs w:val="21"/>
                      <w:lang w:val="zh-CN"/>
                    </w:rPr>
                    <w:t>工序</w:t>
                  </w:r>
                </w:p>
              </w:tc>
              <w:tc>
                <w:tcPr>
                  <w:tcW w:w="944" w:type="pct"/>
                  <w:shd w:val="clear" w:color="auto" w:fill="auto"/>
                  <w:noWrap w:val="0"/>
                  <w:vAlign w:val="center"/>
                </w:tcPr>
                <w:p w14:paraId="2961579B">
                  <w:pPr>
                    <w:pStyle w:val="24"/>
                    <w:spacing w:after="0" w:line="240" w:lineRule="auto"/>
                    <w:ind w:left="0" w:leftChars="0"/>
                    <w:jc w:val="center"/>
                    <w:rPr>
                      <w:bCs/>
                      <w:kern w:val="0"/>
                      <w:szCs w:val="21"/>
                      <w:lang w:val="zh-CN"/>
                    </w:rPr>
                  </w:pPr>
                  <w:r>
                    <w:rPr>
                      <w:bCs/>
                      <w:kern w:val="0"/>
                      <w:szCs w:val="21"/>
                      <w:lang w:val="zh-CN"/>
                    </w:rPr>
                    <w:t>类别</w:t>
                  </w:r>
                </w:p>
              </w:tc>
              <w:tc>
                <w:tcPr>
                  <w:tcW w:w="1340" w:type="pct"/>
                  <w:shd w:val="clear" w:color="auto" w:fill="auto"/>
                  <w:noWrap w:val="0"/>
                  <w:vAlign w:val="center"/>
                </w:tcPr>
                <w:p w14:paraId="10ED4125">
                  <w:pPr>
                    <w:pStyle w:val="24"/>
                    <w:spacing w:after="0" w:line="240" w:lineRule="auto"/>
                    <w:ind w:left="0" w:leftChars="0"/>
                    <w:jc w:val="center"/>
                    <w:rPr>
                      <w:bCs/>
                      <w:kern w:val="0"/>
                      <w:szCs w:val="21"/>
                      <w:lang w:val="zh-CN"/>
                    </w:rPr>
                  </w:pPr>
                  <w:r>
                    <w:rPr>
                      <w:bCs/>
                      <w:kern w:val="0"/>
                      <w:szCs w:val="21"/>
                      <w:lang w:val="zh-CN"/>
                    </w:rPr>
                    <w:t>项目</w:t>
                  </w:r>
                </w:p>
              </w:tc>
              <w:tc>
                <w:tcPr>
                  <w:tcW w:w="2216" w:type="pct"/>
                  <w:shd w:val="clear" w:color="auto" w:fill="auto"/>
                  <w:noWrap w:val="0"/>
                  <w:vAlign w:val="center"/>
                </w:tcPr>
                <w:p w14:paraId="312E1174">
                  <w:pPr>
                    <w:pStyle w:val="24"/>
                    <w:spacing w:after="0" w:line="240" w:lineRule="auto"/>
                    <w:ind w:left="0" w:leftChars="0"/>
                    <w:jc w:val="center"/>
                    <w:rPr>
                      <w:kern w:val="0"/>
                      <w:szCs w:val="21"/>
                    </w:rPr>
                  </w:pPr>
                  <w:r>
                    <w:rPr>
                      <w:kern w:val="0"/>
                      <w:szCs w:val="21"/>
                    </w:rPr>
                    <w:t>信息</w:t>
                  </w:r>
                </w:p>
              </w:tc>
            </w:tr>
            <w:tr w14:paraId="33C6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restart"/>
                  <w:shd w:val="clear" w:color="auto" w:fill="auto"/>
                  <w:noWrap w:val="0"/>
                  <w:vAlign w:val="center"/>
                </w:tcPr>
                <w:p w14:paraId="5AE960F2">
                  <w:pPr>
                    <w:pStyle w:val="24"/>
                    <w:spacing w:after="0" w:line="240" w:lineRule="auto"/>
                    <w:ind w:left="0" w:leftChars="0"/>
                    <w:jc w:val="center"/>
                    <w:rPr>
                      <w:bCs/>
                      <w:kern w:val="0"/>
                      <w:szCs w:val="21"/>
                      <w:lang w:val="zh-CN"/>
                    </w:rPr>
                  </w:pPr>
                  <w:r>
                    <w:rPr>
                      <w:rFonts w:hint="eastAsia"/>
                      <w:bCs/>
                      <w:kern w:val="0"/>
                      <w:szCs w:val="21"/>
                      <w:lang w:val="zh-CN"/>
                    </w:rPr>
                    <w:t>热风炉燃烧废气、干燥废气</w:t>
                  </w:r>
                </w:p>
              </w:tc>
              <w:tc>
                <w:tcPr>
                  <w:tcW w:w="944" w:type="pct"/>
                  <w:vMerge w:val="restart"/>
                  <w:shd w:val="clear" w:color="auto" w:fill="auto"/>
                  <w:noWrap w:val="0"/>
                  <w:vAlign w:val="center"/>
                </w:tcPr>
                <w:p w14:paraId="483F57E7">
                  <w:pPr>
                    <w:pStyle w:val="24"/>
                    <w:spacing w:after="0" w:line="240" w:lineRule="auto"/>
                    <w:ind w:left="0" w:leftChars="0"/>
                    <w:jc w:val="center"/>
                    <w:rPr>
                      <w:rFonts w:hint="eastAsia"/>
                      <w:bCs/>
                      <w:kern w:val="0"/>
                      <w:szCs w:val="21"/>
                      <w:lang w:val="zh-CN"/>
                    </w:rPr>
                  </w:pPr>
                  <w:r>
                    <w:rPr>
                      <w:bCs/>
                      <w:kern w:val="0"/>
                      <w:szCs w:val="21"/>
                      <w:lang w:val="zh-CN"/>
                    </w:rPr>
                    <w:t>排放口</w:t>
                  </w:r>
                </w:p>
                <w:p w14:paraId="622D7466">
                  <w:pPr>
                    <w:pStyle w:val="24"/>
                    <w:spacing w:after="0" w:line="240" w:lineRule="auto"/>
                    <w:ind w:left="0" w:leftChars="0"/>
                    <w:jc w:val="center"/>
                    <w:rPr>
                      <w:bCs/>
                      <w:kern w:val="0"/>
                      <w:szCs w:val="21"/>
                      <w:highlight w:val="yellow"/>
                      <w:lang w:val="zh-CN"/>
                    </w:rPr>
                  </w:pPr>
                  <w:r>
                    <w:rPr>
                      <w:bCs/>
                      <w:kern w:val="0"/>
                      <w:szCs w:val="21"/>
                      <w:lang w:val="zh-CN"/>
                    </w:rPr>
                    <w:t>基本情况</w:t>
                  </w:r>
                </w:p>
              </w:tc>
              <w:tc>
                <w:tcPr>
                  <w:tcW w:w="1340" w:type="pct"/>
                  <w:shd w:val="clear" w:color="auto" w:fill="auto"/>
                  <w:noWrap w:val="0"/>
                  <w:vAlign w:val="center"/>
                </w:tcPr>
                <w:p w14:paraId="53E10DDD">
                  <w:pPr>
                    <w:pStyle w:val="24"/>
                    <w:spacing w:after="0" w:line="240" w:lineRule="auto"/>
                    <w:ind w:left="0" w:leftChars="0"/>
                    <w:jc w:val="center"/>
                    <w:rPr>
                      <w:bCs/>
                      <w:kern w:val="0"/>
                      <w:szCs w:val="21"/>
                      <w:lang w:val="zh-CN"/>
                    </w:rPr>
                  </w:pPr>
                  <w:r>
                    <w:rPr>
                      <w:bCs/>
                      <w:kern w:val="0"/>
                      <w:szCs w:val="21"/>
                      <w:lang w:val="zh-CN"/>
                    </w:rPr>
                    <w:t>编号</w:t>
                  </w:r>
                </w:p>
              </w:tc>
              <w:tc>
                <w:tcPr>
                  <w:tcW w:w="2216" w:type="pct"/>
                  <w:shd w:val="clear" w:color="auto" w:fill="auto"/>
                  <w:noWrap w:val="0"/>
                  <w:vAlign w:val="center"/>
                </w:tcPr>
                <w:p w14:paraId="1885C8EF">
                  <w:pPr>
                    <w:pStyle w:val="24"/>
                    <w:spacing w:after="0" w:line="240" w:lineRule="auto"/>
                    <w:ind w:left="0" w:leftChars="0"/>
                    <w:jc w:val="center"/>
                    <w:rPr>
                      <w:rFonts w:hint="eastAsia" w:eastAsia="宋体"/>
                      <w:kern w:val="0"/>
                      <w:szCs w:val="21"/>
                      <w:lang w:eastAsia="zh-CN"/>
                    </w:rPr>
                  </w:pPr>
                  <w:r>
                    <w:rPr>
                      <w:kern w:val="0"/>
                      <w:szCs w:val="21"/>
                    </w:rPr>
                    <w:t>DA00</w:t>
                  </w:r>
                  <w:r>
                    <w:rPr>
                      <w:rFonts w:hint="eastAsia"/>
                      <w:kern w:val="0"/>
                      <w:szCs w:val="21"/>
                      <w:lang w:val="en-US" w:eastAsia="zh-CN"/>
                    </w:rPr>
                    <w:t>5</w:t>
                  </w:r>
                </w:p>
              </w:tc>
            </w:tr>
            <w:tr w14:paraId="1C3D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5CB96FBA">
                  <w:pPr>
                    <w:pStyle w:val="24"/>
                    <w:spacing w:after="0" w:line="240" w:lineRule="auto"/>
                    <w:ind w:left="0" w:leftChars="0"/>
                    <w:jc w:val="center"/>
                    <w:rPr>
                      <w:bCs/>
                      <w:kern w:val="0"/>
                      <w:szCs w:val="21"/>
                      <w:lang w:val="zh-CN"/>
                    </w:rPr>
                  </w:pPr>
                </w:p>
              </w:tc>
              <w:tc>
                <w:tcPr>
                  <w:tcW w:w="944" w:type="pct"/>
                  <w:vMerge w:val="continue"/>
                  <w:shd w:val="clear" w:color="auto" w:fill="auto"/>
                  <w:noWrap w:val="0"/>
                  <w:vAlign w:val="center"/>
                </w:tcPr>
                <w:p w14:paraId="6C9E5F94">
                  <w:pPr>
                    <w:pStyle w:val="24"/>
                    <w:spacing w:after="0" w:line="240" w:lineRule="auto"/>
                    <w:ind w:left="0" w:leftChars="0"/>
                    <w:jc w:val="center"/>
                    <w:rPr>
                      <w:bCs/>
                      <w:kern w:val="0"/>
                      <w:szCs w:val="21"/>
                      <w:highlight w:val="yellow"/>
                      <w:lang w:val="zh-CN"/>
                    </w:rPr>
                  </w:pPr>
                </w:p>
              </w:tc>
              <w:tc>
                <w:tcPr>
                  <w:tcW w:w="1340" w:type="pct"/>
                  <w:shd w:val="clear" w:color="auto" w:fill="auto"/>
                  <w:noWrap w:val="0"/>
                  <w:vAlign w:val="center"/>
                </w:tcPr>
                <w:p w14:paraId="5CF3F0E7">
                  <w:pPr>
                    <w:pStyle w:val="24"/>
                    <w:spacing w:after="0" w:line="240" w:lineRule="auto"/>
                    <w:ind w:left="0" w:leftChars="0"/>
                    <w:jc w:val="center"/>
                    <w:rPr>
                      <w:bCs/>
                      <w:kern w:val="0"/>
                      <w:szCs w:val="21"/>
                      <w:lang w:val="zh-CN"/>
                    </w:rPr>
                  </w:pPr>
                  <w:r>
                    <w:rPr>
                      <w:bCs/>
                      <w:kern w:val="0"/>
                      <w:szCs w:val="21"/>
                      <w:lang w:val="zh-CN"/>
                    </w:rPr>
                    <w:t>名称</w:t>
                  </w:r>
                </w:p>
              </w:tc>
              <w:tc>
                <w:tcPr>
                  <w:tcW w:w="2216" w:type="pct"/>
                  <w:shd w:val="clear" w:color="auto" w:fill="auto"/>
                  <w:noWrap w:val="0"/>
                  <w:vAlign w:val="center"/>
                </w:tcPr>
                <w:p w14:paraId="64887D13">
                  <w:pPr>
                    <w:pStyle w:val="24"/>
                    <w:spacing w:after="0" w:line="240" w:lineRule="auto"/>
                    <w:ind w:left="0" w:leftChars="0"/>
                    <w:jc w:val="center"/>
                    <w:rPr>
                      <w:kern w:val="0"/>
                      <w:szCs w:val="21"/>
                    </w:rPr>
                  </w:pPr>
                  <w:r>
                    <w:rPr>
                      <w:rFonts w:hint="eastAsia"/>
                      <w:kern w:val="0"/>
                      <w:szCs w:val="21"/>
                      <w:lang w:eastAsia="zh-CN"/>
                    </w:rPr>
                    <w:t>干燥</w:t>
                  </w:r>
                  <w:r>
                    <w:rPr>
                      <w:kern w:val="0"/>
                      <w:szCs w:val="21"/>
                    </w:rPr>
                    <w:t>废气排放口</w:t>
                  </w:r>
                </w:p>
              </w:tc>
            </w:tr>
            <w:tr w14:paraId="3ECD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05449C08">
                  <w:pPr>
                    <w:pStyle w:val="24"/>
                    <w:spacing w:after="0" w:line="240" w:lineRule="auto"/>
                    <w:ind w:left="0" w:leftChars="0"/>
                    <w:jc w:val="center"/>
                    <w:rPr>
                      <w:bCs/>
                      <w:kern w:val="0"/>
                      <w:szCs w:val="21"/>
                      <w:lang w:val="zh-CN"/>
                    </w:rPr>
                  </w:pPr>
                </w:p>
              </w:tc>
              <w:tc>
                <w:tcPr>
                  <w:tcW w:w="944" w:type="pct"/>
                  <w:vMerge w:val="continue"/>
                  <w:shd w:val="clear" w:color="auto" w:fill="auto"/>
                  <w:noWrap w:val="0"/>
                  <w:vAlign w:val="center"/>
                </w:tcPr>
                <w:p w14:paraId="6061DF29">
                  <w:pPr>
                    <w:pStyle w:val="24"/>
                    <w:spacing w:after="0" w:line="240" w:lineRule="auto"/>
                    <w:ind w:left="0" w:leftChars="0"/>
                    <w:jc w:val="center"/>
                    <w:rPr>
                      <w:bCs/>
                      <w:kern w:val="0"/>
                      <w:szCs w:val="21"/>
                      <w:highlight w:val="yellow"/>
                      <w:lang w:val="zh-CN"/>
                    </w:rPr>
                  </w:pPr>
                </w:p>
              </w:tc>
              <w:tc>
                <w:tcPr>
                  <w:tcW w:w="1340" w:type="pct"/>
                  <w:shd w:val="clear" w:color="auto" w:fill="auto"/>
                  <w:noWrap w:val="0"/>
                  <w:vAlign w:val="center"/>
                </w:tcPr>
                <w:p w14:paraId="02BFE44A">
                  <w:pPr>
                    <w:pStyle w:val="24"/>
                    <w:spacing w:after="0" w:line="240" w:lineRule="auto"/>
                    <w:ind w:left="0" w:leftChars="0"/>
                    <w:jc w:val="center"/>
                    <w:rPr>
                      <w:bCs/>
                      <w:kern w:val="0"/>
                      <w:szCs w:val="21"/>
                      <w:lang w:val="zh-CN"/>
                    </w:rPr>
                  </w:pPr>
                  <w:r>
                    <w:rPr>
                      <w:bCs/>
                      <w:kern w:val="0"/>
                      <w:szCs w:val="21"/>
                      <w:lang w:val="zh-CN"/>
                    </w:rPr>
                    <w:t>类型</w:t>
                  </w:r>
                </w:p>
              </w:tc>
              <w:tc>
                <w:tcPr>
                  <w:tcW w:w="2216" w:type="pct"/>
                  <w:shd w:val="clear" w:color="auto" w:fill="auto"/>
                  <w:noWrap w:val="0"/>
                  <w:vAlign w:val="center"/>
                </w:tcPr>
                <w:p w14:paraId="397DE55C">
                  <w:pPr>
                    <w:pStyle w:val="24"/>
                    <w:spacing w:after="0" w:line="240" w:lineRule="auto"/>
                    <w:ind w:left="0" w:leftChars="0"/>
                    <w:jc w:val="center"/>
                    <w:rPr>
                      <w:kern w:val="0"/>
                      <w:szCs w:val="21"/>
                    </w:rPr>
                  </w:pPr>
                  <w:r>
                    <w:rPr>
                      <w:rFonts w:hint="eastAsia"/>
                      <w:kern w:val="0"/>
                      <w:szCs w:val="21"/>
                      <w:lang w:val="zh-CN"/>
                    </w:rPr>
                    <w:t>一般</w:t>
                  </w:r>
                  <w:r>
                    <w:rPr>
                      <w:kern w:val="0"/>
                      <w:szCs w:val="21"/>
                      <w:lang w:val="zh-CN"/>
                    </w:rPr>
                    <w:t>排放口</w:t>
                  </w:r>
                </w:p>
              </w:tc>
            </w:tr>
            <w:tr w14:paraId="515D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216766A5">
                  <w:pPr>
                    <w:pStyle w:val="24"/>
                    <w:spacing w:after="0" w:line="240" w:lineRule="auto"/>
                    <w:ind w:left="0" w:leftChars="0"/>
                    <w:jc w:val="center"/>
                    <w:rPr>
                      <w:bCs/>
                      <w:kern w:val="0"/>
                      <w:szCs w:val="21"/>
                      <w:lang w:val="zh-CN"/>
                    </w:rPr>
                  </w:pPr>
                </w:p>
              </w:tc>
              <w:tc>
                <w:tcPr>
                  <w:tcW w:w="944" w:type="pct"/>
                  <w:vMerge w:val="continue"/>
                  <w:shd w:val="clear" w:color="auto" w:fill="auto"/>
                  <w:noWrap w:val="0"/>
                  <w:vAlign w:val="center"/>
                </w:tcPr>
                <w:p w14:paraId="796665AB">
                  <w:pPr>
                    <w:pStyle w:val="24"/>
                    <w:spacing w:after="0" w:line="240" w:lineRule="auto"/>
                    <w:ind w:left="0" w:leftChars="0"/>
                    <w:jc w:val="center"/>
                    <w:rPr>
                      <w:bCs/>
                      <w:kern w:val="0"/>
                      <w:szCs w:val="21"/>
                      <w:highlight w:val="yellow"/>
                      <w:lang w:val="zh-CN"/>
                    </w:rPr>
                  </w:pPr>
                </w:p>
              </w:tc>
              <w:tc>
                <w:tcPr>
                  <w:tcW w:w="1340" w:type="pct"/>
                  <w:shd w:val="clear" w:color="auto" w:fill="auto"/>
                  <w:noWrap w:val="0"/>
                  <w:vAlign w:val="center"/>
                </w:tcPr>
                <w:p w14:paraId="78AE70B7">
                  <w:pPr>
                    <w:pStyle w:val="24"/>
                    <w:spacing w:after="0" w:line="240" w:lineRule="auto"/>
                    <w:ind w:left="0" w:leftChars="0"/>
                    <w:jc w:val="center"/>
                    <w:rPr>
                      <w:bCs/>
                      <w:kern w:val="0"/>
                      <w:szCs w:val="21"/>
                      <w:lang w:val="zh-CN"/>
                    </w:rPr>
                  </w:pPr>
                  <w:r>
                    <w:rPr>
                      <w:bCs/>
                      <w:kern w:val="0"/>
                      <w:szCs w:val="21"/>
                      <w:lang w:val="zh-CN"/>
                    </w:rPr>
                    <w:t>地理坐标</w:t>
                  </w:r>
                </w:p>
              </w:tc>
              <w:tc>
                <w:tcPr>
                  <w:tcW w:w="2216" w:type="pct"/>
                  <w:shd w:val="clear" w:color="auto" w:fill="auto"/>
                  <w:noWrap w:val="0"/>
                  <w:vAlign w:val="center"/>
                </w:tcPr>
                <w:p w14:paraId="42B7878A">
                  <w:pPr>
                    <w:pStyle w:val="24"/>
                    <w:spacing w:after="0" w:line="240" w:lineRule="auto"/>
                    <w:ind w:left="0" w:leftChars="0"/>
                    <w:jc w:val="center"/>
                    <w:rPr>
                      <w:rFonts w:ascii="Times New Roman" w:hAnsi="Times New Roman"/>
                      <w:kern w:val="2"/>
                      <w:sz w:val="21"/>
                      <w:szCs w:val="21"/>
                      <w:lang w:val="en-US" w:eastAsia="zh-CN"/>
                    </w:rPr>
                  </w:pPr>
                  <w:r>
                    <w:rPr>
                      <w:rFonts w:ascii="Times New Roman" w:hAnsi="Times New Roman" w:eastAsia="宋体" w:cs="Times New Roman"/>
                      <w:kern w:val="0"/>
                      <w:szCs w:val="21"/>
                      <w:lang w:val="en-US" w:eastAsia="zh-CN"/>
                    </w:rPr>
                    <w:t>东经</w:t>
                  </w:r>
                  <w:r>
                    <w:rPr>
                      <w:rFonts w:ascii="Times New Roman" w:hAnsi="Times New Roman" w:eastAsia="宋体" w:cs="Times New Roman"/>
                      <w:kern w:val="0"/>
                      <w:szCs w:val="21"/>
                    </w:rPr>
                    <w:t>107.26094574</w:t>
                  </w:r>
                  <w:r>
                    <w:rPr>
                      <w:rFonts w:ascii="Times New Roman" w:hAnsi="Times New Roman" w:eastAsia="宋体" w:cs="Times New Roman"/>
                      <w:kern w:val="0"/>
                      <w:szCs w:val="21"/>
                      <w:lang w:val="en-US" w:eastAsia="zh-CN"/>
                    </w:rPr>
                    <w:t>°，北纬</w:t>
                  </w:r>
                  <w:r>
                    <w:rPr>
                      <w:rFonts w:ascii="Times New Roman" w:hAnsi="Times New Roman" w:eastAsia="宋体" w:cs="Times New Roman"/>
                      <w:kern w:val="0"/>
                      <w:szCs w:val="21"/>
                    </w:rPr>
                    <w:t>34.46654714</w:t>
                  </w:r>
                  <w:r>
                    <w:rPr>
                      <w:rFonts w:ascii="Times New Roman" w:hAnsi="Times New Roman" w:eastAsia="宋体" w:cs="Times New Roman"/>
                      <w:kern w:val="0"/>
                      <w:szCs w:val="21"/>
                      <w:lang w:val="en-US" w:eastAsia="zh-CN"/>
                    </w:rPr>
                    <w:t>°</w:t>
                  </w:r>
                </w:p>
              </w:tc>
            </w:tr>
            <w:tr w14:paraId="5136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435F488A">
                  <w:pPr>
                    <w:pStyle w:val="24"/>
                    <w:spacing w:after="0" w:line="240" w:lineRule="auto"/>
                    <w:ind w:left="0" w:leftChars="0"/>
                    <w:jc w:val="center"/>
                    <w:rPr>
                      <w:bCs/>
                      <w:kern w:val="0"/>
                      <w:szCs w:val="21"/>
                      <w:lang w:val="zh-CN"/>
                    </w:rPr>
                  </w:pPr>
                </w:p>
              </w:tc>
              <w:tc>
                <w:tcPr>
                  <w:tcW w:w="944" w:type="pct"/>
                  <w:vMerge w:val="continue"/>
                  <w:shd w:val="clear" w:color="auto" w:fill="auto"/>
                  <w:noWrap w:val="0"/>
                  <w:vAlign w:val="center"/>
                </w:tcPr>
                <w:p w14:paraId="3FB04786">
                  <w:pPr>
                    <w:pStyle w:val="24"/>
                    <w:spacing w:after="0" w:line="240" w:lineRule="auto"/>
                    <w:ind w:left="0" w:leftChars="0"/>
                    <w:jc w:val="center"/>
                    <w:rPr>
                      <w:bCs/>
                      <w:kern w:val="0"/>
                      <w:szCs w:val="21"/>
                      <w:highlight w:val="yellow"/>
                      <w:lang w:val="zh-CN"/>
                    </w:rPr>
                  </w:pPr>
                </w:p>
              </w:tc>
              <w:tc>
                <w:tcPr>
                  <w:tcW w:w="1340" w:type="pct"/>
                  <w:shd w:val="clear" w:color="auto" w:fill="auto"/>
                  <w:noWrap w:val="0"/>
                  <w:vAlign w:val="center"/>
                </w:tcPr>
                <w:p w14:paraId="35351BC0">
                  <w:pPr>
                    <w:pStyle w:val="24"/>
                    <w:spacing w:after="0" w:line="240" w:lineRule="auto"/>
                    <w:ind w:left="0" w:leftChars="0"/>
                    <w:jc w:val="center"/>
                    <w:rPr>
                      <w:bCs/>
                      <w:kern w:val="0"/>
                      <w:szCs w:val="21"/>
                      <w:lang w:val="zh-CN"/>
                    </w:rPr>
                  </w:pPr>
                  <w:r>
                    <w:rPr>
                      <w:bCs/>
                      <w:kern w:val="0"/>
                      <w:szCs w:val="21"/>
                      <w:lang w:val="zh-CN"/>
                    </w:rPr>
                    <w:t>高度（</w:t>
                  </w:r>
                  <w:r>
                    <w:rPr>
                      <w:bCs/>
                      <w:kern w:val="0"/>
                      <w:szCs w:val="21"/>
                    </w:rPr>
                    <w:t>m</w:t>
                  </w:r>
                  <w:r>
                    <w:rPr>
                      <w:bCs/>
                      <w:kern w:val="0"/>
                      <w:szCs w:val="21"/>
                      <w:lang w:val="zh-CN"/>
                    </w:rPr>
                    <w:t>）</w:t>
                  </w:r>
                </w:p>
              </w:tc>
              <w:tc>
                <w:tcPr>
                  <w:tcW w:w="2216" w:type="pct"/>
                  <w:shd w:val="clear" w:color="auto" w:fill="auto"/>
                  <w:noWrap w:val="0"/>
                  <w:vAlign w:val="center"/>
                </w:tcPr>
                <w:p w14:paraId="4C865432">
                  <w:pPr>
                    <w:pStyle w:val="24"/>
                    <w:spacing w:after="0" w:line="240" w:lineRule="auto"/>
                    <w:ind w:left="0" w:leftChars="0"/>
                    <w:jc w:val="center"/>
                    <w:rPr>
                      <w:rFonts w:hint="default" w:eastAsia="宋体"/>
                      <w:kern w:val="0"/>
                      <w:szCs w:val="21"/>
                      <w:lang w:val="en-US" w:eastAsia="zh-CN"/>
                    </w:rPr>
                  </w:pPr>
                  <w:r>
                    <w:rPr>
                      <w:rFonts w:hint="eastAsia"/>
                      <w:kern w:val="0"/>
                      <w:szCs w:val="21"/>
                      <w:lang w:val="en-US" w:eastAsia="zh-CN"/>
                    </w:rPr>
                    <w:t>24</w:t>
                  </w:r>
                </w:p>
              </w:tc>
            </w:tr>
            <w:tr w14:paraId="13C9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19557F42">
                  <w:pPr>
                    <w:pStyle w:val="24"/>
                    <w:spacing w:after="0" w:line="240" w:lineRule="auto"/>
                    <w:ind w:left="0" w:leftChars="0"/>
                    <w:jc w:val="center"/>
                    <w:rPr>
                      <w:bCs/>
                      <w:kern w:val="0"/>
                      <w:szCs w:val="21"/>
                      <w:lang w:val="zh-CN"/>
                    </w:rPr>
                  </w:pPr>
                </w:p>
              </w:tc>
              <w:tc>
                <w:tcPr>
                  <w:tcW w:w="944" w:type="pct"/>
                  <w:vMerge w:val="continue"/>
                  <w:shd w:val="clear" w:color="auto" w:fill="auto"/>
                  <w:noWrap w:val="0"/>
                  <w:vAlign w:val="center"/>
                </w:tcPr>
                <w:p w14:paraId="0073D517">
                  <w:pPr>
                    <w:pStyle w:val="24"/>
                    <w:spacing w:after="0" w:line="240" w:lineRule="auto"/>
                    <w:ind w:left="0" w:leftChars="0"/>
                    <w:jc w:val="center"/>
                    <w:rPr>
                      <w:bCs/>
                      <w:kern w:val="0"/>
                      <w:szCs w:val="21"/>
                      <w:highlight w:val="yellow"/>
                      <w:lang w:val="zh-CN"/>
                    </w:rPr>
                  </w:pPr>
                </w:p>
              </w:tc>
              <w:tc>
                <w:tcPr>
                  <w:tcW w:w="1340" w:type="pct"/>
                  <w:shd w:val="clear" w:color="auto" w:fill="auto"/>
                  <w:noWrap w:val="0"/>
                  <w:vAlign w:val="center"/>
                </w:tcPr>
                <w:p w14:paraId="25EDCED3">
                  <w:pPr>
                    <w:pStyle w:val="24"/>
                    <w:spacing w:after="0" w:line="240" w:lineRule="auto"/>
                    <w:ind w:left="0" w:leftChars="0"/>
                    <w:jc w:val="center"/>
                    <w:rPr>
                      <w:bCs/>
                      <w:kern w:val="0"/>
                      <w:szCs w:val="21"/>
                    </w:rPr>
                  </w:pPr>
                  <w:r>
                    <w:rPr>
                      <w:bCs/>
                      <w:kern w:val="0"/>
                      <w:szCs w:val="21"/>
                      <w:lang w:val="zh-CN"/>
                    </w:rPr>
                    <w:t>排气筒内径（</w:t>
                  </w:r>
                  <w:r>
                    <w:rPr>
                      <w:bCs/>
                      <w:kern w:val="0"/>
                      <w:szCs w:val="21"/>
                    </w:rPr>
                    <w:t>m</w:t>
                  </w:r>
                  <w:r>
                    <w:rPr>
                      <w:bCs/>
                      <w:kern w:val="0"/>
                      <w:szCs w:val="21"/>
                      <w:lang w:val="zh-CN"/>
                    </w:rPr>
                    <w:t>）</w:t>
                  </w:r>
                </w:p>
              </w:tc>
              <w:tc>
                <w:tcPr>
                  <w:tcW w:w="2216" w:type="pct"/>
                  <w:shd w:val="clear" w:color="auto" w:fill="auto"/>
                  <w:noWrap w:val="0"/>
                  <w:vAlign w:val="center"/>
                </w:tcPr>
                <w:p w14:paraId="5DB1C69B">
                  <w:pPr>
                    <w:pStyle w:val="24"/>
                    <w:spacing w:after="0" w:line="240" w:lineRule="auto"/>
                    <w:ind w:left="0" w:leftChars="0"/>
                    <w:jc w:val="center"/>
                    <w:rPr>
                      <w:rFonts w:hint="default" w:eastAsia="宋体"/>
                      <w:kern w:val="0"/>
                      <w:szCs w:val="21"/>
                      <w:lang w:val="en-US" w:eastAsia="zh-CN"/>
                    </w:rPr>
                  </w:pPr>
                  <w:r>
                    <w:rPr>
                      <w:rFonts w:hint="eastAsia"/>
                      <w:kern w:val="0"/>
                      <w:szCs w:val="21"/>
                      <w:lang w:val="en-US" w:eastAsia="zh-CN"/>
                    </w:rPr>
                    <w:t>0.5</w:t>
                  </w:r>
                </w:p>
              </w:tc>
            </w:tr>
            <w:tr w14:paraId="355F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32EFF860">
                  <w:pPr>
                    <w:pStyle w:val="24"/>
                    <w:spacing w:after="0" w:line="240" w:lineRule="auto"/>
                    <w:ind w:left="0" w:leftChars="0"/>
                    <w:jc w:val="center"/>
                    <w:rPr>
                      <w:bCs/>
                      <w:kern w:val="0"/>
                      <w:szCs w:val="21"/>
                      <w:lang w:val="zh-CN"/>
                    </w:rPr>
                  </w:pPr>
                </w:p>
              </w:tc>
              <w:tc>
                <w:tcPr>
                  <w:tcW w:w="944" w:type="pct"/>
                  <w:vMerge w:val="continue"/>
                  <w:shd w:val="clear" w:color="auto" w:fill="auto"/>
                  <w:noWrap w:val="0"/>
                  <w:vAlign w:val="center"/>
                </w:tcPr>
                <w:p w14:paraId="7873E106">
                  <w:pPr>
                    <w:pStyle w:val="24"/>
                    <w:spacing w:after="0" w:line="240" w:lineRule="auto"/>
                    <w:ind w:left="0" w:leftChars="0"/>
                    <w:jc w:val="center"/>
                    <w:rPr>
                      <w:bCs/>
                      <w:kern w:val="0"/>
                      <w:szCs w:val="21"/>
                      <w:highlight w:val="yellow"/>
                      <w:lang w:val="zh-CN"/>
                    </w:rPr>
                  </w:pPr>
                </w:p>
              </w:tc>
              <w:tc>
                <w:tcPr>
                  <w:tcW w:w="1340" w:type="pct"/>
                  <w:shd w:val="clear" w:color="auto" w:fill="auto"/>
                  <w:noWrap w:val="0"/>
                  <w:vAlign w:val="center"/>
                </w:tcPr>
                <w:p w14:paraId="57DCA979">
                  <w:pPr>
                    <w:pStyle w:val="24"/>
                    <w:spacing w:after="0" w:line="240" w:lineRule="auto"/>
                    <w:ind w:left="0" w:leftChars="0"/>
                    <w:jc w:val="center"/>
                    <w:rPr>
                      <w:bCs/>
                      <w:kern w:val="0"/>
                      <w:szCs w:val="21"/>
                      <w:lang w:val="zh-CN"/>
                    </w:rPr>
                  </w:pPr>
                  <w:r>
                    <w:rPr>
                      <w:bCs/>
                      <w:kern w:val="0"/>
                      <w:szCs w:val="21"/>
                      <w:lang w:val="zh-CN"/>
                    </w:rPr>
                    <w:t>温度（℃）</w:t>
                  </w:r>
                </w:p>
              </w:tc>
              <w:tc>
                <w:tcPr>
                  <w:tcW w:w="2216" w:type="pct"/>
                  <w:shd w:val="clear" w:color="auto" w:fill="auto"/>
                  <w:noWrap w:val="0"/>
                  <w:vAlign w:val="center"/>
                </w:tcPr>
                <w:p w14:paraId="48BFD7AA">
                  <w:pPr>
                    <w:pStyle w:val="24"/>
                    <w:spacing w:after="0" w:line="240" w:lineRule="auto"/>
                    <w:ind w:left="0" w:leftChars="0"/>
                    <w:jc w:val="center"/>
                    <w:rPr>
                      <w:rFonts w:hint="default" w:eastAsia="宋体"/>
                      <w:kern w:val="0"/>
                      <w:szCs w:val="21"/>
                      <w:lang w:val="en-US" w:eastAsia="zh-CN"/>
                    </w:rPr>
                  </w:pPr>
                  <w:r>
                    <w:rPr>
                      <w:rFonts w:hint="eastAsia"/>
                      <w:szCs w:val="21"/>
                    </w:rPr>
                    <w:t>约</w:t>
                  </w:r>
                  <w:r>
                    <w:rPr>
                      <w:rFonts w:hint="eastAsia"/>
                      <w:szCs w:val="21"/>
                      <w:lang w:val="en-US" w:eastAsia="zh-CN"/>
                    </w:rPr>
                    <w:t>100</w:t>
                  </w:r>
                </w:p>
              </w:tc>
            </w:tr>
            <w:tr w14:paraId="1791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4587A833">
                  <w:pPr>
                    <w:pStyle w:val="24"/>
                    <w:spacing w:after="0" w:line="240" w:lineRule="auto"/>
                    <w:ind w:left="0" w:leftChars="0"/>
                    <w:jc w:val="center"/>
                    <w:rPr>
                      <w:bCs/>
                      <w:kern w:val="0"/>
                      <w:szCs w:val="21"/>
                    </w:rPr>
                  </w:pPr>
                </w:p>
              </w:tc>
              <w:tc>
                <w:tcPr>
                  <w:tcW w:w="944" w:type="pct"/>
                  <w:shd w:val="clear" w:color="auto" w:fill="auto"/>
                  <w:noWrap w:val="0"/>
                  <w:vAlign w:val="center"/>
                </w:tcPr>
                <w:p w14:paraId="6AA29D6F">
                  <w:pPr>
                    <w:pStyle w:val="24"/>
                    <w:spacing w:after="0" w:line="240" w:lineRule="auto"/>
                    <w:ind w:left="0" w:leftChars="0"/>
                    <w:jc w:val="center"/>
                    <w:rPr>
                      <w:bCs/>
                      <w:kern w:val="0"/>
                      <w:szCs w:val="21"/>
                    </w:rPr>
                  </w:pPr>
                  <w:r>
                    <w:rPr>
                      <w:bCs/>
                      <w:kern w:val="0"/>
                      <w:szCs w:val="21"/>
                    </w:rPr>
                    <w:t>排放标准</w:t>
                  </w:r>
                </w:p>
              </w:tc>
              <w:tc>
                <w:tcPr>
                  <w:tcW w:w="3556" w:type="pct"/>
                  <w:gridSpan w:val="2"/>
                  <w:shd w:val="clear" w:color="auto" w:fill="auto"/>
                  <w:noWrap w:val="0"/>
                  <w:vAlign w:val="center"/>
                </w:tcPr>
                <w:p w14:paraId="071A9636">
                  <w:pPr>
                    <w:pStyle w:val="24"/>
                    <w:spacing w:after="0" w:line="240" w:lineRule="auto"/>
                    <w:ind w:left="0" w:leftChars="0"/>
                    <w:jc w:val="center"/>
                    <w:rPr>
                      <w:rFonts w:hint="eastAsia" w:eastAsia="宋体"/>
                      <w:szCs w:val="21"/>
                      <w:lang w:eastAsia="zh-CN"/>
                    </w:rPr>
                  </w:pPr>
                  <w:r>
                    <w:rPr>
                      <w:rFonts w:hint="eastAsia"/>
                      <w:sz w:val="21"/>
                      <w:szCs w:val="21"/>
                      <w:lang w:eastAsia="zh-CN"/>
                    </w:rPr>
                    <w:t>执行《大气污染物综合排放标准》（</w:t>
                  </w:r>
                  <w:r>
                    <w:rPr>
                      <w:rFonts w:hint="eastAsia"/>
                      <w:sz w:val="21"/>
                      <w:szCs w:val="21"/>
                      <w:lang w:val="en-US" w:eastAsia="zh-CN"/>
                    </w:rPr>
                    <w:t>GB16297-1996</w:t>
                  </w:r>
                  <w:r>
                    <w:rPr>
                      <w:rFonts w:hint="eastAsia"/>
                      <w:sz w:val="21"/>
                      <w:szCs w:val="21"/>
                      <w:lang w:eastAsia="zh-CN"/>
                    </w:rPr>
                    <w:t>）和《石油化学工业污染物排放标准》（</w:t>
                  </w:r>
                  <w:r>
                    <w:rPr>
                      <w:rFonts w:hint="eastAsia"/>
                      <w:sz w:val="21"/>
                      <w:szCs w:val="21"/>
                      <w:lang w:val="en-US" w:eastAsia="zh-CN"/>
                    </w:rPr>
                    <w:t>GB31571-2015</w:t>
                  </w:r>
                  <w:r>
                    <w:rPr>
                      <w:rFonts w:hint="eastAsia"/>
                      <w:sz w:val="21"/>
                      <w:szCs w:val="21"/>
                      <w:lang w:eastAsia="zh-CN"/>
                    </w:rPr>
                    <w:t>）</w:t>
                  </w:r>
                </w:p>
              </w:tc>
            </w:tr>
            <w:tr w14:paraId="6A6E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 w:type="pct"/>
                  <w:vMerge w:val="continue"/>
                  <w:shd w:val="clear" w:color="auto" w:fill="auto"/>
                  <w:noWrap w:val="0"/>
                  <w:vAlign w:val="center"/>
                </w:tcPr>
                <w:p w14:paraId="37A366C2">
                  <w:pPr>
                    <w:pStyle w:val="24"/>
                    <w:spacing w:after="0" w:line="240" w:lineRule="auto"/>
                    <w:ind w:left="0" w:leftChars="0"/>
                    <w:jc w:val="center"/>
                    <w:rPr>
                      <w:bCs/>
                      <w:kern w:val="0"/>
                      <w:szCs w:val="21"/>
                    </w:rPr>
                  </w:pPr>
                </w:p>
              </w:tc>
              <w:tc>
                <w:tcPr>
                  <w:tcW w:w="944" w:type="pct"/>
                  <w:shd w:val="clear" w:color="auto" w:fill="auto"/>
                  <w:noWrap w:val="0"/>
                  <w:vAlign w:val="center"/>
                </w:tcPr>
                <w:p w14:paraId="462B2262">
                  <w:pPr>
                    <w:pStyle w:val="24"/>
                    <w:spacing w:after="0" w:line="240" w:lineRule="auto"/>
                    <w:ind w:left="0" w:leftChars="0"/>
                    <w:jc w:val="center"/>
                    <w:rPr>
                      <w:bCs/>
                      <w:kern w:val="0"/>
                      <w:szCs w:val="21"/>
                    </w:rPr>
                  </w:pPr>
                  <w:r>
                    <w:rPr>
                      <w:rFonts w:hint="eastAsia"/>
                      <w:bCs/>
                      <w:kern w:val="0"/>
                      <w:szCs w:val="21"/>
                    </w:rPr>
                    <w:t>达标排放情况</w:t>
                  </w:r>
                </w:p>
              </w:tc>
              <w:tc>
                <w:tcPr>
                  <w:tcW w:w="3556" w:type="pct"/>
                  <w:gridSpan w:val="2"/>
                  <w:shd w:val="clear" w:color="auto" w:fill="auto"/>
                  <w:noWrap w:val="0"/>
                  <w:vAlign w:val="center"/>
                </w:tcPr>
                <w:p w14:paraId="6C9073B1">
                  <w:pPr>
                    <w:pStyle w:val="24"/>
                    <w:spacing w:after="0" w:line="240" w:lineRule="auto"/>
                    <w:ind w:left="0" w:leftChars="0"/>
                    <w:jc w:val="center"/>
                    <w:rPr>
                      <w:szCs w:val="21"/>
                    </w:rPr>
                  </w:pPr>
                  <w:r>
                    <w:rPr>
                      <w:szCs w:val="21"/>
                    </w:rPr>
                    <w:t>达标</w:t>
                  </w:r>
                </w:p>
              </w:tc>
            </w:tr>
          </w:tbl>
          <w:p w14:paraId="0C35FA7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rFonts w:hint="eastAsia"/>
                <w:b/>
                <w:kern w:val="0"/>
                <w:sz w:val="24"/>
              </w:rPr>
              <w:t>5</w:t>
            </w:r>
            <w:r>
              <w:rPr>
                <w:rFonts w:hAnsi="宋体"/>
                <w:b/>
                <w:kern w:val="0"/>
                <w:sz w:val="24"/>
              </w:rPr>
              <w:t>、</w:t>
            </w:r>
            <w:r>
              <w:rPr>
                <w:rFonts w:hint="eastAsia" w:hAnsi="宋体"/>
                <w:b/>
                <w:kern w:val="0"/>
                <w:sz w:val="24"/>
              </w:rPr>
              <w:t>非正常</w:t>
            </w:r>
            <w:r>
              <w:rPr>
                <w:rFonts w:hAnsi="宋体"/>
                <w:b/>
                <w:kern w:val="0"/>
                <w:sz w:val="24"/>
              </w:rPr>
              <w:t>工况</w:t>
            </w:r>
          </w:p>
          <w:p w14:paraId="10899B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kern w:val="0"/>
                <w:sz w:val="24"/>
                <w:szCs w:val="24"/>
                <w:lang w:val="en-US" w:eastAsia="zh-CN"/>
              </w:rPr>
            </w:pPr>
            <w:r>
              <w:rPr>
                <w:rFonts w:hint="eastAsia"/>
                <w:b w:val="0"/>
                <w:bCs/>
                <w:kern w:val="0"/>
                <w:sz w:val="24"/>
                <w:szCs w:val="24"/>
                <w:lang w:eastAsia="zh-CN"/>
              </w:rPr>
              <w:t>本次热风炉的热源来自甲醛尾气，若本项目热风炉故障，则甲醛尾气经过现有的锅炉燃烧后排放，根据</w:t>
            </w:r>
            <w:r>
              <w:rPr>
                <w:rFonts w:hint="eastAsia" w:ascii="Times New Roman" w:hAnsi="Times New Roman" w:eastAsia="宋体" w:cs="Times New Roman"/>
                <w:b w:val="0"/>
                <w:bCs/>
                <w:sz w:val="24"/>
                <w:szCs w:val="24"/>
                <w:lang w:val="en-US" w:eastAsia="zh-CN"/>
              </w:rPr>
              <w:t>《年产10万吨减水剂和5万吨甲醛项目环境影响报告书》</w:t>
            </w:r>
            <w:r>
              <w:rPr>
                <w:rFonts w:hint="eastAsia"/>
                <w:b w:val="0"/>
                <w:bCs/>
                <w:kern w:val="0"/>
                <w:sz w:val="24"/>
                <w:szCs w:val="24"/>
                <w:lang w:eastAsia="zh-CN"/>
              </w:rPr>
              <w:t>全部甲醛尾气点燃后氮氧化物排放浓度为</w:t>
            </w:r>
            <w:r>
              <w:rPr>
                <w:rFonts w:hint="eastAsia"/>
                <w:b w:val="0"/>
                <w:bCs/>
                <w:kern w:val="0"/>
                <w:sz w:val="24"/>
                <w:szCs w:val="24"/>
                <w:lang w:val="en-US" w:eastAsia="zh-CN"/>
              </w:rPr>
              <w:t>30mg/m</w:t>
            </w:r>
            <w:r>
              <w:rPr>
                <w:rFonts w:hint="eastAsia"/>
                <w:b w:val="0"/>
                <w:bCs/>
                <w:kern w:val="0"/>
                <w:sz w:val="24"/>
                <w:szCs w:val="24"/>
                <w:vertAlign w:val="superscript"/>
                <w:lang w:val="en-US" w:eastAsia="zh-CN"/>
              </w:rPr>
              <w:t>3</w:t>
            </w:r>
            <w:r>
              <w:rPr>
                <w:rFonts w:hint="eastAsia"/>
                <w:b w:val="0"/>
                <w:bCs/>
                <w:kern w:val="0"/>
                <w:sz w:val="24"/>
                <w:szCs w:val="24"/>
                <w:lang w:val="en-US" w:eastAsia="zh-CN"/>
              </w:rPr>
              <w:t>，甲醛的</w:t>
            </w:r>
            <w:r>
              <w:rPr>
                <w:rFonts w:hint="eastAsia"/>
                <w:b w:val="0"/>
                <w:bCs/>
                <w:kern w:val="0"/>
                <w:sz w:val="24"/>
                <w:szCs w:val="24"/>
                <w:lang w:eastAsia="zh-CN"/>
              </w:rPr>
              <w:t>排放浓度为</w:t>
            </w:r>
            <w:r>
              <w:rPr>
                <w:rFonts w:hint="eastAsia"/>
                <w:b w:val="0"/>
                <w:bCs/>
                <w:kern w:val="0"/>
                <w:sz w:val="24"/>
                <w:szCs w:val="24"/>
                <w:lang w:val="en-US" w:eastAsia="zh-CN"/>
              </w:rPr>
              <w:t>3.53mg/m</w:t>
            </w:r>
            <w:r>
              <w:rPr>
                <w:rFonts w:hint="eastAsia"/>
                <w:b w:val="0"/>
                <w:bCs/>
                <w:kern w:val="0"/>
                <w:sz w:val="24"/>
                <w:szCs w:val="24"/>
                <w:vertAlign w:val="superscript"/>
                <w:lang w:val="en-US" w:eastAsia="zh-CN"/>
              </w:rPr>
              <w:t>3</w:t>
            </w:r>
            <w:r>
              <w:rPr>
                <w:rFonts w:hint="eastAsia"/>
                <w:b w:val="0"/>
                <w:bCs/>
                <w:kern w:val="0"/>
                <w:sz w:val="24"/>
                <w:szCs w:val="24"/>
                <w:lang w:val="en-US" w:eastAsia="zh-CN"/>
              </w:rPr>
              <w:t>，甲醇的</w:t>
            </w:r>
            <w:r>
              <w:rPr>
                <w:rFonts w:hint="eastAsia"/>
                <w:b w:val="0"/>
                <w:bCs/>
                <w:kern w:val="0"/>
                <w:sz w:val="24"/>
                <w:szCs w:val="24"/>
                <w:lang w:eastAsia="zh-CN"/>
              </w:rPr>
              <w:t>排放浓度为</w:t>
            </w:r>
            <w:r>
              <w:rPr>
                <w:rFonts w:hint="eastAsia"/>
                <w:b w:val="0"/>
                <w:bCs/>
                <w:kern w:val="0"/>
                <w:sz w:val="24"/>
                <w:szCs w:val="24"/>
                <w:lang w:val="en-US" w:eastAsia="zh-CN"/>
              </w:rPr>
              <w:t>11.67mg/m</w:t>
            </w:r>
            <w:r>
              <w:rPr>
                <w:rFonts w:hint="eastAsia"/>
                <w:b w:val="0"/>
                <w:bCs/>
                <w:kern w:val="0"/>
                <w:sz w:val="24"/>
                <w:szCs w:val="24"/>
                <w:vertAlign w:val="superscript"/>
                <w:lang w:val="en-US" w:eastAsia="zh-CN"/>
              </w:rPr>
              <w:t>3</w:t>
            </w:r>
            <w:r>
              <w:rPr>
                <w:rFonts w:hint="eastAsia"/>
                <w:b w:val="0"/>
                <w:bCs/>
                <w:kern w:val="0"/>
                <w:sz w:val="24"/>
                <w:szCs w:val="24"/>
                <w:lang w:val="en-US" w:eastAsia="zh-CN"/>
              </w:rPr>
              <w:t>，因此，本次热风炉故障时不会对环境产生大的影响。</w:t>
            </w:r>
          </w:p>
          <w:p w14:paraId="565689AE">
            <w:pPr>
              <w:pStyle w:val="40"/>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b w:val="0"/>
                <w:bCs/>
                <w:kern w:val="0"/>
                <w:sz w:val="24"/>
                <w:szCs w:val="24"/>
                <w:vertAlign w:val="baseline"/>
                <w:lang w:val="en-US" w:eastAsia="zh-CN"/>
              </w:rPr>
            </w:pPr>
            <w:r>
              <w:rPr>
                <w:rFonts w:hint="eastAsia"/>
                <w:b w:val="0"/>
                <w:bCs/>
                <w:kern w:val="0"/>
                <w:sz w:val="24"/>
                <w:szCs w:val="24"/>
                <w:lang w:val="en-US" w:eastAsia="zh-CN"/>
              </w:rPr>
              <w:t>本次干燥塔处理设备故障时，假设旋风除尘设备及二级水膜处理系统全部故障，则干燥系统故障0.5h，颗粒物的排放量为73.9kg，排放浓度为5258.85mg/m</w:t>
            </w:r>
            <w:r>
              <w:rPr>
                <w:rFonts w:hint="eastAsia"/>
                <w:b w:val="0"/>
                <w:bCs/>
                <w:kern w:val="0"/>
                <w:sz w:val="24"/>
                <w:szCs w:val="24"/>
                <w:vertAlign w:val="superscript"/>
                <w:lang w:val="en-US" w:eastAsia="zh-CN"/>
              </w:rPr>
              <w:t>3</w:t>
            </w:r>
            <w:r>
              <w:rPr>
                <w:rFonts w:hint="eastAsia"/>
                <w:b w:val="0"/>
                <w:bCs/>
                <w:kern w:val="0"/>
                <w:sz w:val="24"/>
                <w:szCs w:val="24"/>
                <w:vertAlign w:val="baseline"/>
                <w:lang w:val="en-US" w:eastAsia="zh-CN"/>
              </w:rPr>
              <w:t>，</w:t>
            </w:r>
            <w:r>
              <w:rPr>
                <w:rFonts w:hint="eastAsia"/>
                <w:b w:val="0"/>
                <w:bCs/>
                <w:kern w:val="0"/>
                <w:sz w:val="24"/>
                <w:szCs w:val="24"/>
                <w:lang w:val="en-US" w:eastAsia="zh-CN"/>
              </w:rPr>
              <w:t>非甲烷总烃的排放量为3.7kg，排放浓度为263.3mg/m</w:t>
            </w:r>
            <w:r>
              <w:rPr>
                <w:rFonts w:hint="eastAsia"/>
                <w:b w:val="0"/>
                <w:bCs/>
                <w:kern w:val="0"/>
                <w:sz w:val="24"/>
                <w:szCs w:val="24"/>
                <w:vertAlign w:val="superscript"/>
                <w:lang w:val="en-US" w:eastAsia="zh-CN"/>
              </w:rPr>
              <w:t>3</w:t>
            </w:r>
            <w:r>
              <w:rPr>
                <w:rFonts w:hint="eastAsia"/>
                <w:b w:val="0"/>
                <w:bCs/>
                <w:kern w:val="0"/>
                <w:sz w:val="24"/>
                <w:szCs w:val="24"/>
                <w:vertAlign w:val="baseline"/>
                <w:lang w:val="en-US" w:eastAsia="zh-CN"/>
              </w:rPr>
              <w:t>。</w:t>
            </w:r>
          </w:p>
          <w:p w14:paraId="751D7760">
            <w:pPr>
              <w:spacing w:line="360" w:lineRule="auto"/>
              <w:ind w:firstLine="480" w:firstLineChars="200"/>
              <w:rPr>
                <w:color w:val="auto"/>
                <w:kern w:val="0"/>
                <w:sz w:val="24"/>
              </w:rPr>
            </w:pPr>
            <w:r>
              <w:rPr>
                <w:color w:val="auto"/>
                <w:kern w:val="0"/>
                <w:sz w:val="24"/>
              </w:rPr>
              <w:t>非正常情况下比正常工况下各污染物排放量明显偏大，污染物排放浓度较正常状态下超标较多。因此，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6CC62729">
            <w:pPr>
              <w:spacing w:line="360" w:lineRule="auto"/>
              <w:ind w:firstLine="480" w:firstLineChars="200"/>
              <w:rPr>
                <w:color w:val="auto"/>
                <w:kern w:val="0"/>
                <w:sz w:val="24"/>
              </w:rPr>
            </w:pPr>
            <w:r>
              <w:rPr>
                <w:color w:val="auto"/>
                <w:kern w:val="0"/>
                <w:sz w:val="24"/>
              </w:rPr>
              <w:t>①安排专人负责环保设备的日常维护和管理，每隔固定时间检查、汇报情况，及时发现废气处理设备的隐患，确保废气处理系统正常运行；</w:t>
            </w:r>
          </w:p>
          <w:p w14:paraId="027E70D2">
            <w:pPr>
              <w:spacing w:line="360" w:lineRule="auto"/>
              <w:ind w:firstLine="480" w:firstLineChars="200"/>
              <w:rPr>
                <w:color w:val="auto"/>
                <w:kern w:val="0"/>
                <w:sz w:val="24"/>
              </w:rPr>
            </w:pPr>
            <w:r>
              <w:rPr>
                <w:color w:val="auto"/>
                <w:kern w:val="0"/>
                <w:sz w:val="24"/>
              </w:rPr>
              <w:t>②严格按照环保设备使用手册，定期对布袋进行更换；</w:t>
            </w:r>
          </w:p>
          <w:p w14:paraId="55BB30CD">
            <w:pPr>
              <w:spacing w:line="360" w:lineRule="auto"/>
              <w:ind w:firstLine="480" w:firstLineChars="200"/>
              <w:rPr>
                <w:color w:val="auto"/>
                <w:kern w:val="0"/>
                <w:sz w:val="24"/>
              </w:rPr>
            </w:pPr>
            <w:r>
              <w:rPr>
                <w:color w:val="auto"/>
                <w:kern w:val="0"/>
                <w:sz w:val="24"/>
              </w:rPr>
              <w:t>③建立健全的环保管理机构，对环保管理人员和技术人员进行岗位培训，委托具有专业资质的</w:t>
            </w:r>
            <w:r>
              <w:rPr>
                <w:rFonts w:hint="eastAsia"/>
                <w:color w:val="auto"/>
                <w:kern w:val="0"/>
                <w:sz w:val="24"/>
                <w:lang w:eastAsia="zh-CN"/>
              </w:rPr>
              <w:t>环境监测</w:t>
            </w:r>
            <w:r>
              <w:rPr>
                <w:color w:val="auto"/>
                <w:kern w:val="0"/>
                <w:sz w:val="24"/>
              </w:rPr>
              <w:t>单位对项目排放的各类污染物进行定期检测；</w:t>
            </w:r>
          </w:p>
          <w:p w14:paraId="27CDA440">
            <w:pPr>
              <w:spacing w:line="360" w:lineRule="auto"/>
              <w:ind w:firstLine="480" w:firstLineChars="200"/>
              <w:rPr>
                <w:color w:val="auto"/>
                <w:kern w:val="0"/>
                <w:sz w:val="24"/>
              </w:rPr>
            </w:pPr>
            <w:r>
              <w:rPr>
                <w:color w:val="auto"/>
                <w:kern w:val="0"/>
                <w:sz w:val="24"/>
              </w:rPr>
              <w:t>④应定期维护、检修废气净化装置，以保持废气处理装置的净化能力和净化容量。</w:t>
            </w:r>
          </w:p>
          <w:p w14:paraId="037CBF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rFonts w:hint="eastAsia"/>
                <w:b/>
                <w:kern w:val="0"/>
                <w:sz w:val="24"/>
              </w:rPr>
              <w:t>6、</w:t>
            </w:r>
            <w:r>
              <w:rPr>
                <w:b/>
                <w:kern w:val="0"/>
                <w:sz w:val="24"/>
              </w:rPr>
              <w:t>废气污染物治理措施可行性分析</w:t>
            </w:r>
          </w:p>
          <w:p w14:paraId="6BF922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hAnsi="宋体" w:eastAsia="宋体"/>
                <w:kern w:val="0"/>
                <w:sz w:val="24"/>
                <w:lang w:eastAsia="zh-CN"/>
              </w:rPr>
            </w:pPr>
            <w:r>
              <w:rPr>
                <w:rFonts w:hint="eastAsia" w:ascii="宋体" w:hAnsi="宋体" w:eastAsia="宋体" w:cs="宋体"/>
                <w:kern w:val="0"/>
                <w:sz w:val="24"/>
              </w:rPr>
              <w:t>⑴</w:t>
            </w:r>
            <w:r>
              <w:rPr>
                <w:rFonts w:hint="eastAsia" w:hAnsi="宋体" w:eastAsia="宋体"/>
                <w:kern w:val="0"/>
                <w:sz w:val="24"/>
                <w:lang w:eastAsia="zh-CN"/>
              </w:rPr>
              <w:t>颗粒物</w:t>
            </w:r>
          </w:p>
          <w:p w14:paraId="4189CA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kern w:val="0"/>
                <w:sz w:val="24"/>
              </w:rPr>
            </w:pPr>
            <w:r>
              <w:rPr>
                <w:rFonts w:hAnsi="宋体"/>
                <w:kern w:val="0"/>
                <w:sz w:val="24"/>
              </w:rPr>
              <w:t>根据《排污许可证申请与核发技术规范</w:t>
            </w:r>
            <w:r>
              <w:rPr>
                <w:kern w:val="0"/>
                <w:sz w:val="24"/>
              </w:rPr>
              <w:t xml:space="preserve"> </w:t>
            </w:r>
            <w:r>
              <w:rPr>
                <w:rFonts w:hint="eastAsia" w:hAnsi="宋体"/>
                <w:kern w:val="0"/>
                <w:sz w:val="24"/>
              </w:rPr>
              <w:t>专用化学产品制造工业</w:t>
            </w:r>
            <w:r>
              <w:rPr>
                <w:rFonts w:hAnsi="宋体"/>
                <w:kern w:val="0"/>
                <w:sz w:val="24"/>
              </w:rPr>
              <w:t>》（</w:t>
            </w:r>
            <w:r>
              <w:rPr>
                <w:rFonts w:hint="eastAsia"/>
                <w:kern w:val="0"/>
                <w:sz w:val="24"/>
              </w:rPr>
              <w:t>HJ1103</w:t>
            </w:r>
            <w:r>
              <w:rPr>
                <w:rFonts w:hint="eastAsia"/>
                <w:kern w:val="0"/>
                <w:sz w:val="24"/>
                <w:lang w:val="en-US" w:eastAsia="zh-CN"/>
              </w:rPr>
              <w:t>-</w:t>
            </w:r>
            <w:r>
              <w:rPr>
                <w:rFonts w:hint="eastAsia"/>
                <w:kern w:val="0"/>
                <w:sz w:val="24"/>
              </w:rPr>
              <w:t>2020</w:t>
            </w:r>
            <w:r>
              <w:rPr>
                <w:rFonts w:hAnsi="宋体"/>
                <w:kern w:val="0"/>
                <w:sz w:val="24"/>
              </w:rPr>
              <w:t>）</w:t>
            </w:r>
            <w:r>
              <w:rPr>
                <w:rFonts w:hint="eastAsia" w:hAnsi="宋体"/>
                <w:kern w:val="0"/>
                <w:sz w:val="24"/>
                <w:lang w:eastAsia="zh-CN"/>
              </w:rPr>
              <w:t>中“</w:t>
            </w:r>
            <w:r>
              <w:rPr>
                <w:rFonts w:hint="eastAsia" w:hAnsi="宋体"/>
                <w:kern w:val="0"/>
                <w:sz w:val="24"/>
                <w:lang w:val="en-US" w:eastAsia="zh-CN"/>
              </w:rPr>
              <w:t>表9化学试剂和助剂制造工业和专项化学用品制造工业排污单位废气产排污环节、污染物、排放形式及对应排放口类型一览表，</w:t>
            </w:r>
            <w:r>
              <w:rPr>
                <w:rFonts w:hint="eastAsia" w:hAnsi="宋体"/>
                <w:kern w:val="0"/>
                <w:sz w:val="24"/>
              </w:rPr>
              <w:t>专项化学用品及助剂</w:t>
            </w:r>
            <w:r>
              <w:rPr>
                <w:rFonts w:hint="eastAsia" w:hAnsi="宋体"/>
                <w:kern w:val="0"/>
                <w:sz w:val="24"/>
                <w:lang w:val="en-US" w:eastAsia="zh-CN"/>
              </w:rPr>
              <w:t>-建工建材用化学助剂</w:t>
            </w:r>
            <w:r>
              <w:rPr>
                <w:rFonts w:hint="eastAsia" w:hAnsi="宋体"/>
                <w:kern w:val="0"/>
                <w:sz w:val="24"/>
                <w:lang w:eastAsia="zh-CN"/>
              </w:rPr>
              <w:t>”</w:t>
            </w:r>
            <w:r>
              <w:rPr>
                <w:rFonts w:hint="eastAsia" w:hAnsi="宋体"/>
                <w:kern w:val="0"/>
                <w:sz w:val="24"/>
                <w:lang w:val="en-US" w:eastAsia="zh-CN"/>
              </w:rPr>
              <w:t>，</w:t>
            </w:r>
            <w:r>
              <w:rPr>
                <w:rFonts w:hAnsi="宋体"/>
                <w:kern w:val="0"/>
                <w:sz w:val="24"/>
              </w:rPr>
              <w:t>本项目</w:t>
            </w:r>
            <w:r>
              <w:rPr>
                <w:rFonts w:hint="eastAsia" w:ascii="宋体" w:hAnsi="宋体" w:cs="宋体"/>
                <w:kern w:val="0"/>
                <w:sz w:val="24"/>
              </w:rPr>
              <w:t>废气污染治理设施均属于可行技术，详见下表。</w:t>
            </w:r>
          </w:p>
          <w:p w14:paraId="47B99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kern w:val="0"/>
                <w:sz w:val="24"/>
              </w:rPr>
            </w:pPr>
            <w:r>
              <w:rPr>
                <w:rFonts w:hint="eastAsia"/>
                <w:kern w:val="0"/>
                <w:sz w:val="24"/>
              </w:rPr>
              <w:t>表4-</w:t>
            </w:r>
            <w:r>
              <w:rPr>
                <w:rFonts w:hint="eastAsia"/>
                <w:kern w:val="0"/>
                <w:sz w:val="24"/>
                <w:lang w:val="en-US" w:eastAsia="zh-CN"/>
              </w:rPr>
              <w:t>13</w:t>
            </w:r>
            <w:r>
              <w:rPr>
                <w:rFonts w:hint="eastAsia"/>
                <w:kern w:val="0"/>
                <w:sz w:val="24"/>
              </w:rPr>
              <w:t xml:space="preserve">  本项目废气污染防治可行技术符合性表</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33"/>
              <w:gridCol w:w="1550"/>
              <w:gridCol w:w="3127"/>
              <w:gridCol w:w="1701"/>
              <w:gridCol w:w="820"/>
            </w:tblGrid>
            <w:tr w14:paraId="45399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733" w:type="dxa"/>
                  <w:vMerge w:val="restart"/>
                  <w:shd w:val="clear" w:color="auto" w:fill="auto"/>
                  <w:noWrap w:val="0"/>
                  <w:vAlign w:val="center"/>
                </w:tcPr>
                <w:p w14:paraId="42AE90D0">
                  <w:pPr>
                    <w:tabs>
                      <w:tab w:val="left" w:pos="225"/>
                    </w:tabs>
                    <w:jc w:val="center"/>
                    <w:rPr>
                      <w:rFonts w:hint="eastAsia" w:eastAsia="宋体"/>
                      <w:kern w:val="0"/>
                      <w:szCs w:val="21"/>
                      <w:lang w:eastAsia="zh-CN"/>
                    </w:rPr>
                  </w:pPr>
                  <w:r>
                    <w:rPr>
                      <w:rFonts w:hint="eastAsia"/>
                      <w:kern w:val="0"/>
                      <w:szCs w:val="21"/>
                      <w:lang w:eastAsia="zh-CN"/>
                    </w:rPr>
                    <w:t>生产工序</w:t>
                  </w:r>
                </w:p>
              </w:tc>
              <w:tc>
                <w:tcPr>
                  <w:tcW w:w="1550" w:type="dxa"/>
                  <w:vMerge w:val="restart"/>
                  <w:tcBorders>
                    <w:right w:val="single" w:color="auto" w:sz="4" w:space="0"/>
                  </w:tcBorders>
                  <w:shd w:val="clear" w:color="auto" w:fill="auto"/>
                  <w:noWrap w:val="0"/>
                  <w:vAlign w:val="center"/>
                </w:tcPr>
                <w:p w14:paraId="63626B8C">
                  <w:pPr>
                    <w:jc w:val="center"/>
                    <w:rPr>
                      <w:kern w:val="0"/>
                      <w:szCs w:val="21"/>
                    </w:rPr>
                  </w:pPr>
                  <w:r>
                    <w:rPr>
                      <w:rFonts w:hint="eastAsia"/>
                      <w:kern w:val="0"/>
                      <w:szCs w:val="21"/>
                    </w:rPr>
                    <w:t>主要污染物</w:t>
                  </w:r>
                </w:p>
              </w:tc>
              <w:tc>
                <w:tcPr>
                  <w:tcW w:w="3127" w:type="dxa"/>
                  <w:vMerge w:val="restart"/>
                  <w:tcBorders>
                    <w:left w:val="single" w:color="auto" w:sz="4" w:space="0"/>
                  </w:tcBorders>
                  <w:shd w:val="clear" w:color="auto" w:fill="auto"/>
                  <w:noWrap w:val="0"/>
                  <w:vAlign w:val="center"/>
                </w:tcPr>
                <w:p w14:paraId="60789D57">
                  <w:pPr>
                    <w:jc w:val="center"/>
                    <w:rPr>
                      <w:kern w:val="0"/>
                      <w:szCs w:val="21"/>
                    </w:rPr>
                  </w:pPr>
                  <w:r>
                    <w:rPr>
                      <w:rFonts w:hint="eastAsia"/>
                      <w:kern w:val="0"/>
                      <w:szCs w:val="21"/>
                    </w:rPr>
                    <w:t>可行技术</w:t>
                  </w:r>
                </w:p>
              </w:tc>
              <w:tc>
                <w:tcPr>
                  <w:tcW w:w="2521" w:type="dxa"/>
                  <w:gridSpan w:val="2"/>
                  <w:shd w:val="clear" w:color="auto" w:fill="auto"/>
                  <w:noWrap w:val="0"/>
                  <w:vAlign w:val="center"/>
                </w:tcPr>
                <w:p w14:paraId="3065EB4B">
                  <w:pPr>
                    <w:jc w:val="center"/>
                    <w:rPr>
                      <w:kern w:val="0"/>
                      <w:szCs w:val="21"/>
                    </w:rPr>
                  </w:pPr>
                  <w:r>
                    <w:rPr>
                      <w:rFonts w:hint="eastAsia"/>
                      <w:kern w:val="0"/>
                      <w:szCs w:val="21"/>
                    </w:rPr>
                    <w:t>本项目</w:t>
                  </w:r>
                </w:p>
              </w:tc>
            </w:tr>
            <w:tr w14:paraId="01438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3" w:type="dxa"/>
                  <w:vMerge w:val="continue"/>
                  <w:shd w:val="clear" w:color="auto" w:fill="auto"/>
                  <w:noWrap w:val="0"/>
                  <w:vAlign w:val="center"/>
                </w:tcPr>
                <w:p w14:paraId="1A3827B0">
                  <w:pPr>
                    <w:tabs>
                      <w:tab w:val="left" w:pos="225"/>
                    </w:tabs>
                    <w:jc w:val="center"/>
                    <w:rPr>
                      <w:kern w:val="0"/>
                      <w:szCs w:val="21"/>
                    </w:rPr>
                  </w:pPr>
                </w:p>
              </w:tc>
              <w:tc>
                <w:tcPr>
                  <w:tcW w:w="1550" w:type="dxa"/>
                  <w:vMerge w:val="continue"/>
                  <w:tcBorders>
                    <w:right w:val="single" w:color="auto" w:sz="4" w:space="0"/>
                  </w:tcBorders>
                  <w:shd w:val="clear" w:color="auto" w:fill="auto"/>
                  <w:noWrap w:val="0"/>
                  <w:vAlign w:val="center"/>
                </w:tcPr>
                <w:p w14:paraId="49DA4AA7">
                  <w:pPr>
                    <w:jc w:val="center"/>
                    <w:rPr>
                      <w:kern w:val="0"/>
                      <w:szCs w:val="21"/>
                    </w:rPr>
                  </w:pPr>
                </w:p>
              </w:tc>
              <w:tc>
                <w:tcPr>
                  <w:tcW w:w="3127" w:type="dxa"/>
                  <w:vMerge w:val="continue"/>
                  <w:tcBorders>
                    <w:left w:val="single" w:color="auto" w:sz="4" w:space="0"/>
                  </w:tcBorders>
                  <w:shd w:val="clear" w:color="auto" w:fill="auto"/>
                  <w:noWrap w:val="0"/>
                  <w:vAlign w:val="center"/>
                </w:tcPr>
                <w:p w14:paraId="5949EB23">
                  <w:pPr>
                    <w:jc w:val="center"/>
                    <w:rPr>
                      <w:kern w:val="0"/>
                      <w:szCs w:val="21"/>
                    </w:rPr>
                  </w:pPr>
                </w:p>
              </w:tc>
              <w:tc>
                <w:tcPr>
                  <w:tcW w:w="1701" w:type="dxa"/>
                  <w:shd w:val="clear" w:color="auto" w:fill="auto"/>
                  <w:noWrap w:val="0"/>
                  <w:vAlign w:val="center"/>
                </w:tcPr>
                <w:p w14:paraId="533EBD6D">
                  <w:pPr>
                    <w:jc w:val="center"/>
                    <w:rPr>
                      <w:kern w:val="0"/>
                      <w:szCs w:val="21"/>
                    </w:rPr>
                  </w:pPr>
                  <w:r>
                    <w:rPr>
                      <w:rFonts w:hint="eastAsia"/>
                      <w:kern w:val="0"/>
                      <w:szCs w:val="21"/>
                    </w:rPr>
                    <w:t>措施</w:t>
                  </w:r>
                </w:p>
              </w:tc>
              <w:tc>
                <w:tcPr>
                  <w:tcW w:w="820" w:type="dxa"/>
                  <w:shd w:val="clear" w:color="auto" w:fill="auto"/>
                  <w:noWrap w:val="0"/>
                  <w:vAlign w:val="center"/>
                </w:tcPr>
                <w:p w14:paraId="23806B10">
                  <w:pPr>
                    <w:jc w:val="center"/>
                    <w:rPr>
                      <w:kern w:val="0"/>
                      <w:szCs w:val="21"/>
                    </w:rPr>
                  </w:pPr>
                  <w:r>
                    <w:rPr>
                      <w:rFonts w:hint="eastAsia"/>
                      <w:kern w:val="0"/>
                      <w:szCs w:val="21"/>
                    </w:rPr>
                    <w:t>结论</w:t>
                  </w:r>
                </w:p>
              </w:tc>
            </w:tr>
            <w:tr w14:paraId="1BC80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3" w:type="dxa"/>
                  <w:shd w:val="clear" w:color="auto" w:fill="auto"/>
                  <w:noWrap w:val="0"/>
                  <w:vAlign w:val="center"/>
                </w:tcPr>
                <w:p w14:paraId="52C27A0F">
                  <w:pPr>
                    <w:jc w:val="center"/>
                    <w:rPr>
                      <w:rFonts w:hint="eastAsia" w:eastAsia="宋体"/>
                      <w:kern w:val="0"/>
                      <w:szCs w:val="21"/>
                      <w:lang w:eastAsia="zh-CN"/>
                    </w:rPr>
                  </w:pPr>
                  <w:r>
                    <w:rPr>
                      <w:rFonts w:hint="eastAsia"/>
                      <w:kern w:val="0"/>
                      <w:szCs w:val="21"/>
                      <w:lang w:eastAsia="zh-CN"/>
                    </w:rPr>
                    <w:t>干燥</w:t>
                  </w:r>
                </w:p>
              </w:tc>
              <w:tc>
                <w:tcPr>
                  <w:tcW w:w="1550" w:type="dxa"/>
                  <w:tcBorders>
                    <w:right w:val="single" w:color="auto" w:sz="4" w:space="0"/>
                  </w:tcBorders>
                  <w:shd w:val="clear" w:color="auto" w:fill="auto"/>
                  <w:noWrap w:val="0"/>
                  <w:vAlign w:val="center"/>
                </w:tcPr>
                <w:p w14:paraId="6696AD91">
                  <w:pPr>
                    <w:jc w:val="center"/>
                    <w:rPr>
                      <w:rFonts w:hint="default" w:eastAsia="宋体"/>
                      <w:kern w:val="0"/>
                      <w:szCs w:val="21"/>
                      <w:lang w:val="en-US" w:eastAsia="zh-CN"/>
                    </w:rPr>
                  </w:pPr>
                  <w:r>
                    <w:rPr>
                      <w:rFonts w:hint="eastAsia"/>
                      <w:kern w:val="0"/>
                      <w:szCs w:val="21"/>
                    </w:rPr>
                    <w:t>颗粒物</w:t>
                  </w:r>
                  <w:r>
                    <w:rPr>
                      <w:rFonts w:hint="eastAsia"/>
                      <w:kern w:val="0"/>
                      <w:szCs w:val="21"/>
                      <w:lang w:eastAsia="zh-CN"/>
                    </w:rPr>
                    <w:t>、</w:t>
                  </w:r>
                  <w:r>
                    <w:rPr>
                      <w:rFonts w:hint="eastAsia"/>
                      <w:kern w:val="0"/>
                      <w:szCs w:val="21"/>
                      <w:lang w:val="en-US" w:eastAsia="zh-CN"/>
                    </w:rPr>
                    <w:t>VOCs、其他</w:t>
                  </w:r>
                </w:p>
              </w:tc>
              <w:tc>
                <w:tcPr>
                  <w:tcW w:w="3127" w:type="dxa"/>
                  <w:tcBorders>
                    <w:left w:val="single" w:color="auto" w:sz="4" w:space="0"/>
                  </w:tcBorders>
                  <w:shd w:val="clear" w:color="auto" w:fill="auto"/>
                  <w:noWrap w:val="0"/>
                  <w:vAlign w:val="center"/>
                </w:tcPr>
                <w:p w14:paraId="1795DF04">
                  <w:pPr>
                    <w:jc w:val="center"/>
                    <w:rPr>
                      <w:kern w:val="0"/>
                      <w:szCs w:val="21"/>
                    </w:rPr>
                  </w:pPr>
                  <w:r>
                    <w:rPr>
                      <w:rFonts w:hint="eastAsia"/>
                      <w:kern w:val="0"/>
                      <w:szCs w:val="21"/>
                    </w:rPr>
                    <w:t>袋式除尘；旋风除尘；湿法除尘；活性炭吸附；冷凝；其他</w:t>
                  </w:r>
                </w:p>
              </w:tc>
              <w:tc>
                <w:tcPr>
                  <w:tcW w:w="1701" w:type="dxa"/>
                  <w:shd w:val="clear" w:color="auto" w:fill="auto"/>
                  <w:noWrap w:val="0"/>
                  <w:vAlign w:val="center"/>
                </w:tcPr>
                <w:p w14:paraId="22716536">
                  <w:pPr>
                    <w:jc w:val="center"/>
                    <w:rPr>
                      <w:rFonts w:hint="eastAsia" w:eastAsia="宋体"/>
                      <w:kern w:val="0"/>
                      <w:szCs w:val="21"/>
                      <w:lang w:eastAsia="zh-CN"/>
                    </w:rPr>
                  </w:pPr>
                  <w:r>
                    <w:rPr>
                      <w:rFonts w:hint="eastAsia"/>
                      <w:kern w:val="0"/>
                      <w:szCs w:val="21"/>
                    </w:rPr>
                    <w:t>旋风+</w:t>
                  </w:r>
                  <w:r>
                    <w:rPr>
                      <w:rFonts w:hint="eastAsia"/>
                      <w:kern w:val="0"/>
                      <w:szCs w:val="21"/>
                      <w:lang w:eastAsia="zh-CN"/>
                    </w:rPr>
                    <w:t>二级水膜</w:t>
                  </w:r>
                </w:p>
              </w:tc>
              <w:tc>
                <w:tcPr>
                  <w:tcW w:w="820" w:type="dxa"/>
                  <w:shd w:val="clear" w:color="auto" w:fill="auto"/>
                  <w:noWrap w:val="0"/>
                  <w:vAlign w:val="center"/>
                </w:tcPr>
                <w:p w14:paraId="1424DA3F">
                  <w:pPr>
                    <w:jc w:val="center"/>
                    <w:rPr>
                      <w:kern w:val="0"/>
                      <w:szCs w:val="21"/>
                    </w:rPr>
                  </w:pPr>
                  <w:r>
                    <w:rPr>
                      <w:rFonts w:hint="eastAsia"/>
                      <w:kern w:val="0"/>
                      <w:szCs w:val="21"/>
                    </w:rPr>
                    <w:t>可行技术</w:t>
                  </w:r>
                </w:p>
              </w:tc>
            </w:tr>
          </w:tbl>
          <w:p w14:paraId="31B78AFF">
            <w:pPr>
              <w:spacing w:line="500" w:lineRule="exact"/>
              <w:ind w:firstLine="480" w:firstLineChars="200"/>
              <w:jc w:val="left"/>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⑵</w:t>
            </w:r>
            <w:r>
              <w:rPr>
                <w:rFonts w:hint="eastAsia" w:ascii="Times New Roman" w:hAnsi="Times New Roman" w:eastAsia="宋体" w:cs="Times New Roman"/>
                <w:kern w:val="0"/>
                <w:sz w:val="24"/>
                <w:lang w:eastAsia="zh-CN"/>
              </w:rPr>
              <w:t>有机废气</w:t>
            </w:r>
          </w:p>
          <w:p w14:paraId="56F70DE2">
            <w:pPr>
              <w:spacing w:line="500" w:lineRule="exact"/>
              <w:ind w:firstLine="480" w:firstLineChars="200"/>
              <w:jc w:val="left"/>
              <w:rPr>
                <w:rFonts w:hint="default" w:ascii="Segoe UI" w:hAnsi="Segoe UI" w:eastAsia="Segoe UI" w:cs="Segoe UI"/>
                <w:i w:val="0"/>
                <w:iCs w:val="0"/>
                <w:caps w:val="0"/>
                <w:spacing w:val="0"/>
                <w:sz w:val="24"/>
                <w:szCs w:val="24"/>
                <w:lang w:val="en-US"/>
              </w:rPr>
            </w:pPr>
            <w:r>
              <w:rPr>
                <w:rFonts w:hint="eastAsia" w:ascii="Times New Roman" w:hAnsi="Times New Roman" w:eastAsia="宋体" w:cs="Times New Roman"/>
                <w:kern w:val="0"/>
                <w:sz w:val="24"/>
                <w:lang w:eastAsia="zh-CN"/>
              </w:rPr>
              <w:t>本次采用二级水膜对有机废气进行处理，本项目自身点燃甲醛尾气及干燥减水剂的过程属于有机废气的一种处理措施，同时根据甲醛的</w:t>
            </w:r>
            <w:r>
              <w:rPr>
                <w:rFonts w:hint="eastAsia" w:ascii="Times New Roman" w:hAnsi="Times New Roman" w:eastAsia="宋体" w:cs="Times New Roman"/>
                <w:kern w:val="0"/>
                <w:sz w:val="24"/>
                <w:lang w:val="en-US" w:eastAsia="zh-CN"/>
              </w:rPr>
              <w:t>MSDS，</w:t>
            </w:r>
            <w:r>
              <w:rPr>
                <w:rFonts w:ascii="Times New Roman" w:hAnsi="Times New Roman" w:eastAsia="宋体" w:cs="Times New Roman"/>
                <w:kern w:val="0"/>
                <w:sz w:val="24"/>
              </w:rPr>
              <w:t>甲醛是一种易溶于水的气体，在水膜吸收过程中，当含甲醛废气与水膜接触时，基于相似相溶原理，甲醛分子会迅速溶解于水膜中。</w:t>
            </w:r>
            <w:r>
              <w:rPr>
                <w:rFonts w:hint="eastAsia" w:ascii="Times New Roman" w:hAnsi="Times New Roman" w:eastAsia="宋体" w:cs="Times New Roman"/>
                <w:kern w:val="0"/>
                <w:sz w:val="24"/>
                <w:lang w:eastAsia="zh-CN"/>
              </w:rPr>
              <w:t>萘</w:t>
            </w:r>
            <w:r>
              <w:rPr>
                <w:rFonts w:hint="eastAsia" w:ascii="Times New Roman" w:hAnsi="Times New Roman" w:eastAsia="宋体" w:cs="Times New Roman"/>
                <w:b w:val="0"/>
                <w:bCs/>
                <w:sz w:val="24"/>
                <w:szCs w:val="24"/>
                <w:lang w:val="en-US" w:eastAsia="zh-CN"/>
              </w:rPr>
              <w:t>在水中的溶解度相对较小，但在两级水膜吸收系统中，水膜具有较大的表面积。当含萘废气通过水膜时，萘分子会因分子间的范德华力被吸附在水膜表面，部分萘分子也会缓慢溶解于水中。同时根据《年产10万吨减水剂和5万吨甲醛项目环境影响报告书》，干燥废气采用的治理措施为旋风除尘+二级水喷淋，措施可行。</w:t>
            </w:r>
          </w:p>
          <w:p w14:paraId="64DBACE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rFonts w:hint="eastAsia"/>
                <w:b/>
                <w:kern w:val="0"/>
                <w:sz w:val="24"/>
              </w:rPr>
              <w:t>7、环境</w:t>
            </w:r>
            <w:r>
              <w:rPr>
                <w:b/>
                <w:kern w:val="0"/>
                <w:sz w:val="24"/>
              </w:rPr>
              <w:t>影响分析</w:t>
            </w:r>
          </w:p>
          <w:p w14:paraId="3353D8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Ansi="宋体"/>
                <w:sz w:val="24"/>
              </w:rPr>
            </w:pPr>
            <w:r>
              <w:rPr>
                <w:rFonts w:hint="eastAsia" w:ascii="宋体" w:hAnsi="宋体" w:cs="宋体"/>
                <w:kern w:val="0"/>
                <w:sz w:val="24"/>
              </w:rPr>
              <w:t>本项目位于</w:t>
            </w:r>
            <w:r>
              <w:rPr>
                <w:rFonts w:hint="eastAsia" w:hAnsi="宋体"/>
                <w:sz w:val="24"/>
                <w:lang w:eastAsia="zh-CN"/>
              </w:rPr>
              <w:t>长青</w:t>
            </w:r>
            <w:r>
              <w:rPr>
                <w:rFonts w:hAnsi="宋体"/>
                <w:sz w:val="24"/>
              </w:rPr>
              <w:t>产业园，</w:t>
            </w:r>
            <w:r>
              <w:rPr>
                <w:kern w:val="0"/>
                <w:sz w:val="24"/>
              </w:rPr>
              <w:t>项目位于二类环境空气质量功能区，项目废气主要为颗粒物、</w:t>
            </w:r>
            <w:r>
              <w:rPr>
                <w:rFonts w:hint="eastAsia"/>
                <w:kern w:val="0"/>
                <w:sz w:val="24"/>
                <w:lang w:eastAsia="zh-CN"/>
              </w:rPr>
              <w:t>甲醛</w:t>
            </w:r>
            <w:r>
              <w:rPr>
                <w:kern w:val="0"/>
                <w:sz w:val="24"/>
              </w:rPr>
              <w:t>、氮氧化物</w:t>
            </w:r>
            <w:r>
              <w:rPr>
                <w:rFonts w:hint="eastAsia"/>
                <w:kern w:val="0"/>
                <w:sz w:val="24"/>
                <w:lang w:eastAsia="zh-CN"/>
              </w:rPr>
              <w:t>、非甲烷总烃</w:t>
            </w:r>
            <w:r>
              <w:rPr>
                <w:kern w:val="0"/>
                <w:sz w:val="24"/>
              </w:rPr>
              <w:t>，各污染源均按照规范要求</w:t>
            </w:r>
            <w:r>
              <w:rPr>
                <w:rFonts w:hint="eastAsia"/>
                <w:kern w:val="0"/>
                <w:sz w:val="24"/>
              </w:rPr>
              <w:t>采取</w:t>
            </w:r>
            <w:r>
              <w:rPr>
                <w:kern w:val="0"/>
                <w:sz w:val="24"/>
              </w:rPr>
              <w:t>了可行技术</w:t>
            </w:r>
            <w:r>
              <w:rPr>
                <w:rFonts w:hint="eastAsia"/>
                <w:kern w:val="0"/>
                <w:sz w:val="24"/>
              </w:rPr>
              <w:t>；</w:t>
            </w:r>
            <w:r>
              <w:rPr>
                <w:kern w:val="0"/>
                <w:sz w:val="24"/>
              </w:rPr>
              <w:t>经计算，项目运营期产生的废气污染物经相应的污染治理措施处理后可满足相应标准达标排放，项目废气排放对周围大气环境影响较小，不会改变环境功能区。</w:t>
            </w:r>
          </w:p>
          <w:p w14:paraId="3C2C77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kern w:val="0"/>
                <w:sz w:val="24"/>
              </w:rPr>
            </w:pPr>
            <w:r>
              <w:rPr>
                <w:rFonts w:hint="eastAsia"/>
                <w:b/>
                <w:kern w:val="0"/>
                <w:sz w:val="24"/>
              </w:rPr>
              <w:t>8、废气自行监测要求</w:t>
            </w:r>
          </w:p>
          <w:p w14:paraId="7A3324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kern w:val="0"/>
                <w:sz w:val="24"/>
              </w:rPr>
            </w:pPr>
            <w:r>
              <w:rPr>
                <w:rFonts w:ascii="Times New Roman" w:hAnsi="Times New Roman" w:eastAsia="宋体" w:cs="Times New Roman"/>
                <w:kern w:val="0"/>
                <w:sz w:val="24"/>
              </w:rPr>
              <w:t>在运营</w:t>
            </w:r>
            <w:r>
              <w:rPr>
                <w:rFonts w:hint="eastAsia" w:ascii="Times New Roman" w:hAnsi="Times New Roman" w:eastAsia="宋体" w:cs="Times New Roman"/>
                <w:kern w:val="0"/>
                <w:sz w:val="24"/>
              </w:rPr>
              <w:t>期间</w:t>
            </w:r>
            <w:r>
              <w:rPr>
                <w:rFonts w:ascii="Times New Roman" w:hAnsi="Times New Roman" w:eastAsia="宋体" w:cs="Times New Roman"/>
                <w:kern w:val="0"/>
                <w:sz w:val="24"/>
              </w:rPr>
              <w:t>应对污染源按排污许可证规定的监测点位、监测因子、监测频次和相关监测技术规范开展自行监测并公开。</w:t>
            </w:r>
          </w:p>
          <w:p w14:paraId="38E03F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kern w:val="0"/>
                <w:sz w:val="24"/>
              </w:rPr>
            </w:pPr>
            <w:r>
              <w:rPr>
                <w:rFonts w:ascii="Times New Roman" w:hAnsi="Times New Roman" w:eastAsia="宋体" w:cs="Times New Roman"/>
                <w:kern w:val="0"/>
                <w:sz w:val="24"/>
              </w:rPr>
              <w:t>项目运营后监测工作可委托有资质的监测单位进行，并做好监测数据的报告和存档，</w:t>
            </w:r>
            <w:r>
              <w:rPr>
                <w:rFonts w:hint="eastAsia" w:ascii="Times New Roman" w:hAnsi="Times New Roman" w:eastAsia="宋体" w:cs="Times New Roman"/>
                <w:kern w:val="0"/>
                <w:sz w:val="24"/>
                <w:lang w:eastAsia="zh-CN"/>
              </w:rPr>
              <w:t>本项目现有的污染物参照</w:t>
            </w:r>
            <w:r>
              <w:rPr>
                <w:rFonts w:ascii="Times New Roman" w:hAnsi="Times New Roman" w:eastAsia="宋体" w:cs="Times New Roman"/>
                <w:kern w:val="0"/>
                <w:sz w:val="24"/>
                <w:lang w:val="zh-CN"/>
              </w:rPr>
              <w:t>《排污单位自行监测技术指南-总则》（HJ 819-2017）</w:t>
            </w:r>
            <w:r>
              <w:rPr>
                <w:rFonts w:hint="eastAsia" w:ascii="Times New Roman" w:hAnsi="Times New Roman" w:eastAsia="宋体" w:cs="Times New Roman"/>
                <w:kern w:val="0"/>
                <w:sz w:val="24"/>
                <w:lang w:val="zh-CN"/>
              </w:rPr>
              <w:t>和</w:t>
            </w:r>
            <w:r>
              <w:rPr>
                <w:rFonts w:ascii="Times New Roman" w:hAnsi="Times New Roman" w:eastAsia="宋体" w:cs="Times New Roman"/>
                <w:kern w:val="0"/>
                <w:sz w:val="24"/>
                <w:lang w:val="zh-CN"/>
              </w:rPr>
              <w:t>《排污单位自行监测技术指南-</w:t>
            </w:r>
            <w:r>
              <w:rPr>
                <w:rFonts w:hint="eastAsia" w:ascii="Times New Roman" w:hAnsi="Times New Roman" w:eastAsia="宋体" w:cs="Times New Roman"/>
                <w:kern w:val="0"/>
                <w:sz w:val="24"/>
              </w:rPr>
              <w:t>石油化学工业</w:t>
            </w:r>
            <w:r>
              <w:rPr>
                <w:rFonts w:ascii="Times New Roman" w:hAnsi="Times New Roman" w:eastAsia="宋体" w:cs="Times New Roman"/>
                <w:kern w:val="0"/>
                <w:sz w:val="24"/>
                <w:lang w:val="zh-CN"/>
              </w:rPr>
              <w:t>》（</w:t>
            </w:r>
            <w:r>
              <w:rPr>
                <w:rFonts w:ascii="Times New Roman" w:hAnsi="Times New Roman" w:eastAsia="宋体" w:cs="Times New Roman"/>
                <w:kern w:val="0"/>
                <w:sz w:val="24"/>
              </w:rPr>
              <w:t>HJ947-2018</w:t>
            </w:r>
            <w:r>
              <w:rPr>
                <w:rFonts w:ascii="Times New Roman" w:hAnsi="Times New Roman" w:eastAsia="宋体" w:cs="Times New Roman"/>
                <w:kern w:val="0"/>
                <w:sz w:val="24"/>
                <w:lang w:val="zh-CN"/>
              </w:rPr>
              <w:t>）</w:t>
            </w:r>
            <w:r>
              <w:rPr>
                <w:rFonts w:hint="eastAsia" w:ascii="Times New Roman" w:hAnsi="Times New Roman" w:eastAsia="宋体" w:cs="Times New Roman"/>
                <w:kern w:val="0"/>
                <w:sz w:val="24"/>
                <w:lang w:val="zh-CN"/>
              </w:rPr>
              <w:t>制定，</w:t>
            </w:r>
            <w:r>
              <w:rPr>
                <w:kern w:val="0"/>
                <w:sz w:val="24"/>
              </w:rPr>
              <w:t>本项目建成后</w:t>
            </w:r>
            <w:r>
              <w:rPr>
                <w:rFonts w:hint="eastAsia"/>
                <w:kern w:val="0"/>
                <w:sz w:val="24"/>
                <w:lang w:eastAsia="zh-CN"/>
              </w:rPr>
              <w:t>现有排气筒监测因子、频次均不发生变化</w:t>
            </w:r>
            <w:r>
              <w:rPr>
                <w:kern w:val="0"/>
                <w:sz w:val="24"/>
              </w:rPr>
              <w:t>，</w:t>
            </w:r>
            <w:r>
              <w:rPr>
                <w:rFonts w:hint="eastAsia"/>
                <w:kern w:val="0"/>
                <w:sz w:val="24"/>
                <w:lang w:eastAsia="zh-CN"/>
              </w:rPr>
              <w:t>厂界无组织排放因子</w:t>
            </w:r>
            <w:r>
              <w:rPr>
                <w:kern w:val="0"/>
                <w:sz w:val="24"/>
              </w:rPr>
              <w:t>与本项目相关的污染物</w:t>
            </w:r>
            <w:r>
              <w:rPr>
                <w:rFonts w:hint="eastAsia"/>
                <w:kern w:val="0"/>
                <w:sz w:val="24"/>
                <w:lang w:eastAsia="zh-CN"/>
              </w:rPr>
              <w:t>均按现有的厂界无组织排放因子监测频次执行</w:t>
            </w:r>
            <w:r>
              <w:rPr>
                <w:kern w:val="0"/>
                <w:sz w:val="24"/>
              </w:rPr>
              <w:t>，具体见下表。</w:t>
            </w:r>
          </w:p>
          <w:p w14:paraId="30F16C74">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eastAsia="宋体"/>
                <w:szCs w:val="24"/>
              </w:rPr>
            </w:pPr>
          </w:p>
          <w:p w14:paraId="2B5608C0">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eastAsia="宋体"/>
                <w:szCs w:val="24"/>
              </w:rPr>
            </w:pPr>
          </w:p>
          <w:p w14:paraId="668C9DDD">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eastAsia="宋体"/>
                <w:szCs w:val="24"/>
              </w:rPr>
            </w:pPr>
          </w:p>
          <w:p w14:paraId="309D0C81">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eastAsia="宋体"/>
                <w:szCs w:val="24"/>
              </w:rPr>
            </w:pPr>
          </w:p>
          <w:p w14:paraId="02CEDAB8">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eastAsia="宋体"/>
                <w:sz w:val="21"/>
                <w:szCs w:val="21"/>
              </w:rPr>
            </w:pPr>
            <w:r>
              <w:rPr>
                <w:rFonts w:eastAsia="宋体"/>
                <w:szCs w:val="24"/>
              </w:rPr>
              <w:t>表</w:t>
            </w:r>
            <w:r>
              <w:rPr>
                <w:rFonts w:hint="eastAsia" w:eastAsia="宋体"/>
                <w:szCs w:val="24"/>
              </w:rPr>
              <w:t>4-</w:t>
            </w:r>
            <w:r>
              <w:rPr>
                <w:rFonts w:hint="eastAsia" w:eastAsia="宋体"/>
                <w:szCs w:val="24"/>
                <w:lang w:val="en-US" w:eastAsia="zh-CN"/>
              </w:rPr>
              <w:t>14</w:t>
            </w:r>
            <w:r>
              <w:rPr>
                <w:rFonts w:eastAsia="宋体"/>
                <w:szCs w:val="24"/>
              </w:rPr>
              <w:t xml:space="preserve">  项目废气污染源监测内容及计划</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7"/>
              <w:gridCol w:w="1286"/>
              <w:gridCol w:w="2293"/>
              <w:gridCol w:w="1158"/>
              <w:gridCol w:w="2461"/>
            </w:tblGrid>
            <w:tr w14:paraId="6A61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3" w:hRule="atLeast"/>
                <w:jc w:val="center"/>
              </w:trPr>
              <w:tc>
                <w:tcPr>
                  <w:tcW w:w="498" w:type="pct"/>
                  <w:shd w:val="clear" w:color="auto" w:fill="auto"/>
                  <w:noWrap w:val="0"/>
                  <w:vAlign w:val="center"/>
                </w:tcPr>
                <w:p w14:paraId="66753A02">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污染源</w:t>
                  </w:r>
                </w:p>
              </w:tc>
              <w:tc>
                <w:tcPr>
                  <w:tcW w:w="804" w:type="pct"/>
                  <w:shd w:val="clear" w:color="auto" w:fill="auto"/>
                  <w:noWrap w:val="0"/>
                  <w:vAlign w:val="center"/>
                </w:tcPr>
                <w:p w14:paraId="3301C0F1">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监测点位</w:t>
                  </w:r>
                </w:p>
              </w:tc>
              <w:tc>
                <w:tcPr>
                  <w:tcW w:w="1433" w:type="pct"/>
                  <w:shd w:val="clear" w:color="auto" w:fill="auto"/>
                  <w:noWrap w:val="0"/>
                  <w:vAlign w:val="center"/>
                </w:tcPr>
                <w:p w14:paraId="25FEB149">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监测因子</w:t>
                  </w:r>
                </w:p>
              </w:tc>
              <w:tc>
                <w:tcPr>
                  <w:tcW w:w="724" w:type="pct"/>
                  <w:shd w:val="clear" w:color="auto" w:fill="auto"/>
                  <w:noWrap w:val="0"/>
                  <w:vAlign w:val="center"/>
                </w:tcPr>
                <w:p w14:paraId="29FE67B6">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监测频次</w:t>
                  </w:r>
                </w:p>
              </w:tc>
              <w:tc>
                <w:tcPr>
                  <w:tcW w:w="1538" w:type="pct"/>
                  <w:shd w:val="clear" w:color="auto" w:fill="auto"/>
                  <w:noWrap w:val="0"/>
                  <w:vAlign w:val="center"/>
                </w:tcPr>
                <w:p w14:paraId="2A2D5FE7">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控制指标</w:t>
                  </w:r>
                </w:p>
              </w:tc>
            </w:tr>
            <w:tr w14:paraId="3A54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8" w:type="pct"/>
                  <w:vMerge w:val="restart"/>
                  <w:shd w:val="clear" w:color="auto" w:fill="auto"/>
                  <w:noWrap w:val="0"/>
                  <w:vAlign w:val="center"/>
                </w:tcPr>
                <w:p w14:paraId="756D7639">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804" w:type="pct"/>
                  <w:vMerge w:val="restart"/>
                  <w:shd w:val="clear" w:color="auto" w:fill="auto"/>
                  <w:noWrap w:val="0"/>
                  <w:vAlign w:val="center"/>
                </w:tcPr>
                <w:p w14:paraId="40099C4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干燥</w:t>
                  </w:r>
                  <w:r>
                    <w:rPr>
                      <w:rFonts w:hint="default" w:ascii="Times New Roman" w:hAnsi="Times New Roman" w:cs="Times New Roman"/>
                      <w:sz w:val="21"/>
                      <w:szCs w:val="21"/>
                    </w:rPr>
                    <w:t>排气筒</w:t>
                  </w:r>
                </w:p>
              </w:tc>
              <w:tc>
                <w:tcPr>
                  <w:tcW w:w="1433" w:type="pct"/>
                  <w:shd w:val="clear" w:color="auto" w:fill="auto"/>
                  <w:noWrap w:val="0"/>
                  <w:vAlign w:val="center"/>
                </w:tcPr>
                <w:p w14:paraId="20F3BB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氮氧化物</w:t>
                  </w:r>
                </w:p>
              </w:tc>
              <w:tc>
                <w:tcPr>
                  <w:tcW w:w="724" w:type="pct"/>
                  <w:shd w:val="clear" w:color="auto" w:fill="auto"/>
                  <w:noWrap w:val="0"/>
                  <w:vAlign w:val="center"/>
                </w:tcPr>
                <w:p w14:paraId="74DEB5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rPr>
                    <w:t>1次/</w:t>
                  </w:r>
                  <w:r>
                    <w:rPr>
                      <w:rFonts w:hint="default" w:ascii="Times New Roman" w:hAnsi="Times New Roman" w:cs="Times New Roman"/>
                      <w:sz w:val="21"/>
                      <w:szCs w:val="21"/>
                      <w:lang w:val="en-US" w:eastAsia="zh-CN"/>
                    </w:rPr>
                    <w:t>月</w:t>
                  </w:r>
                </w:p>
              </w:tc>
              <w:tc>
                <w:tcPr>
                  <w:tcW w:w="1538" w:type="pct"/>
                  <w:vMerge w:val="restart"/>
                  <w:shd w:val="clear" w:color="auto" w:fill="auto"/>
                  <w:noWrap w:val="0"/>
                  <w:vAlign w:val="center"/>
                </w:tcPr>
                <w:p w14:paraId="383873C1">
                  <w:pPr>
                    <w:adjustRightInd w:val="0"/>
                    <w:snapToGrid w:val="0"/>
                    <w:jc w:val="center"/>
                    <w:rPr>
                      <w:rFonts w:hint="default" w:ascii="Times New Roman" w:hAnsi="Times New Roman" w:cs="Times New Roman"/>
                      <w:sz w:val="21"/>
                      <w:szCs w:val="21"/>
                    </w:rPr>
                  </w:pP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lang w:val="en-US"/>
                    </w:rPr>
                    <w:t>石油化学工业污染物排放标准</w:t>
                  </w: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lang w:val="en-US"/>
                    </w:rPr>
                    <w:t>GB31571-2015</w:t>
                  </w:r>
                  <w:r>
                    <w:rPr>
                      <w:rFonts w:hint="default" w:ascii="Times New Roman" w:hAnsi="Times New Roman" w:cs="Times New Roman"/>
                      <w:bCs/>
                      <w:sz w:val="21"/>
                      <w:szCs w:val="21"/>
                      <w:lang w:val="en-US" w:eastAsia="zh-CN"/>
                    </w:rPr>
                    <w:t>）</w:t>
                  </w:r>
                </w:p>
              </w:tc>
            </w:tr>
            <w:tr w14:paraId="5858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8" w:type="pct"/>
                  <w:vMerge w:val="continue"/>
                  <w:shd w:val="clear" w:color="auto" w:fill="auto"/>
                  <w:noWrap w:val="0"/>
                  <w:vAlign w:val="center"/>
                </w:tcPr>
                <w:p w14:paraId="32A4E186">
                  <w:pPr>
                    <w:adjustRightInd w:val="0"/>
                    <w:snapToGrid w:val="0"/>
                    <w:jc w:val="center"/>
                    <w:rPr>
                      <w:rFonts w:hint="default" w:ascii="Times New Roman" w:hAnsi="Times New Roman" w:cs="Times New Roman"/>
                      <w:sz w:val="21"/>
                      <w:szCs w:val="21"/>
                    </w:rPr>
                  </w:pPr>
                </w:p>
              </w:tc>
              <w:tc>
                <w:tcPr>
                  <w:tcW w:w="804" w:type="pct"/>
                  <w:vMerge w:val="continue"/>
                  <w:shd w:val="clear" w:color="auto" w:fill="auto"/>
                  <w:noWrap w:val="0"/>
                  <w:vAlign w:val="center"/>
                </w:tcPr>
                <w:p w14:paraId="16975111">
                  <w:pPr>
                    <w:adjustRightInd w:val="0"/>
                    <w:snapToGrid w:val="0"/>
                    <w:jc w:val="center"/>
                    <w:rPr>
                      <w:rFonts w:hint="default" w:ascii="Times New Roman" w:hAnsi="Times New Roman" w:cs="Times New Roman"/>
                      <w:sz w:val="21"/>
                      <w:szCs w:val="21"/>
                    </w:rPr>
                  </w:pPr>
                </w:p>
              </w:tc>
              <w:tc>
                <w:tcPr>
                  <w:tcW w:w="1433" w:type="pct"/>
                  <w:shd w:val="clear" w:color="auto" w:fill="auto"/>
                  <w:noWrap w:val="0"/>
                  <w:vAlign w:val="center"/>
                </w:tcPr>
                <w:p w14:paraId="7EAD1D3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颗粒物</w:t>
                  </w:r>
                </w:p>
              </w:tc>
              <w:tc>
                <w:tcPr>
                  <w:tcW w:w="724" w:type="pct"/>
                  <w:shd w:val="clear" w:color="auto" w:fill="auto"/>
                  <w:noWrap w:val="0"/>
                  <w:vAlign w:val="center"/>
                </w:tcPr>
                <w:p w14:paraId="6977C7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rPr>
                    <w:t>1次/</w:t>
                  </w:r>
                  <w:r>
                    <w:rPr>
                      <w:rFonts w:hint="default" w:ascii="Times New Roman" w:hAnsi="Times New Roman" w:cs="Times New Roman"/>
                      <w:sz w:val="21"/>
                      <w:szCs w:val="21"/>
                      <w:lang w:val="en-US" w:eastAsia="zh-CN"/>
                    </w:rPr>
                    <w:t>月</w:t>
                  </w:r>
                </w:p>
              </w:tc>
              <w:tc>
                <w:tcPr>
                  <w:tcW w:w="1538" w:type="pct"/>
                  <w:vMerge w:val="continue"/>
                  <w:shd w:val="clear" w:color="auto" w:fill="auto"/>
                  <w:noWrap w:val="0"/>
                  <w:vAlign w:val="center"/>
                </w:tcPr>
                <w:p w14:paraId="2ADE187F">
                  <w:pPr>
                    <w:adjustRightInd w:val="0"/>
                    <w:snapToGrid w:val="0"/>
                    <w:jc w:val="center"/>
                    <w:rPr>
                      <w:rFonts w:hint="default" w:ascii="Times New Roman" w:hAnsi="Times New Roman" w:cs="Times New Roman"/>
                      <w:sz w:val="21"/>
                      <w:szCs w:val="21"/>
                    </w:rPr>
                  </w:pPr>
                </w:p>
              </w:tc>
            </w:tr>
            <w:tr w14:paraId="5BD6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8" w:type="pct"/>
                  <w:vMerge w:val="continue"/>
                  <w:shd w:val="clear" w:color="auto" w:fill="auto"/>
                  <w:noWrap w:val="0"/>
                  <w:vAlign w:val="center"/>
                </w:tcPr>
                <w:p w14:paraId="76904699">
                  <w:pPr>
                    <w:adjustRightInd w:val="0"/>
                    <w:snapToGrid w:val="0"/>
                    <w:jc w:val="center"/>
                    <w:rPr>
                      <w:rFonts w:hint="default" w:ascii="Times New Roman" w:hAnsi="Times New Roman" w:cs="Times New Roman"/>
                      <w:sz w:val="21"/>
                      <w:szCs w:val="21"/>
                    </w:rPr>
                  </w:pPr>
                </w:p>
              </w:tc>
              <w:tc>
                <w:tcPr>
                  <w:tcW w:w="804" w:type="pct"/>
                  <w:vMerge w:val="continue"/>
                  <w:shd w:val="clear" w:color="auto" w:fill="auto"/>
                  <w:noWrap w:val="0"/>
                  <w:vAlign w:val="center"/>
                </w:tcPr>
                <w:p w14:paraId="31BBA383">
                  <w:pPr>
                    <w:adjustRightInd w:val="0"/>
                    <w:snapToGrid w:val="0"/>
                    <w:jc w:val="center"/>
                    <w:rPr>
                      <w:rFonts w:hint="default" w:ascii="Times New Roman" w:hAnsi="Times New Roman" w:cs="Times New Roman"/>
                      <w:sz w:val="21"/>
                      <w:szCs w:val="21"/>
                    </w:rPr>
                  </w:pPr>
                </w:p>
              </w:tc>
              <w:tc>
                <w:tcPr>
                  <w:tcW w:w="1433" w:type="pct"/>
                  <w:shd w:val="clear" w:color="auto" w:fill="auto"/>
                  <w:noWrap w:val="0"/>
                  <w:vAlign w:val="center"/>
                </w:tcPr>
                <w:p w14:paraId="56C57DC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甲醇</w:t>
                  </w:r>
                </w:p>
              </w:tc>
              <w:tc>
                <w:tcPr>
                  <w:tcW w:w="724" w:type="pct"/>
                  <w:shd w:val="clear" w:color="auto" w:fill="auto"/>
                  <w:noWrap w:val="0"/>
                  <w:vAlign w:val="center"/>
                </w:tcPr>
                <w:p w14:paraId="4BED46E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rPr>
                    <w:t>1次/半年</w:t>
                  </w:r>
                </w:p>
              </w:tc>
              <w:tc>
                <w:tcPr>
                  <w:tcW w:w="1538" w:type="pct"/>
                  <w:vMerge w:val="continue"/>
                  <w:shd w:val="clear" w:color="auto" w:fill="auto"/>
                  <w:noWrap w:val="0"/>
                  <w:vAlign w:val="center"/>
                </w:tcPr>
                <w:p w14:paraId="4F61C213">
                  <w:pPr>
                    <w:adjustRightInd w:val="0"/>
                    <w:snapToGrid w:val="0"/>
                    <w:jc w:val="center"/>
                    <w:rPr>
                      <w:rFonts w:hint="default" w:ascii="Times New Roman" w:hAnsi="Times New Roman" w:cs="Times New Roman"/>
                      <w:sz w:val="21"/>
                      <w:szCs w:val="21"/>
                    </w:rPr>
                  </w:pPr>
                </w:p>
              </w:tc>
            </w:tr>
            <w:tr w14:paraId="4CCD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8" w:type="pct"/>
                  <w:vMerge w:val="continue"/>
                  <w:shd w:val="clear" w:color="auto" w:fill="auto"/>
                  <w:noWrap w:val="0"/>
                  <w:vAlign w:val="center"/>
                </w:tcPr>
                <w:p w14:paraId="62CDF8B0">
                  <w:pPr>
                    <w:adjustRightInd w:val="0"/>
                    <w:snapToGrid w:val="0"/>
                    <w:jc w:val="center"/>
                    <w:rPr>
                      <w:rFonts w:hint="default" w:ascii="Times New Roman" w:hAnsi="Times New Roman" w:cs="Times New Roman"/>
                      <w:sz w:val="21"/>
                      <w:szCs w:val="21"/>
                    </w:rPr>
                  </w:pPr>
                </w:p>
              </w:tc>
              <w:tc>
                <w:tcPr>
                  <w:tcW w:w="804" w:type="pct"/>
                  <w:vMerge w:val="continue"/>
                  <w:shd w:val="clear" w:color="auto" w:fill="auto"/>
                  <w:noWrap w:val="0"/>
                  <w:vAlign w:val="center"/>
                </w:tcPr>
                <w:p w14:paraId="45E381D4">
                  <w:pPr>
                    <w:adjustRightInd w:val="0"/>
                    <w:snapToGrid w:val="0"/>
                    <w:jc w:val="center"/>
                    <w:rPr>
                      <w:rFonts w:hint="default" w:ascii="Times New Roman" w:hAnsi="Times New Roman" w:cs="Times New Roman"/>
                      <w:sz w:val="21"/>
                      <w:szCs w:val="21"/>
                    </w:rPr>
                  </w:pPr>
                </w:p>
              </w:tc>
              <w:tc>
                <w:tcPr>
                  <w:tcW w:w="1433" w:type="pct"/>
                  <w:shd w:val="clear" w:color="auto" w:fill="auto"/>
                  <w:noWrap w:val="0"/>
                  <w:vAlign w:val="center"/>
                </w:tcPr>
                <w:p w14:paraId="0D5170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甲醛</w:t>
                  </w:r>
                </w:p>
              </w:tc>
              <w:tc>
                <w:tcPr>
                  <w:tcW w:w="724" w:type="pct"/>
                  <w:shd w:val="clear" w:color="auto" w:fill="auto"/>
                  <w:noWrap w:val="0"/>
                  <w:vAlign w:val="center"/>
                </w:tcPr>
                <w:p w14:paraId="25C0EF1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rPr>
                    <w:t>1次/半年</w:t>
                  </w:r>
                </w:p>
              </w:tc>
              <w:tc>
                <w:tcPr>
                  <w:tcW w:w="1538" w:type="pct"/>
                  <w:vMerge w:val="continue"/>
                  <w:shd w:val="clear" w:color="auto" w:fill="auto"/>
                  <w:noWrap w:val="0"/>
                  <w:vAlign w:val="center"/>
                </w:tcPr>
                <w:p w14:paraId="0C79B797">
                  <w:pPr>
                    <w:adjustRightInd w:val="0"/>
                    <w:snapToGrid w:val="0"/>
                    <w:jc w:val="center"/>
                    <w:rPr>
                      <w:rFonts w:hint="default" w:ascii="Times New Roman" w:hAnsi="Times New Roman" w:cs="Times New Roman"/>
                      <w:sz w:val="21"/>
                      <w:szCs w:val="21"/>
                    </w:rPr>
                  </w:pPr>
                </w:p>
              </w:tc>
            </w:tr>
            <w:tr w14:paraId="468F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8" w:type="pct"/>
                  <w:vMerge w:val="continue"/>
                  <w:shd w:val="clear" w:color="auto" w:fill="auto"/>
                  <w:noWrap w:val="0"/>
                  <w:vAlign w:val="center"/>
                </w:tcPr>
                <w:p w14:paraId="5B67399C">
                  <w:pPr>
                    <w:adjustRightInd w:val="0"/>
                    <w:snapToGrid w:val="0"/>
                    <w:jc w:val="center"/>
                    <w:rPr>
                      <w:rFonts w:hint="default" w:ascii="Times New Roman" w:hAnsi="Times New Roman" w:cs="Times New Roman"/>
                      <w:sz w:val="21"/>
                      <w:szCs w:val="21"/>
                    </w:rPr>
                  </w:pPr>
                </w:p>
              </w:tc>
              <w:tc>
                <w:tcPr>
                  <w:tcW w:w="804" w:type="pct"/>
                  <w:vMerge w:val="continue"/>
                  <w:shd w:val="clear" w:color="auto" w:fill="auto"/>
                  <w:noWrap w:val="0"/>
                  <w:vAlign w:val="center"/>
                </w:tcPr>
                <w:p w14:paraId="58BA7299">
                  <w:pPr>
                    <w:adjustRightInd w:val="0"/>
                    <w:snapToGrid w:val="0"/>
                    <w:jc w:val="center"/>
                    <w:rPr>
                      <w:rFonts w:hint="default" w:ascii="Times New Roman" w:hAnsi="Times New Roman" w:cs="Times New Roman"/>
                      <w:sz w:val="21"/>
                      <w:szCs w:val="21"/>
                    </w:rPr>
                  </w:pPr>
                </w:p>
              </w:tc>
              <w:tc>
                <w:tcPr>
                  <w:tcW w:w="1433" w:type="pct"/>
                  <w:shd w:val="clear" w:color="auto" w:fill="auto"/>
                  <w:noWrap w:val="0"/>
                  <w:vAlign w:val="center"/>
                </w:tcPr>
                <w:p w14:paraId="1702D62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挥发性有机物</w:t>
                  </w:r>
                </w:p>
              </w:tc>
              <w:tc>
                <w:tcPr>
                  <w:tcW w:w="724" w:type="pct"/>
                  <w:shd w:val="clear" w:color="auto" w:fill="auto"/>
                  <w:noWrap w:val="0"/>
                  <w:vAlign w:val="center"/>
                </w:tcPr>
                <w:p w14:paraId="1ED8DC5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rPr>
                    <w:t>1次/</w:t>
                  </w:r>
                  <w:r>
                    <w:rPr>
                      <w:rFonts w:hint="default" w:ascii="Times New Roman" w:hAnsi="Times New Roman" w:cs="Times New Roman"/>
                      <w:sz w:val="21"/>
                      <w:szCs w:val="21"/>
                      <w:lang w:val="en-US" w:eastAsia="zh-CN"/>
                    </w:rPr>
                    <w:t>月</w:t>
                  </w:r>
                </w:p>
              </w:tc>
              <w:tc>
                <w:tcPr>
                  <w:tcW w:w="1538" w:type="pct"/>
                  <w:shd w:val="clear" w:color="auto" w:fill="auto"/>
                  <w:noWrap w:val="0"/>
                  <w:vAlign w:val="center"/>
                </w:tcPr>
                <w:p w14:paraId="4BAE5B4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《大气污染物综合排放标准》（GB16297-1996）</w:t>
                  </w:r>
                </w:p>
              </w:tc>
            </w:tr>
            <w:tr w14:paraId="621D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498" w:type="pct"/>
                  <w:vMerge w:val="continue"/>
                  <w:shd w:val="clear" w:color="auto" w:fill="auto"/>
                  <w:noWrap w:val="0"/>
                  <w:vAlign w:val="center"/>
                </w:tcPr>
                <w:p w14:paraId="0FA9C038">
                  <w:pPr>
                    <w:adjustRightInd w:val="0"/>
                    <w:snapToGrid w:val="0"/>
                    <w:jc w:val="center"/>
                    <w:rPr>
                      <w:rFonts w:hint="default" w:ascii="Times New Roman" w:hAnsi="Times New Roman" w:cs="Times New Roman"/>
                      <w:sz w:val="21"/>
                      <w:szCs w:val="21"/>
                    </w:rPr>
                  </w:pPr>
                </w:p>
              </w:tc>
              <w:tc>
                <w:tcPr>
                  <w:tcW w:w="804" w:type="pct"/>
                  <w:vMerge w:val="restart"/>
                  <w:shd w:val="clear" w:color="auto" w:fill="auto"/>
                  <w:noWrap w:val="0"/>
                  <w:vAlign w:val="center"/>
                </w:tcPr>
                <w:p w14:paraId="4347721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厂界上风向1个点，下风向3个点</w:t>
                  </w:r>
                </w:p>
              </w:tc>
              <w:tc>
                <w:tcPr>
                  <w:tcW w:w="1433" w:type="pct"/>
                  <w:shd w:val="clear" w:color="auto" w:fill="auto"/>
                  <w:noWrap w:val="0"/>
                  <w:vAlign w:val="center"/>
                </w:tcPr>
                <w:p w14:paraId="04028316">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甲醇、甲醛、</w:t>
                  </w:r>
                  <w:r>
                    <w:rPr>
                      <w:rFonts w:hint="default" w:ascii="Times New Roman" w:hAnsi="Times New Roman" w:cs="Times New Roman"/>
                      <w:sz w:val="21"/>
                      <w:szCs w:val="21"/>
                    </w:rPr>
                    <w:t>氮氧化物</w:t>
                  </w:r>
                </w:p>
              </w:tc>
              <w:tc>
                <w:tcPr>
                  <w:tcW w:w="724" w:type="pct"/>
                  <w:shd w:val="clear" w:color="auto" w:fill="auto"/>
                  <w:noWrap w:val="0"/>
                  <w:vAlign w:val="center"/>
                </w:tcPr>
                <w:p w14:paraId="52045D0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1次/</w:t>
                  </w:r>
                  <w:r>
                    <w:rPr>
                      <w:rFonts w:hint="default" w:ascii="Times New Roman" w:hAnsi="Times New Roman" w:cs="Times New Roman"/>
                      <w:sz w:val="21"/>
                      <w:szCs w:val="21"/>
                      <w:lang w:eastAsia="zh-CN"/>
                    </w:rPr>
                    <w:t>半</w:t>
                  </w:r>
                  <w:r>
                    <w:rPr>
                      <w:rFonts w:hint="default" w:ascii="Times New Roman" w:hAnsi="Times New Roman" w:cs="Times New Roman"/>
                      <w:sz w:val="21"/>
                      <w:szCs w:val="21"/>
                    </w:rPr>
                    <w:t>年</w:t>
                  </w:r>
                </w:p>
              </w:tc>
              <w:tc>
                <w:tcPr>
                  <w:tcW w:w="1538" w:type="pct"/>
                  <w:shd w:val="clear" w:color="auto" w:fill="auto"/>
                  <w:noWrap w:val="0"/>
                  <w:vAlign w:val="center"/>
                </w:tcPr>
                <w:p w14:paraId="6615FB7A">
                  <w:pPr>
                    <w:adjustRightInd w:val="0"/>
                    <w:snapToGrid w:val="0"/>
                    <w:jc w:val="center"/>
                    <w:rPr>
                      <w:rFonts w:hint="default" w:ascii="Times New Roman" w:hAnsi="Times New Roman" w:cs="Times New Roman"/>
                      <w:sz w:val="21"/>
                      <w:szCs w:val="21"/>
                    </w:rPr>
                  </w:pPr>
                  <w:r>
                    <w:rPr>
                      <w:rFonts w:hint="eastAsia"/>
                      <w:sz w:val="21"/>
                      <w:szCs w:val="21"/>
                      <w:lang w:val="en-US" w:eastAsia="zh-CN"/>
                    </w:rPr>
                    <w:t>《大气污染物综合排放标准GB 16297-1996》</w:t>
                  </w:r>
                </w:p>
              </w:tc>
            </w:tr>
            <w:tr w14:paraId="3583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98" w:type="pct"/>
                  <w:vMerge w:val="continue"/>
                  <w:shd w:val="clear" w:color="auto" w:fill="auto"/>
                  <w:noWrap w:val="0"/>
                  <w:vAlign w:val="center"/>
                </w:tcPr>
                <w:p w14:paraId="0ABB437D">
                  <w:pPr>
                    <w:adjustRightInd w:val="0"/>
                    <w:snapToGrid w:val="0"/>
                    <w:jc w:val="center"/>
                    <w:rPr>
                      <w:rFonts w:hint="default" w:ascii="Times New Roman" w:hAnsi="Times New Roman" w:cs="Times New Roman"/>
                      <w:sz w:val="21"/>
                      <w:szCs w:val="21"/>
                    </w:rPr>
                  </w:pPr>
                </w:p>
              </w:tc>
              <w:tc>
                <w:tcPr>
                  <w:tcW w:w="804" w:type="pct"/>
                  <w:vMerge w:val="continue"/>
                  <w:shd w:val="clear" w:color="auto" w:fill="auto"/>
                  <w:noWrap w:val="0"/>
                  <w:vAlign w:val="center"/>
                </w:tcPr>
                <w:p w14:paraId="572F97CF">
                  <w:pPr>
                    <w:adjustRightInd w:val="0"/>
                    <w:snapToGrid w:val="0"/>
                    <w:jc w:val="center"/>
                    <w:rPr>
                      <w:rFonts w:hint="default" w:ascii="Times New Roman" w:hAnsi="Times New Roman" w:cs="Times New Roman"/>
                      <w:sz w:val="21"/>
                      <w:szCs w:val="21"/>
                    </w:rPr>
                  </w:pPr>
                </w:p>
              </w:tc>
              <w:tc>
                <w:tcPr>
                  <w:tcW w:w="1433" w:type="pct"/>
                  <w:shd w:val="clear" w:color="auto" w:fill="auto"/>
                  <w:noWrap w:val="0"/>
                  <w:vAlign w:val="center"/>
                </w:tcPr>
                <w:p w14:paraId="177A35A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724" w:type="pct"/>
                  <w:shd w:val="clear" w:color="auto" w:fill="auto"/>
                  <w:noWrap w:val="0"/>
                  <w:vAlign w:val="center"/>
                </w:tcPr>
                <w:p w14:paraId="15379AE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1次/</w:t>
                  </w:r>
                  <w:r>
                    <w:rPr>
                      <w:rFonts w:hint="default" w:ascii="Times New Roman" w:hAnsi="Times New Roman" w:cs="Times New Roman"/>
                      <w:sz w:val="21"/>
                      <w:szCs w:val="21"/>
                      <w:lang w:eastAsia="zh-CN"/>
                    </w:rPr>
                    <w:t>季度</w:t>
                  </w:r>
                </w:p>
              </w:tc>
              <w:tc>
                <w:tcPr>
                  <w:tcW w:w="1538" w:type="pct"/>
                  <w:shd w:val="clear" w:color="auto" w:fill="auto"/>
                  <w:noWrap w:val="0"/>
                  <w:vAlign w:val="center"/>
                </w:tcPr>
                <w:p w14:paraId="76B7AF95">
                  <w:pPr>
                    <w:adjustRightInd w:val="0"/>
                    <w:snapToGrid w:val="0"/>
                    <w:jc w:val="center"/>
                    <w:rPr>
                      <w:rFonts w:hint="default" w:ascii="Times New Roman" w:hAnsi="Times New Roman" w:cs="Times New Roman"/>
                      <w:sz w:val="21"/>
                      <w:szCs w:val="21"/>
                    </w:rPr>
                  </w:pPr>
                  <w:r>
                    <w:rPr>
                      <w:rFonts w:hint="eastAsia"/>
                      <w:sz w:val="21"/>
                      <w:szCs w:val="21"/>
                      <w:lang w:eastAsia="zh-CN"/>
                    </w:rPr>
                    <w:t>《石油化学工业污染物排放标准》（</w:t>
                  </w:r>
                  <w:r>
                    <w:rPr>
                      <w:rFonts w:hint="eastAsia"/>
                      <w:sz w:val="21"/>
                      <w:szCs w:val="21"/>
                      <w:lang w:val="en-US" w:eastAsia="zh-CN"/>
                    </w:rPr>
                    <w:t>GB31571-2015</w:t>
                  </w:r>
                  <w:r>
                    <w:rPr>
                      <w:rFonts w:hint="eastAsia"/>
                      <w:sz w:val="21"/>
                      <w:szCs w:val="21"/>
                      <w:lang w:eastAsia="zh-CN"/>
                    </w:rPr>
                    <w:t>）</w:t>
                  </w:r>
                </w:p>
              </w:tc>
            </w:tr>
            <w:tr w14:paraId="4C47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98" w:type="pct"/>
                  <w:vMerge w:val="continue"/>
                  <w:shd w:val="clear" w:color="auto" w:fill="auto"/>
                  <w:noWrap w:val="0"/>
                  <w:vAlign w:val="center"/>
                </w:tcPr>
                <w:p w14:paraId="0FFCB360">
                  <w:pPr>
                    <w:adjustRightInd w:val="0"/>
                    <w:snapToGrid w:val="0"/>
                    <w:jc w:val="center"/>
                    <w:rPr>
                      <w:rFonts w:hint="default" w:ascii="Times New Roman" w:hAnsi="Times New Roman" w:cs="Times New Roman"/>
                      <w:sz w:val="21"/>
                      <w:szCs w:val="21"/>
                    </w:rPr>
                  </w:pPr>
                </w:p>
              </w:tc>
              <w:tc>
                <w:tcPr>
                  <w:tcW w:w="804" w:type="pct"/>
                  <w:vMerge w:val="continue"/>
                  <w:shd w:val="clear" w:color="auto" w:fill="auto"/>
                  <w:noWrap w:val="0"/>
                  <w:vAlign w:val="center"/>
                </w:tcPr>
                <w:p w14:paraId="0B45BD7F">
                  <w:pPr>
                    <w:adjustRightInd w:val="0"/>
                    <w:snapToGrid w:val="0"/>
                    <w:jc w:val="center"/>
                    <w:rPr>
                      <w:rFonts w:hint="default" w:ascii="Times New Roman" w:hAnsi="Times New Roman" w:cs="Times New Roman"/>
                      <w:sz w:val="21"/>
                      <w:szCs w:val="21"/>
                    </w:rPr>
                  </w:pPr>
                </w:p>
              </w:tc>
              <w:tc>
                <w:tcPr>
                  <w:tcW w:w="1433" w:type="pct"/>
                  <w:shd w:val="clear" w:color="auto" w:fill="auto"/>
                  <w:noWrap w:val="0"/>
                  <w:vAlign w:val="center"/>
                </w:tcPr>
                <w:p w14:paraId="48D8BD0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非甲烷总烃</w:t>
                  </w:r>
                </w:p>
              </w:tc>
              <w:tc>
                <w:tcPr>
                  <w:tcW w:w="724" w:type="pct"/>
                  <w:shd w:val="clear" w:color="auto" w:fill="auto"/>
                  <w:noWrap w:val="0"/>
                  <w:vAlign w:val="center"/>
                </w:tcPr>
                <w:p w14:paraId="674A468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1次/</w:t>
                  </w:r>
                  <w:r>
                    <w:rPr>
                      <w:rFonts w:hint="default" w:ascii="Times New Roman" w:hAnsi="Times New Roman" w:cs="Times New Roman"/>
                      <w:sz w:val="21"/>
                      <w:szCs w:val="21"/>
                      <w:lang w:eastAsia="zh-CN"/>
                    </w:rPr>
                    <w:t>季度</w:t>
                  </w:r>
                </w:p>
              </w:tc>
              <w:tc>
                <w:tcPr>
                  <w:tcW w:w="1538" w:type="pct"/>
                  <w:shd w:val="clear" w:color="auto" w:fill="auto"/>
                  <w:noWrap w:val="0"/>
                  <w:vAlign w:val="center"/>
                </w:tcPr>
                <w:p w14:paraId="42D6160E">
                  <w:pPr>
                    <w:adjustRightInd w:val="0"/>
                    <w:snapToGrid w:val="0"/>
                    <w:jc w:val="center"/>
                    <w:rPr>
                      <w:rFonts w:hint="default" w:ascii="Times New Roman" w:hAnsi="Times New Roman" w:cs="Times New Roman"/>
                      <w:sz w:val="21"/>
                      <w:szCs w:val="21"/>
                    </w:rPr>
                  </w:pPr>
                  <w:r>
                    <w:rPr>
                      <w:rFonts w:hint="eastAsia"/>
                      <w:sz w:val="21"/>
                      <w:szCs w:val="21"/>
                      <w:lang w:val="en-US" w:eastAsia="zh-CN"/>
                    </w:rPr>
                    <w:t>《大气污染物综合排放标准GB 16297-1996》</w:t>
                  </w:r>
                </w:p>
              </w:tc>
            </w:tr>
          </w:tbl>
          <w:p w14:paraId="4125F1B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宋体" w:hAnsi="宋体" w:cs="宋体"/>
                <w:b/>
                <w:kern w:val="0"/>
                <w:sz w:val="24"/>
                <w:highlight w:val="none"/>
              </w:rPr>
            </w:pPr>
            <w:r>
              <w:rPr>
                <w:rFonts w:hint="eastAsia" w:ascii="宋体" w:hAnsi="宋体" w:cs="宋体"/>
                <w:b/>
                <w:kern w:val="0"/>
                <w:sz w:val="24"/>
                <w:highlight w:val="none"/>
              </w:rPr>
              <w:t>二、废水</w:t>
            </w:r>
          </w:p>
          <w:p w14:paraId="24E8E8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auto"/>
                <w:sz w:val="24"/>
                <w:szCs w:val="24"/>
                <w:lang w:val="en-US" w:eastAsia="zh-CN"/>
              </w:rPr>
            </w:pPr>
            <w:r>
              <w:rPr>
                <w:rFonts w:ascii="宋体" w:hAnsi="宋体" w:cs="宋体"/>
                <w:kern w:val="0"/>
                <w:sz w:val="24"/>
                <w:highlight w:val="none"/>
              </w:rPr>
              <w:t>本项目不新增员工，</w:t>
            </w:r>
            <w:r>
              <w:rPr>
                <w:rFonts w:hint="eastAsia"/>
                <w:color w:val="auto"/>
                <w:sz w:val="24"/>
                <w:szCs w:val="24"/>
                <w:highlight w:val="none"/>
                <w:lang w:eastAsia="zh-CN"/>
              </w:rPr>
              <w:t>本</w:t>
            </w:r>
            <w:r>
              <w:rPr>
                <w:rFonts w:hint="eastAsia"/>
                <w:color w:val="auto"/>
                <w:sz w:val="24"/>
                <w:szCs w:val="24"/>
                <w:lang w:eastAsia="zh-CN"/>
              </w:rPr>
              <w:t>项目</w:t>
            </w:r>
            <w:r>
              <w:rPr>
                <w:rFonts w:hint="eastAsia" w:ascii="Times New Roman" w:hAnsi="宋体" w:eastAsia="宋体" w:cs="Times New Roman"/>
                <w:sz w:val="24"/>
                <w:lang w:eastAsia="zh-CN"/>
              </w:rPr>
              <w:t>离心雾化器冷却用水循环使用不外排，水膜处理系统废水每个月</w:t>
            </w:r>
            <w:r>
              <w:rPr>
                <w:rFonts w:hint="eastAsia" w:ascii="宋体" w:hAnsi="宋体" w:eastAsia="宋体" w:cs="宋体"/>
                <w:sz w:val="24"/>
                <w:lang w:val="en-US" w:eastAsia="zh-CN"/>
              </w:rPr>
              <w:t>定期将除尘水排入干燥塔蒸发处理一次，</w:t>
            </w:r>
            <w:r>
              <w:rPr>
                <w:rFonts w:hint="eastAsia" w:ascii="Times New Roman" w:hAnsi="宋体" w:eastAsia="宋体" w:cs="Times New Roman"/>
                <w:sz w:val="24"/>
                <w:lang w:eastAsia="zh-CN"/>
              </w:rPr>
              <w:t>项目不对外环境排放污水。水膜除尘喷淋水中主要为甲醛、萘及干燥的粉剂减水剂，本项目对水膜除尘喷淋水每个月单独进入干燥塔内进行干燥</w:t>
            </w:r>
          </w:p>
          <w:p w14:paraId="73569E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val="en-US" w:eastAsia="zh-CN"/>
              </w:rPr>
            </w:pPr>
            <w:r>
              <w:rPr>
                <w:rFonts w:ascii="Times New Roman" w:hAnsi="Times New Roman" w:eastAsia="宋体" w:cs="Times New Roman"/>
                <w:sz w:val="24"/>
              </w:rPr>
              <w:t>两级水膜吸收的污染物主要为未反应完全的萘、甲醛</w:t>
            </w:r>
            <w:r>
              <w:rPr>
                <w:rFonts w:hint="eastAsia" w:ascii="Times New Roman" w:hAnsi="Times New Roman" w:eastAsia="宋体" w:cs="Times New Roman"/>
                <w:sz w:val="24"/>
                <w:lang w:eastAsia="zh-CN"/>
              </w:rPr>
              <w:t>及干燥过程产生的颗粒物</w:t>
            </w:r>
            <w:r>
              <w:rPr>
                <w:rFonts w:ascii="Times New Roman" w:hAnsi="Times New Roman" w:eastAsia="宋体" w:cs="Times New Roman"/>
                <w:sz w:val="24"/>
              </w:rPr>
              <w:t>等物质。这些污染物在干燥塔高温环境下，</w:t>
            </w:r>
            <w:r>
              <w:rPr>
                <w:rFonts w:hint="eastAsia" w:ascii="Times New Roman" w:hAnsi="Times New Roman" w:eastAsia="宋体" w:cs="Times New Roman"/>
                <w:sz w:val="24"/>
                <w:lang w:eastAsia="zh-CN"/>
              </w:rPr>
              <w:t>由于干燥塔的加热温度为</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00℃-400℃</w:t>
            </w:r>
            <w:r>
              <w:rPr>
                <w:rFonts w:hint="eastAsia" w:ascii="Times New Roman" w:hAnsi="Times New Roman" w:eastAsia="宋体" w:cs="Times New Roman"/>
                <w:sz w:val="24"/>
                <w:lang w:val="en-US" w:eastAsia="zh-CN"/>
              </w:rPr>
              <w:t>，</w:t>
            </w:r>
            <w:r>
              <w:rPr>
                <w:rFonts w:hint="eastAsia" w:ascii="Times New Roman" w:hAnsi="Times New Roman" w:eastAsia="宋体" w:cs="Times New Roman"/>
                <w:sz w:val="24"/>
                <w:lang w:eastAsia="zh-CN"/>
              </w:rPr>
              <w:t>生产萘系减水剂使用的是</w:t>
            </w:r>
            <w:r>
              <w:rPr>
                <w:rFonts w:ascii="Times New Roman" w:hAnsi="Times New Roman" w:eastAsia="宋体" w:cs="Times New Roman"/>
                <w:sz w:val="24"/>
              </w:rPr>
              <w:t>37%</w:t>
            </w:r>
            <w:r>
              <w:rPr>
                <w:rFonts w:hint="eastAsia" w:ascii="Times New Roman" w:hAnsi="Times New Roman" w:eastAsia="宋体" w:cs="Times New Roman"/>
                <w:sz w:val="24"/>
                <w:lang w:eastAsia="zh-CN"/>
              </w:rPr>
              <w:t>的甲醛</w:t>
            </w:r>
            <w:r>
              <w:rPr>
                <w:rFonts w:ascii="Times New Roman" w:hAnsi="Times New Roman" w:eastAsia="宋体" w:cs="Times New Roman"/>
                <w:sz w:val="24"/>
              </w:rPr>
              <w:t>，甲醛在37%水溶液状态下，具有较强的还原性，尤其在碱性条件下更为显著，且燃点约为300℃。干燥塔运行温度处于</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00℃-400℃，在此高温环境中，甲醛极易挥发并达到燃点发生燃烧反应。燃烧后的甲醛转化为二氧化碳和水等无害物质，随水分蒸发以气态形式排出。后续连接的旋风除尘+两级水膜处置系统，能够进一步对逃逸的少量气态污染物进行二次净化，确保甲醛得到有效去除，不会对环境造成污染。</w:t>
            </w:r>
          </w:p>
          <w:p w14:paraId="02F0EB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val="en-US" w:eastAsia="zh-CN"/>
              </w:rPr>
            </w:pPr>
            <w:r>
              <w:rPr>
                <w:rFonts w:ascii="Times New Roman" w:hAnsi="Times New Roman" w:eastAsia="宋体" w:cs="Times New Roman"/>
                <w:sz w:val="24"/>
              </w:rPr>
              <w:t>萘的沸点约为220℃，处于干燥塔200 -400℃的运行温度区间内。在干燥塔高温环境下，萘会迅速气化，与水蒸气一同以气态形式排出。同样，后续的旋风除尘+两级水膜处置系统可对气化后的萘进行拦截和吸收，降低其在废气中的含量，保障排放达标。</w:t>
            </w:r>
          </w:p>
          <w:p w14:paraId="48EA8F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同时</w:t>
            </w:r>
            <w:r>
              <w:rPr>
                <w:rFonts w:ascii="Times New Roman" w:hAnsi="Times New Roman" w:eastAsia="宋体" w:cs="Times New Roman"/>
                <w:sz w:val="24"/>
              </w:rPr>
              <w:t>水膜排水频率为每月一次，排水中污染物总量相对干燥塔处理物料量较小，不会对干燥塔的正常运行和粉剂产品质量产生显著影响</w:t>
            </w:r>
            <w:r>
              <w:rPr>
                <w:rFonts w:hint="eastAsia" w:ascii="Times New Roman" w:hAnsi="Times New Roman" w:eastAsia="宋体" w:cs="Times New Roman"/>
                <w:sz w:val="24"/>
                <w:lang w:eastAsia="zh-CN"/>
              </w:rPr>
              <w:t>，本次认为</w:t>
            </w:r>
            <w:r>
              <w:rPr>
                <w:rFonts w:hint="eastAsia" w:ascii="Times New Roman" w:hAnsi="宋体" w:eastAsia="宋体" w:cs="Times New Roman"/>
                <w:sz w:val="24"/>
                <w:lang w:eastAsia="zh-CN"/>
              </w:rPr>
              <w:t>水膜处理系统废水每个月</w:t>
            </w:r>
            <w:r>
              <w:rPr>
                <w:rFonts w:hint="eastAsia" w:ascii="宋体" w:hAnsi="宋体" w:eastAsia="宋体" w:cs="宋体"/>
                <w:sz w:val="24"/>
                <w:lang w:val="en-US" w:eastAsia="zh-CN"/>
              </w:rPr>
              <w:t>定期将废水排入干燥塔蒸发处理可行。</w:t>
            </w:r>
          </w:p>
          <w:p w14:paraId="4C7CDDA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宋体" w:hAnsi="宋体" w:cs="宋体"/>
                <w:b/>
                <w:kern w:val="0"/>
                <w:sz w:val="24"/>
              </w:rPr>
            </w:pPr>
            <w:r>
              <w:rPr>
                <w:rFonts w:hint="eastAsia" w:ascii="宋体" w:hAnsi="宋体" w:cs="宋体"/>
                <w:b/>
                <w:kern w:val="0"/>
                <w:sz w:val="24"/>
              </w:rPr>
              <w:t>三、噪声</w:t>
            </w:r>
          </w:p>
          <w:p w14:paraId="391C6E1E">
            <w:pPr>
              <w:pStyle w:val="1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szCs w:val="24"/>
              </w:rPr>
            </w:pPr>
            <w:r>
              <w:rPr>
                <w:rFonts w:hint="eastAsia"/>
                <w:b/>
                <w:bCs/>
                <w:szCs w:val="24"/>
                <w:lang w:val="en-US" w:eastAsia="zh-CN"/>
              </w:rPr>
              <w:t>1、</w:t>
            </w:r>
            <w:r>
              <w:rPr>
                <w:b/>
                <w:bCs/>
                <w:szCs w:val="24"/>
              </w:rPr>
              <w:t>噪声源强</w:t>
            </w:r>
          </w:p>
          <w:p w14:paraId="1CD5CE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项目运营过程中产生的噪声主要来源于</w:t>
            </w:r>
            <w:r>
              <w:rPr>
                <w:rFonts w:hint="eastAsia"/>
                <w:sz w:val="24"/>
                <w:lang w:eastAsia="zh-CN"/>
              </w:rPr>
              <w:t>罗茨鼓风机</w:t>
            </w:r>
            <w:r>
              <w:rPr>
                <w:sz w:val="24"/>
              </w:rPr>
              <w:t>、引风机除尘系统，</w:t>
            </w:r>
            <w:r>
              <w:rPr>
                <w:rFonts w:hint="eastAsia"/>
                <w:sz w:val="24"/>
              </w:rPr>
              <w:t>设备</w:t>
            </w:r>
            <w:r>
              <w:rPr>
                <w:bCs/>
                <w:sz w:val="24"/>
              </w:rPr>
              <w:t>噪声</w:t>
            </w:r>
            <w:r>
              <w:rPr>
                <w:rFonts w:hint="eastAsia"/>
                <w:bCs/>
                <w:sz w:val="24"/>
              </w:rPr>
              <w:t>值</w:t>
            </w:r>
            <w:r>
              <w:rPr>
                <w:bCs/>
                <w:sz w:val="24"/>
              </w:rPr>
              <w:t>约</w:t>
            </w:r>
            <w:r>
              <w:rPr>
                <w:rFonts w:hint="eastAsia"/>
                <w:bCs/>
                <w:sz w:val="24"/>
              </w:rPr>
              <w:t>为70-95</w:t>
            </w:r>
            <w:r>
              <w:rPr>
                <w:bCs/>
                <w:sz w:val="24"/>
              </w:rPr>
              <w:t>dB(A)之间</w:t>
            </w:r>
            <w:r>
              <w:rPr>
                <w:sz w:val="24"/>
              </w:rPr>
              <w:t>，</w:t>
            </w:r>
            <w:r>
              <w:rPr>
                <w:bCs/>
                <w:sz w:val="24"/>
              </w:rPr>
              <w:t>各类设备的噪声源强具体详见下表</w:t>
            </w:r>
            <w:r>
              <w:rPr>
                <w:sz w:val="24"/>
              </w:rPr>
              <w:t>。</w:t>
            </w:r>
          </w:p>
          <w:p w14:paraId="35AE9144">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bCs/>
                <w:sz w:val="24"/>
              </w:rPr>
            </w:pPr>
            <w:r>
              <w:rPr>
                <w:bCs/>
                <w:sz w:val="24"/>
              </w:rPr>
              <w:t>表</w:t>
            </w:r>
            <w:r>
              <w:rPr>
                <w:rFonts w:hint="eastAsia"/>
                <w:bCs/>
                <w:sz w:val="24"/>
              </w:rPr>
              <w:t>4-1</w:t>
            </w:r>
            <w:r>
              <w:rPr>
                <w:rFonts w:hint="eastAsia"/>
                <w:bCs/>
                <w:sz w:val="24"/>
                <w:lang w:val="en-US" w:eastAsia="zh-CN"/>
              </w:rPr>
              <w:t>5</w:t>
            </w:r>
            <w:r>
              <w:rPr>
                <w:bCs/>
                <w:sz w:val="24"/>
              </w:rPr>
              <w:t xml:space="preserve">  项目主要噪声源强一览表</w:t>
            </w:r>
          </w:p>
          <w:tbl>
            <w:tblPr>
              <w:tblStyle w:val="11"/>
              <w:tblW w:w="4930" w:type="pct"/>
              <w:jc w:val="center"/>
              <w:shd w:val="clear" w:color="auto" w:fill="auto"/>
              <w:tblLayout w:type="autofit"/>
              <w:tblCellMar>
                <w:top w:w="15" w:type="dxa"/>
                <w:left w:w="15" w:type="dxa"/>
                <w:bottom w:w="15" w:type="dxa"/>
                <w:right w:w="15" w:type="dxa"/>
              </w:tblCellMar>
            </w:tblPr>
            <w:tblGrid>
              <w:gridCol w:w="684"/>
              <w:gridCol w:w="1718"/>
              <w:gridCol w:w="1384"/>
              <w:gridCol w:w="1188"/>
              <w:gridCol w:w="1429"/>
              <w:gridCol w:w="1493"/>
            </w:tblGrid>
            <w:tr w14:paraId="115855AF">
              <w:tblPrEx>
                <w:shd w:val="clear" w:color="auto" w:fill="auto"/>
                <w:tblCellMar>
                  <w:top w:w="15" w:type="dxa"/>
                  <w:left w:w="15" w:type="dxa"/>
                  <w:bottom w:w="15" w:type="dxa"/>
                  <w:right w:w="15" w:type="dxa"/>
                </w:tblCellMar>
              </w:tblPrEx>
              <w:trPr>
                <w:trHeight w:val="340" w:hRule="atLeast"/>
                <w:jc w:val="center"/>
              </w:trPr>
              <w:tc>
                <w:tcPr>
                  <w:tcW w:w="433"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607027E8">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rPr>
                  </w:pPr>
                  <w:r>
                    <w:rPr>
                      <w:rFonts w:hint="eastAsia" w:ascii="Times New Roman" w:hAnsi="Times New Roman" w:cs="宋体"/>
                      <w:kern w:val="2"/>
                      <w:sz w:val="21"/>
                      <w:szCs w:val="21"/>
                      <w:lang w:val="en-US" w:eastAsia="zh-CN"/>
                    </w:rPr>
                    <w:t>序号</w:t>
                  </w:r>
                </w:p>
              </w:tc>
              <w:tc>
                <w:tcPr>
                  <w:tcW w:w="1087" w:type="pct"/>
                  <w:tcBorders>
                    <w:top w:val="single" w:color="auto" w:sz="2" w:space="0"/>
                    <w:left w:val="single" w:color="auto" w:sz="4"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333FA0ED">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rPr>
                  </w:pPr>
                  <w:r>
                    <w:rPr>
                      <w:rFonts w:hint="eastAsia" w:ascii="Times New Roman" w:hAnsi="Times New Roman" w:cs="宋体"/>
                      <w:kern w:val="2"/>
                      <w:sz w:val="21"/>
                      <w:szCs w:val="21"/>
                      <w:lang w:val="en-US" w:eastAsia="zh-CN"/>
                    </w:rPr>
                    <w:t>生产设施</w:t>
                  </w:r>
                </w:p>
              </w:tc>
              <w:tc>
                <w:tcPr>
                  <w:tcW w:w="876"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228DEAF1">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cs="宋体"/>
                      <w:kern w:val="2"/>
                      <w:sz w:val="21"/>
                      <w:szCs w:val="21"/>
                      <w:lang w:val="en-US" w:eastAsia="zh-CN"/>
                    </w:rPr>
                  </w:pPr>
                  <w:r>
                    <w:rPr>
                      <w:rFonts w:hint="eastAsia" w:ascii="Times New Roman" w:hAnsi="Times New Roman" w:cs="宋体"/>
                      <w:kern w:val="2"/>
                      <w:sz w:val="21"/>
                      <w:szCs w:val="21"/>
                      <w:lang w:val="en-US" w:eastAsia="zh-CN"/>
                    </w:rPr>
                    <w:t>数量</w:t>
                  </w:r>
                </w:p>
                <w:p w14:paraId="5D5520CE">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rPr>
                  </w:pPr>
                  <w:r>
                    <w:rPr>
                      <w:rFonts w:hint="eastAsia" w:ascii="Times New Roman" w:hAnsi="Times New Roman" w:cs="宋体"/>
                      <w:kern w:val="2"/>
                      <w:sz w:val="21"/>
                      <w:szCs w:val="21"/>
                      <w:lang w:val="en-US" w:eastAsia="zh-CN"/>
                    </w:rPr>
                    <w:t>（台/套/支）</w:t>
                  </w:r>
                </w:p>
              </w:tc>
              <w:tc>
                <w:tcPr>
                  <w:tcW w:w="752"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06C970A9">
                  <w:pPr>
                    <w:keepNext w:val="0"/>
                    <w:keepLines w:val="0"/>
                    <w:pageBreakBefore w:val="0"/>
                    <w:kinsoku/>
                    <w:wordWrap/>
                    <w:overflowPunct/>
                    <w:topLinePunct w:val="0"/>
                    <w:autoSpaceDE/>
                    <w:autoSpaceDN/>
                    <w:bidi w:val="0"/>
                    <w:adjustRightInd w:val="0"/>
                    <w:snapToGrid w:val="0"/>
                    <w:ind w:firstLine="0"/>
                    <w:jc w:val="center"/>
                    <w:textAlignment w:val="auto"/>
                    <w:rPr>
                      <w:szCs w:val="21"/>
                    </w:rPr>
                  </w:pPr>
                  <w:r>
                    <w:rPr>
                      <w:rStyle w:val="53"/>
                      <w:rFonts w:eastAsia="宋体"/>
                      <w:bCs/>
                      <w:kern w:val="21"/>
                      <w:sz w:val="21"/>
                      <w:szCs w:val="21"/>
                      <w:lang w:val="zh-TW"/>
                    </w:rPr>
                    <w:t>单个噪声源</w:t>
                  </w:r>
                  <w:r>
                    <w:rPr>
                      <w:rStyle w:val="53"/>
                      <w:rFonts w:eastAsia="宋体"/>
                      <w:bCs/>
                      <w:kern w:val="21"/>
                      <w:sz w:val="21"/>
                      <w:szCs w:val="21"/>
                      <w:lang w:val="zh-TW" w:eastAsia="zh-TW"/>
                    </w:rPr>
                    <w:t>dB(A)</w:t>
                  </w:r>
                </w:p>
              </w:tc>
              <w:tc>
                <w:tcPr>
                  <w:tcW w:w="90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66A5728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bCs/>
                      <w:spacing w:val="10"/>
                      <w:kern w:val="2"/>
                      <w:sz w:val="21"/>
                      <w:szCs w:val="21"/>
                      <w:lang w:val="zh-TW" w:eastAsia="zh-CN"/>
                    </w:rPr>
                  </w:pPr>
                  <w:r>
                    <w:rPr>
                      <w:rFonts w:hint="eastAsia" w:ascii="Times New Roman"/>
                      <w:bCs/>
                      <w:kern w:val="2"/>
                      <w:sz w:val="21"/>
                      <w:szCs w:val="21"/>
                      <w:lang w:val="en-US" w:eastAsia="zh-CN"/>
                    </w:rPr>
                    <w:t>持续</w:t>
                  </w:r>
                  <w:r>
                    <w:rPr>
                      <w:rFonts w:ascii="Times New Roman"/>
                      <w:bCs/>
                      <w:kern w:val="2"/>
                      <w:sz w:val="21"/>
                      <w:szCs w:val="21"/>
                      <w:lang w:val="en-US" w:eastAsia="zh-CN"/>
                    </w:rPr>
                    <w:t>时间（</w:t>
                  </w:r>
                  <w:r>
                    <w:rPr>
                      <w:rFonts w:hint="eastAsia" w:ascii="Times New Roman"/>
                      <w:bCs/>
                      <w:kern w:val="2"/>
                      <w:sz w:val="21"/>
                      <w:szCs w:val="21"/>
                      <w:lang w:val="en-US" w:eastAsia="zh-CN"/>
                    </w:rPr>
                    <w:t>h/d</w:t>
                  </w:r>
                  <w:r>
                    <w:rPr>
                      <w:rFonts w:ascii="Times New Roman"/>
                      <w:bCs/>
                      <w:kern w:val="2"/>
                      <w:sz w:val="21"/>
                      <w:szCs w:val="21"/>
                      <w:lang w:val="en-US" w:eastAsia="zh-CN"/>
                    </w:rPr>
                    <w:t>）</w:t>
                  </w:r>
                </w:p>
              </w:tc>
              <w:tc>
                <w:tcPr>
                  <w:tcW w:w="94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3A9535AF">
                  <w:pPr>
                    <w:pStyle w:val="5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Style w:val="53"/>
                      <w:rFonts w:ascii="Times New Roman" w:hAnsi="Times New Roman" w:eastAsia="宋体" w:cs="Times New Roman"/>
                      <w:bCs/>
                      <w:kern w:val="21"/>
                      <w:sz w:val="21"/>
                      <w:szCs w:val="21"/>
                    </w:rPr>
                  </w:pPr>
                  <w:r>
                    <w:rPr>
                      <w:rStyle w:val="53"/>
                      <w:rFonts w:ascii="Times New Roman" w:hAnsi="Times New Roman" w:eastAsia="宋体" w:cs="Times New Roman"/>
                      <w:bCs/>
                      <w:kern w:val="21"/>
                      <w:sz w:val="21"/>
                      <w:szCs w:val="21"/>
                      <w:lang w:val="zh-TW"/>
                    </w:rPr>
                    <w:t>位置</w:t>
                  </w:r>
                </w:p>
              </w:tc>
            </w:tr>
            <w:tr w14:paraId="685E81DE">
              <w:tblPrEx>
                <w:tblCellMar>
                  <w:top w:w="15" w:type="dxa"/>
                  <w:left w:w="15" w:type="dxa"/>
                  <w:bottom w:w="15" w:type="dxa"/>
                  <w:right w:w="15" w:type="dxa"/>
                </w:tblCellMar>
              </w:tblPrEx>
              <w:trPr>
                <w:trHeight w:val="340" w:hRule="atLeast"/>
                <w:jc w:val="center"/>
              </w:trPr>
              <w:tc>
                <w:tcPr>
                  <w:tcW w:w="433"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4E382E07">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rPr>
                  </w:pPr>
                  <w:r>
                    <w:rPr>
                      <w:rFonts w:hint="eastAsia" w:ascii="Times New Roman" w:hAnsi="Times New Roman" w:cs="宋体"/>
                      <w:kern w:val="2"/>
                      <w:sz w:val="21"/>
                      <w:szCs w:val="21"/>
                      <w:lang w:val="en-US" w:eastAsia="zh-CN"/>
                    </w:rPr>
                    <w:t>1</w:t>
                  </w:r>
                </w:p>
              </w:tc>
              <w:tc>
                <w:tcPr>
                  <w:tcW w:w="1087" w:type="pct"/>
                  <w:tcBorders>
                    <w:top w:val="single" w:color="auto" w:sz="2" w:space="0"/>
                    <w:left w:val="single" w:color="auto" w:sz="4"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62BD5212">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cs="宋体"/>
                      <w:kern w:val="2"/>
                      <w:sz w:val="21"/>
                      <w:szCs w:val="21"/>
                      <w:lang w:val="en-US" w:eastAsia="zh-CN"/>
                    </w:rPr>
                    <w:t>引风机</w:t>
                  </w:r>
                </w:p>
              </w:tc>
              <w:tc>
                <w:tcPr>
                  <w:tcW w:w="876"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3B89D78A">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cs="宋体"/>
                      <w:kern w:val="2"/>
                      <w:sz w:val="21"/>
                      <w:szCs w:val="21"/>
                      <w:lang w:val="en-US" w:eastAsia="zh-CN"/>
                    </w:rPr>
                    <w:t>1</w:t>
                  </w:r>
                </w:p>
              </w:tc>
              <w:tc>
                <w:tcPr>
                  <w:tcW w:w="752"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7F37B945">
                  <w:pPr>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kern w:val="2"/>
                      <w:sz w:val="21"/>
                      <w:szCs w:val="21"/>
                      <w:lang w:val="en-US" w:eastAsia="zh-CN" w:bidi="ar-SA"/>
                    </w:rPr>
                  </w:pPr>
                  <w:r>
                    <w:rPr>
                      <w:rFonts w:hint="eastAsia"/>
                      <w:szCs w:val="21"/>
                    </w:rPr>
                    <w:t>90</w:t>
                  </w:r>
                </w:p>
              </w:tc>
              <w:tc>
                <w:tcPr>
                  <w:tcW w:w="90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DDA62A3">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kern w:val="2"/>
                      <w:sz w:val="21"/>
                      <w:szCs w:val="21"/>
                      <w:lang w:val="en-US" w:eastAsia="zh-CN" w:bidi="ar-SA"/>
                    </w:rPr>
                  </w:pPr>
                  <w:r>
                    <w:rPr>
                      <w:szCs w:val="21"/>
                    </w:rPr>
                    <w:t>24</w:t>
                  </w:r>
                </w:p>
              </w:tc>
              <w:tc>
                <w:tcPr>
                  <w:tcW w:w="944" w:type="pct"/>
                  <w:tcBorders>
                    <w:top w:val="single" w:color="auto" w:sz="2" w:space="0"/>
                    <w:left w:val="single" w:color="auto" w:sz="2" w:space="0"/>
                    <w:bottom w:val="single" w:color="auto" w:sz="2" w:space="0"/>
                    <w:right w:val="single" w:color="auto" w:sz="2" w:space="0"/>
                  </w:tcBorders>
                  <w:shd w:val="clear" w:color="auto" w:fill="auto"/>
                  <w:noWrap w:val="0"/>
                  <w:vAlign w:val="top"/>
                </w:tcPr>
                <w:p w14:paraId="67C7E616">
                  <w:pPr>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kern w:val="2"/>
                      <w:sz w:val="21"/>
                      <w:szCs w:val="21"/>
                      <w:lang w:val="en-US" w:eastAsia="zh-CN" w:bidi="ar-SA"/>
                    </w:rPr>
                  </w:pPr>
                  <w:r>
                    <w:rPr>
                      <w:szCs w:val="21"/>
                    </w:rPr>
                    <w:t>室</w:t>
                  </w:r>
                  <w:r>
                    <w:rPr>
                      <w:rFonts w:hint="eastAsia"/>
                      <w:szCs w:val="21"/>
                      <w:lang w:eastAsia="zh-CN"/>
                    </w:rPr>
                    <w:t>外</w:t>
                  </w:r>
                </w:p>
              </w:tc>
            </w:tr>
            <w:tr w14:paraId="189EF196">
              <w:tblPrEx>
                <w:tblCellMar>
                  <w:top w:w="15" w:type="dxa"/>
                  <w:left w:w="15" w:type="dxa"/>
                  <w:bottom w:w="15" w:type="dxa"/>
                  <w:right w:w="15" w:type="dxa"/>
                </w:tblCellMar>
              </w:tblPrEx>
              <w:trPr>
                <w:trHeight w:val="340" w:hRule="atLeast"/>
                <w:jc w:val="center"/>
              </w:trPr>
              <w:tc>
                <w:tcPr>
                  <w:tcW w:w="433"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5DB88E4D">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rFonts w:hint="eastAsia" w:ascii="Times New Roman" w:hAnsi="Times New Roman" w:cs="宋体"/>
                      <w:kern w:val="2"/>
                      <w:sz w:val="21"/>
                      <w:szCs w:val="21"/>
                      <w:lang w:val="en-US" w:eastAsia="zh-CN"/>
                    </w:rPr>
                    <w:t>2</w:t>
                  </w:r>
                </w:p>
              </w:tc>
              <w:tc>
                <w:tcPr>
                  <w:tcW w:w="1087" w:type="pct"/>
                  <w:tcBorders>
                    <w:top w:val="single" w:color="auto" w:sz="2" w:space="0"/>
                    <w:left w:val="single" w:color="auto" w:sz="4"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2B3E4D37">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cs="宋体"/>
                      <w:kern w:val="2"/>
                      <w:sz w:val="21"/>
                      <w:szCs w:val="21"/>
                      <w:lang w:val="en-US" w:eastAsia="zh-CN"/>
                    </w:rPr>
                  </w:pPr>
                  <w:r>
                    <w:rPr>
                      <w:rFonts w:hint="eastAsia" w:ascii="Times New Roman" w:hAnsi="Times New Roman" w:cs="宋体"/>
                      <w:kern w:val="2"/>
                      <w:sz w:val="21"/>
                      <w:szCs w:val="21"/>
                      <w:lang w:val="en-US" w:eastAsia="zh-CN"/>
                    </w:rPr>
                    <w:t>燃烧器助燃鼓风机</w:t>
                  </w:r>
                </w:p>
              </w:tc>
              <w:tc>
                <w:tcPr>
                  <w:tcW w:w="876"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545B5474">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default" w:ascii="Times New Roman" w:hAnsi="Times New Roman" w:cs="宋体"/>
                      <w:kern w:val="2"/>
                      <w:sz w:val="21"/>
                      <w:szCs w:val="21"/>
                      <w:lang w:val="en-US" w:eastAsia="zh-CN"/>
                    </w:rPr>
                  </w:pPr>
                  <w:r>
                    <w:rPr>
                      <w:rFonts w:hint="eastAsia" w:ascii="Times New Roman" w:hAnsi="Times New Roman" w:cs="宋体"/>
                      <w:kern w:val="2"/>
                      <w:sz w:val="21"/>
                      <w:szCs w:val="21"/>
                      <w:lang w:val="en-US" w:eastAsia="zh-CN"/>
                    </w:rPr>
                    <w:t>1</w:t>
                  </w:r>
                </w:p>
              </w:tc>
              <w:tc>
                <w:tcPr>
                  <w:tcW w:w="752"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74E59DD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szCs w:val="21"/>
                      <w:lang w:val="en-US" w:eastAsia="zh-CN"/>
                    </w:rPr>
                  </w:pPr>
                  <w:r>
                    <w:rPr>
                      <w:rFonts w:hint="eastAsia"/>
                      <w:szCs w:val="21"/>
                      <w:lang w:val="en-US" w:eastAsia="zh-CN"/>
                    </w:rPr>
                    <w:t>95</w:t>
                  </w:r>
                </w:p>
              </w:tc>
              <w:tc>
                <w:tcPr>
                  <w:tcW w:w="90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539462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szCs w:val="21"/>
                      <w:lang w:val="en-US" w:eastAsia="zh-CN"/>
                    </w:rPr>
                  </w:pPr>
                  <w:r>
                    <w:rPr>
                      <w:rFonts w:hint="eastAsia"/>
                      <w:szCs w:val="21"/>
                      <w:lang w:val="en-US" w:eastAsia="zh-CN"/>
                    </w:rPr>
                    <w:t>24</w:t>
                  </w:r>
                </w:p>
              </w:tc>
              <w:tc>
                <w:tcPr>
                  <w:tcW w:w="944" w:type="pct"/>
                  <w:tcBorders>
                    <w:top w:val="single" w:color="auto" w:sz="2" w:space="0"/>
                    <w:left w:val="single" w:color="auto" w:sz="2" w:space="0"/>
                    <w:bottom w:val="single" w:color="auto" w:sz="2" w:space="0"/>
                    <w:right w:val="single" w:color="auto" w:sz="2" w:space="0"/>
                  </w:tcBorders>
                  <w:shd w:val="clear" w:color="auto" w:fill="auto"/>
                  <w:noWrap w:val="0"/>
                  <w:vAlign w:val="top"/>
                </w:tcPr>
                <w:p w14:paraId="522BCE8F">
                  <w:pPr>
                    <w:keepNext w:val="0"/>
                    <w:keepLines w:val="0"/>
                    <w:pageBreakBefore w:val="0"/>
                    <w:kinsoku/>
                    <w:wordWrap/>
                    <w:overflowPunct/>
                    <w:topLinePunct w:val="0"/>
                    <w:autoSpaceDE/>
                    <w:autoSpaceDN/>
                    <w:bidi w:val="0"/>
                    <w:adjustRightInd w:val="0"/>
                    <w:snapToGrid w:val="0"/>
                    <w:ind w:firstLine="0"/>
                    <w:jc w:val="center"/>
                    <w:textAlignment w:val="auto"/>
                    <w:rPr>
                      <w:szCs w:val="21"/>
                    </w:rPr>
                  </w:pPr>
                  <w:r>
                    <w:rPr>
                      <w:szCs w:val="21"/>
                    </w:rPr>
                    <w:t>室内</w:t>
                  </w:r>
                </w:p>
              </w:tc>
            </w:tr>
            <w:tr w14:paraId="1AE11B96">
              <w:tblPrEx>
                <w:tblCellMar>
                  <w:top w:w="15" w:type="dxa"/>
                  <w:left w:w="15" w:type="dxa"/>
                  <w:bottom w:w="15" w:type="dxa"/>
                  <w:right w:w="15" w:type="dxa"/>
                </w:tblCellMar>
              </w:tblPrEx>
              <w:trPr>
                <w:trHeight w:val="340" w:hRule="atLeast"/>
                <w:jc w:val="center"/>
              </w:trPr>
              <w:tc>
                <w:tcPr>
                  <w:tcW w:w="433" w:type="pct"/>
                  <w:tcBorders>
                    <w:top w:val="single" w:color="auto" w:sz="2" w:space="0"/>
                    <w:left w:val="single" w:color="auto" w:sz="2" w:space="0"/>
                    <w:bottom w:val="single" w:color="auto" w:sz="4" w:space="0"/>
                    <w:right w:val="single" w:color="auto" w:sz="2" w:space="0"/>
                  </w:tcBorders>
                  <w:shd w:val="clear" w:color="auto" w:fill="auto"/>
                  <w:noWrap w:val="0"/>
                  <w:tcMar>
                    <w:top w:w="0" w:type="dxa"/>
                    <w:left w:w="0" w:type="dxa"/>
                    <w:bottom w:w="0" w:type="dxa"/>
                    <w:right w:w="0" w:type="dxa"/>
                  </w:tcMar>
                  <w:vAlign w:val="center"/>
                </w:tcPr>
                <w:p w14:paraId="2E1821AE">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cs="宋体"/>
                      <w:kern w:val="2"/>
                      <w:sz w:val="21"/>
                      <w:szCs w:val="21"/>
                      <w:lang w:val="en-US" w:eastAsia="zh-CN"/>
                    </w:rPr>
                    <w:t>3</w:t>
                  </w:r>
                </w:p>
              </w:tc>
              <w:tc>
                <w:tcPr>
                  <w:tcW w:w="1087" w:type="pct"/>
                  <w:tcBorders>
                    <w:top w:val="single" w:color="auto" w:sz="2" w:space="0"/>
                    <w:left w:val="single" w:color="auto" w:sz="4"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6CE3DC5E">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旋风除尘器</w:t>
                  </w:r>
                </w:p>
              </w:tc>
              <w:tc>
                <w:tcPr>
                  <w:tcW w:w="876"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5C2B9813">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1</w:t>
                  </w:r>
                </w:p>
              </w:tc>
              <w:tc>
                <w:tcPr>
                  <w:tcW w:w="752"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19F153AA">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95</w:t>
                  </w:r>
                </w:p>
              </w:tc>
              <w:tc>
                <w:tcPr>
                  <w:tcW w:w="90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060BED72">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24</w:t>
                  </w:r>
                </w:p>
              </w:tc>
              <w:tc>
                <w:tcPr>
                  <w:tcW w:w="944" w:type="pct"/>
                  <w:tcBorders>
                    <w:top w:val="single" w:color="auto" w:sz="2" w:space="0"/>
                    <w:left w:val="single" w:color="auto" w:sz="2" w:space="0"/>
                    <w:bottom w:val="single" w:color="auto" w:sz="2" w:space="0"/>
                    <w:right w:val="single" w:color="auto" w:sz="2" w:space="0"/>
                  </w:tcBorders>
                  <w:shd w:val="clear" w:color="auto" w:fill="auto"/>
                  <w:noWrap w:val="0"/>
                  <w:vAlign w:val="top"/>
                </w:tcPr>
                <w:p w14:paraId="177A8332">
                  <w:pPr>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kern w:val="2"/>
                      <w:sz w:val="21"/>
                      <w:szCs w:val="21"/>
                      <w:lang w:val="en-US" w:eastAsia="zh-CN" w:bidi="ar-SA"/>
                    </w:rPr>
                  </w:pPr>
                  <w:r>
                    <w:rPr>
                      <w:szCs w:val="21"/>
                    </w:rPr>
                    <w:t>室内</w:t>
                  </w:r>
                </w:p>
              </w:tc>
            </w:tr>
            <w:tr w14:paraId="1E1DE270">
              <w:tblPrEx>
                <w:tblCellMar>
                  <w:top w:w="15" w:type="dxa"/>
                  <w:left w:w="15" w:type="dxa"/>
                  <w:bottom w:w="15" w:type="dxa"/>
                  <w:right w:w="15" w:type="dxa"/>
                </w:tblCellMar>
              </w:tblPrEx>
              <w:trPr>
                <w:trHeight w:val="340" w:hRule="atLeast"/>
                <w:jc w:val="center"/>
              </w:trPr>
              <w:tc>
                <w:tcPr>
                  <w:tcW w:w="433" w:type="pct"/>
                  <w:tcBorders>
                    <w:top w:val="single" w:color="auto" w:sz="4" w:space="0"/>
                    <w:left w:val="single" w:color="auto" w:sz="4" w:space="0"/>
                    <w:bottom w:val="single" w:color="auto" w:sz="4" w:space="0"/>
                    <w:right w:val="single" w:color="auto" w:sz="2" w:space="0"/>
                  </w:tcBorders>
                  <w:shd w:val="clear" w:color="auto" w:fill="auto"/>
                  <w:noWrap w:val="0"/>
                  <w:tcMar>
                    <w:top w:w="0" w:type="dxa"/>
                    <w:left w:w="0" w:type="dxa"/>
                    <w:bottom w:w="0" w:type="dxa"/>
                    <w:right w:w="0" w:type="dxa"/>
                  </w:tcMar>
                  <w:vAlign w:val="center"/>
                </w:tcPr>
                <w:p w14:paraId="5E46221A">
                  <w:pPr>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kern w:val="2"/>
                      <w:sz w:val="21"/>
                      <w:szCs w:val="21"/>
                      <w:lang w:val="en-US" w:eastAsia="zh-CN" w:bidi="ar-SA"/>
                    </w:rPr>
                  </w:pPr>
                  <w:r>
                    <w:rPr>
                      <w:rFonts w:hint="eastAsia" w:cs="宋体"/>
                      <w:szCs w:val="21"/>
                    </w:rPr>
                    <w:t>4</w:t>
                  </w:r>
                </w:p>
              </w:tc>
              <w:tc>
                <w:tcPr>
                  <w:tcW w:w="1087" w:type="pct"/>
                  <w:tcBorders>
                    <w:top w:val="single" w:color="auto" w:sz="2" w:space="0"/>
                    <w:left w:val="single" w:color="auto" w:sz="4"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00E0D941">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rFonts w:hint="eastAsia" w:ascii="Times New Roman" w:hAnsi="Times New Roman"/>
                      <w:kern w:val="2"/>
                      <w:sz w:val="21"/>
                      <w:szCs w:val="21"/>
                      <w:lang w:val="en-US" w:eastAsia="zh-CN"/>
                    </w:rPr>
                    <w:t>收料风机</w:t>
                  </w:r>
                </w:p>
              </w:tc>
              <w:tc>
                <w:tcPr>
                  <w:tcW w:w="876"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6D702000">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rFonts w:hint="eastAsia" w:ascii="Times New Roman" w:hAnsi="Times New Roman"/>
                      <w:kern w:val="2"/>
                      <w:sz w:val="21"/>
                      <w:szCs w:val="21"/>
                      <w:lang w:val="en-US" w:eastAsia="zh-CN"/>
                    </w:rPr>
                    <w:t>1</w:t>
                  </w:r>
                </w:p>
              </w:tc>
              <w:tc>
                <w:tcPr>
                  <w:tcW w:w="752"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6712DEC2">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90</w:t>
                  </w:r>
                </w:p>
              </w:tc>
              <w:tc>
                <w:tcPr>
                  <w:tcW w:w="90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7406017F">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24</w:t>
                  </w:r>
                </w:p>
              </w:tc>
              <w:tc>
                <w:tcPr>
                  <w:tcW w:w="94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0ADD32A6">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eastAsia="宋体"/>
                      <w:kern w:val="2"/>
                      <w:sz w:val="21"/>
                      <w:szCs w:val="21"/>
                      <w:lang w:val="en-US" w:eastAsia="zh-CN" w:bidi="ar-SA"/>
                    </w:rPr>
                  </w:pPr>
                  <w:r>
                    <w:rPr>
                      <w:rFonts w:ascii="Times New Roman" w:hAnsi="Times New Roman"/>
                      <w:kern w:val="2"/>
                      <w:sz w:val="21"/>
                      <w:szCs w:val="21"/>
                      <w:lang w:val="en-US" w:eastAsia="zh-CN"/>
                    </w:rPr>
                    <w:t>室</w:t>
                  </w:r>
                  <w:r>
                    <w:rPr>
                      <w:rFonts w:hint="eastAsia"/>
                      <w:sz w:val="21"/>
                      <w:szCs w:val="21"/>
                      <w:lang w:eastAsia="zh-CN"/>
                    </w:rPr>
                    <w:t>内</w:t>
                  </w:r>
                </w:p>
              </w:tc>
            </w:tr>
            <w:tr w14:paraId="400FBC42">
              <w:tblPrEx>
                <w:tblCellMar>
                  <w:top w:w="15" w:type="dxa"/>
                  <w:left w:w="15" w:type="dxa"/>
                  <w:bottom w:w="15" w:type="dxa"/>
                  <w:right w:w="15" w:type="dxa"/>
                </w:tblCellMar>
              </w:tblPrEx>
              <w:trPr>
                <w:trHeight w:val="340" w:hRule="atLeast"/>
                <w:jc w:val="center"/>
              </w:trPr>
              <w:tc>
                <w:tcPr>
                  <w:tcW w:w="433" w:type="pct"/>
                  <w:tcBorders>
                    <w:top w:val="single" w:color="auto" w:sz="4" w:space="0"/>
                    <w:left w:val="single" w:color="auto" w:sz="4" w:space="0"/>
                    <w:bottom w:val="single" w:color="auto" w:sz="4" w:space="0"/>
                    <w:right w:val="single" w:color="auto" w:sz="2" w:space="0"/>
                  </w:tcBorders>
                  <w:shd w:val="clear" w:color="auto" w:fill="auto"/>
                  <w:noWrap w:val="0"/>
                  <w:tcMar>
                    <w:top w:w="0" w:type="dxa"/>
                    <w:left w:w="0" w:type="dxa"/>
                    <w:bottom w:w="0" w:type="dxa"/>
                    <w:right w:w="0" w:type="dxa"/>
                  </w:tcMar>
                  <w:vAlign w:val="center"/>
                </w:tcPr>
                <w:p w14:paraId="7CD0AC9D">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zCs w:val="21"/>
                      <w:lang w:val="en-US" w:eastAsia="zh-CN"/>
                    </w:rPr>
                  </w:pPr>
                  <w:r>
                    <w:rPr>
                      <w:rFonts w:hint="eastAsia"/>
                      <w:szCs w:val="21"/>
                      <w:lang w:val="en-US" w:eastAsia="zh-CN"/>
                    </w:rPr>
                    <w:t>5</w:t>
                  </w:r>
                </w:p>
              </w:tc>
              <w:tc>
                <w:tcPr>
                  <w:tcW w:w="1087" w:type="pct"/>
                  <w:tcBorders>
                    <w:top w:val="single" w:color="auto" w:sz="2" w:space="0"/>
                    <w:left w:val="single" w:color="auto" w:sz="4"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6D766D35">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rFonts w:hint="eastAsia" w:ascii="Times New Roman" w:hAnsi="Times New Roman"/>
                      <w:kern w:val="2"/>
                      <w:sz w:val="21"/>
                      <w:szCs w:val="21"/>
                      <w:lang w:val="en-US" w:eastAsia="zh-CN"/>
                    </w:rPr>
                    <w:t>泵组</w:t>
                  </w:r>
                </w:p>
              </w:tc>
              <w:tc>
                <w:tcPr>
                  <w:tcW w:w="876"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0AC1D796">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rFonts w:hint="eastAsia" w:ascii="Times New Roman" w:hAnsi="Times New Roman"/>
                      <w:kern w:val="2"/>
                      <w:sz w:val="21"/>
                      <w:szCs w:val="21"/>
                      <w:lang w:val="en-US" w:eastAsia="zh-CN"/>
                    </w:rPr>
                    <w:t>3</w:t>
                  </w:r>
                </w:p>
              </w:tc>
              <w:tc>
                <w:tcPr>
                  <w:tcW w:w="752" w:type="pct"/>
                  <w:tcBorders>
                    <w:top w:val="single" w:color="auto" w:sz="2" w:space="0"/>
                    <w:left w:val="single" w:color="auto" w:sz="2" w:space="0"/>
                    <w:bottom w:val="single" w:color="auto" w:sz="2" w:space="0"/>
                    <w:right w:val="single" w:color="auto" w:sz="2" w:space="0"/>
                  </w:tcBorders>
                  <w:shd w:val="clear" w:color="auto" w:fill="auto"/>
                  <w:noWrap w:val="0"/>
                  <w:tcMar>
                    <w:top w:w="0" w:type="dxa"/>
                    <w:left w:w="0" w:type="dxa"/>
                    <w:bottom w:w="0" w:type="dxa"/>
                    <w:right w:w="0" w:type="dxa"/>
                  </w:tcMar>
                  <w:vAlign w:val="center"/>
                </w:tcPr>
                <w:p w14:paraId="627428FD">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rFonts w:hint="eastAsia" w:ascii="Times New Roman" w:hAnsi="Times New Roman"/>
                      <w:kern w:val="2"/>
                      <w:sz w:val="21"/>
                      <w:szCs w:val="21"/>
                      <w:lang w:val="en-US" w:eastAsia="zh-CN"/>
                    </w:rPr>
                    <w:t>80</w:t>
                  </w:r>
                </w:p>
              </w:tc>
              <w:tc>
                <w:tcPr>
                  <w:tcW w:w="90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3DBD6095">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rFonts w:hint="eastAsia" w:ascii="Times New Roman" w:hAnsi="Times New Roman"/>
                      <w:kern w:val="2"/>
                      <w:sz w:val="21"/>
                      <w:szCs w:val="21"/>
                      <w:lang w:val="en-US" w:eastAsia="zh-CN"/>
                    </w:rPr>
                    <w:t>24</w:t>
                  </w:r>
                </w:p>
              </w:tc>
              <w:tc>
                <w:tcPr>
                  <w:tcW w:w="94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7DBFA225">
                  <w:pPr>
                    <w:pStyle w:val="36"/>
                    <w:keepNext w:val="0"/>
                    <w:keepLines w:val="0"/>
                    <w:pageBreakBefore w:val="0"/>
                    <w:kinsoku/>
                    <w:wordWrap/>
                    <w:overflowPunct/>
                    <w:topLinePunct w:val="0"/>
                    <w:autoSpaceDE/>
                    <w:autoSpaceDN/>
                    <w:bidi w:val="0"/>
                    <w:adjustRightInd w:val="0"/>
                    <w:snapToGrid w:val="0"/>
                    <w:spacing w:before="0" w:beforeAutospacing="0" w:after="0" w:afterAutospacing="0"/>
                    <w:ind w:firstLine="0"/>
                    <w:jc w:val="center"/>
                    <w:textAlignment w:val="auto"/>
                    <w:rPr>
                      <w:rFonts w:hint="eastAsia" w:ascii="Times New Roman" w:hAnsi="Times New Roman"/>
                      <w:kern w:val="2"/>
                      <w:sz w:val="21"/>
                      <w:szCs w:val="21"/>
                      <w:lang w:val="en-US" w:eastAsia="zh-CN" w:bidi="ar-SA"/>
                    </w:rPr>
                  </w:pPr>
                  <w:r>
                    <w:rPr>
                      <w:sz w:val="21"/>
                      <w:szCs w:val="21"/>
                    </w:rPr>
                    <w:t>室内</w:t>
                  </w:r>
                </w:p>
              </w:tc>
            </w:tr>
          </w:tbl>
          <w:p w14:paraId="28E36BCE">
            <w:pPr>
              <w:pStyle w:val="10"/>
              <w:spacing w:line="440" w:lineRule="exact"/>
              <w:ind w:firstLine="482" w:firstLineChars="200"/>
              <w:rPr>
                <w:b/>
                <w:bCs/>
                <w:szCs w:val="24"/>
              </w:rPr>
            </w:pPr>
            <w:r>
              <w:rPr>
                <w:rFonts w:hint="eastAsia"/>
                <w:b/>
                <w:bCs/>
                <w:szCs w:val="24"/>
                <w:lang w:val="en-US" w:eastAsia="zh-CN"/>
              </w:rPr>
              <w:t>2、</w:t>
            </w:r>
            <w:r>
              <w:rPr>
                <w:b/>
                <w:bCs/>
                <w:szCs w:val="24"/>
              </w:rPr>
              <w:t>降噪措施</w:t>
            </w:r>
          </w:p>
          <w:p w14:paraId="0263C959">
            <w:pPr>
              <w:spacing w:line="460" w:lineRule="exact"/>
              <w:ind w:firstLine="480" w:firstLineChars="200"/>
              <w:rPr>
                <w:rStyle w:val="52"/>
                <w:color w:val="auto"/>
                <w:lang w:eastAsia="zh-CN"/>
              </w:rPr>
            </w:pPr>
            <w:r>
              <w:rPr>
                <w:rStyle w:val="52"/>
                <w:rFonts w:ascii="宋体" w:hAnsi="宋体"/>
                <w:color w:val="auto"/>
                <w:lang w:eastAsia="zh-CN"/>
              </w:rPr>
              <w:t>①</w:t>
            </w:r>
            <w:r>
              <w:rPr>
                <w:rFonts w:hint="eastAsia" w:cs="宋体"/>
                <w:sz w:val="24"/>
                <w:lang w:eastAsia="zh-CN"/>
              </w:rPr>
              <w:t>干燥塔、热风炉</w:t>
            </w:r>
            <w:r>
              <w:rPr>
                <w:rFonts w:hint="eastAsia" w:cs="宋体"/>
                <w:sz w:val="24"/>
              </w:rPr>
              <w:t>设置于车间内，</w:t>
            </w:r>
            <w:r>
              <w:rPr>
                <w:rStyle w:val="52"/>
                <w:color w:val="auto"/>
                <w:lang w:eastAsia="zh-CN"/>
              </w:rPr>
              <w:t>可降噪1</w:t>
            </w:r>
            <w:r>
              <w:rPr>
                <w:rStyle w:val="52"/>
                <w:rFonts w:hint="eastAsia"/>
                <w:color w:val="auto"/>
                <w:lang w:eastAsia="zh-CN"/>
              </w:rPr>
              <w:t>0</w:t>
            </w:r>
            <w:r>
              <w:rPr>
                <w:rStyle w:val="52"/>
                <w:color w:val="auto"/>
                <w:lang w:eastAsia="zh-CN"/>
              </w:rPr>
              <w:t>dB（A）。</w:t>
            </w:r>
          </w:p>
          <w:p w14:paraId="7E93ACE1">
            <w:pPr>
              <w:spacing w:line="460" w:lineRule="exact"/>
              <w:ind w:firstLine="480" w:firstLineChars="200"/>
              <w:rPr>
                <w:rStyle w:val="52"/>
                <w:color w:val="auto"/>
                <w:lang w:eastAsia="zh-CN"/>
              </w:rPr>
            </w:pPr>
            <w:r>
              <w:rPr>
                <w:rStyle w:val="52"/>
                <w:rFonts w:hint="eastAsia"/>
                <w:color w:val="auto"/>
                <w:lang w:eastAsia="zh-CN"/>
              </w:rPr>
              <w:t>②各类</w:t>
            </w:r>
            <w:r>
              <w:rPr>
                <w:rStyle w:val="52"/>
                <w:color w:val="auto"/>
                <w:lang w:eastAsia="zh-CN"/>
              </w:rPr>
              <w:t>风机噪声控制：安装消声器、设置风机房。风机在运转时产生的噪声主要有空气动力性噪声（即气流噪声）、机械噪声等，其中强度最高、影响最大的则是空气动力性噪声，尤其进出气口产生的噪声最严重。通过在进气口安装阻抗复合消声器和对进排气管道</w:t>
            </w:r>
            <w:r>
              <w:rPr>
                <w:rStyle w:val="52"/>
                <w:rFonts w:hint="eastAsia"/>
                <w:color w:val="auto"/>
                <w:lang w:eastAsia="zh-CN"/>
              </w:rPr>
              <w:t>做</w:t>
            </w:r>
            <w:r>
              <w:rPr>
                <w:rStyle w:val="52"/>
                <w:color w:val="auto"/>
                <w:lang w:eastAsia="zh-CN"/>
              </w:rPr>
              <w:t>阻尼减振措施，这样对整体设备可降噪15-25dB（A）以上。</w:t>
            </w:r>
          </w:p>
          <w:p w14:paraId="04C39B13">
            <w:pPr>
              <w:spacing w:line="460" w:lineRule="exact"/>
              <w:ind w:firstLine="480" w:firstLineChars="200"/>
              <w:rPr>
                <w:rStyle w:val="52"/>
                <w:color w:val="auto"/>
                <w:lang w:eastAsia="zh-CN"/>
              </w:rPr>
            </w:pPr>
            <w:r>
              <w:rPr>
                <w:rStyle w:val="52"/>
                <w:rFonts w:hint="eastAsia"/>
                <w:color w:val="auto"/>
                <w:lang w:eastAsia="zh-CN"/>
              </w:rPr>
              <w:t>③</w:t>
            </w:r>
            <w:r>
              <w:rPr>
                <w:rStyle w:val="52"/>
                <w:color w:val="auto"/>
                <w:lang w:eastAsia="zh-CN"/>
              </w:rPr>
              <w:t>强化生产管理：确保降噪设施的有效运行，并加强对</w:t>
            </w:r>
            <w:r>
              <w:rPr>
                <w:rStyle w:val="52"/>
                <w:rFonts w:hint="eastAsia"/>
                <w:color w:val="auto"/>
                <w:lang w:eastAsia="zh-CN"/>
              </w:rPr>
              <w:t>设备及风机的</w:t>
            </w:r>
            <w:r>
              <w:rPr>
                <w:rStyle w:val="52"/>
                <w:color w:val="auto"/>
                <w:lang w:eastAsia="zh-CN"/>
              </w:rPr>
              <w:t>保养</w:t>
            </w:r>
            <w:r>
              <w:rPr>
                <w:rStyle w:val="52"/>
                <w:rFonts w:hint="eastAsia"/>
                <w:color w:val="auto"/>
                <w:lang w:eastAsia="zh-CN"/>
              </w:rPr>
              <w:t>与</w:t>
            </w:r>
            <w:r>
              <w:rPr>
                <w:rStyle w:val="52"/>
                <w:color w:val="auto"/>
                <w:lang w:eastAsia="zh-CN"/>
              </w:rPr>
              <w:t>检修，保证设备处于良好</w:t>
            </w:r>
            <w:r>
              <w:rPr>
                <w:rStyle w:val="52"/>
                <w:rFonts w:hint="eastAsia"/>
                <w:color w:val="auto"/>
                <w:lang w:eastAsia="zh-CN"/>
              </w:rPr>
              <w:t>的</w:t>
            </w:r>
            <w:r>
              <w:rPr>
                <w:rStyle w:val="52"/>
                <w:color w:val="auto"/>
                <w:lang w:eastAsia="zh-CN"/>
              </w:rPr>
              <w:t>运转状态。</w:t>
            </w:r>
          </w:p>
          <w:p w14:paraId="18D02CB2">
            <w:pPr>
              <w:spacing w:line="440" w:lineRule="exact"/>
              <w:ind w:firstLine="480" w:firstLineChars="200"/>
              <w:jc w:val="left"/>
              <w:rPr>
                <w:sz w:val="24"/>
              </w:rPr>
            </w:pPr>
            <w:r>
              <w:rPr>
                <w:rStyle w:val="52"/>
                <w:color w:val="auto"/>
                <w:lang w:eastAsia="zh-CN"/>
              </w:rPr>
              <w:t>采取以上措施后，各设备噪声得到一定的</w:t>
            </w:r>
            <w:r>
              <w:rPr>
                <w:rStyle w:val="52"/>
                <w:rFonts w:hint="eastAsia"/>
                <w:color w:val="auto"/>
                <w:lang w:eastAsia="zh-CN"/>
              </w:rPr>
              <w:t>削减</w:t>
            </w:r>
            <w:r>
              <w:rPr>
                <w:rStyle w:val="52"/>
                <w:color w:val="auto"/>
                <w:lang w:eastAsia="zh-CN"/>
              </w:rPr>
              <w:t>，各噪声设备的噪声值见下表</w:t>
            </w:r>
            <w:r>
              <w:rPr>
                <w:rStyle w:val="52"/>
                <w:rFonts w:hint="eastAsia"/>
                <w:color w:val="auto"/>
                <w:lang w:eastAsia="zh-CN"/>
              </w:rPr>
              <w:t>。</w:t>
            </w:r>
          </w:p>
          <w:p w14:paraId="33D2AFB5">
            <w:pPr>
              <w:shd w:val="clear" w:color="auto" w:fill="FFFFFF"/>
              <w:adjustRightInd w:val="0"/>
              <w:snapToGrid w:val="0"/>
              <w:spacing w:line="440" w:lineRule="exact"/>
              <w:jc w:val="center"/>
              <w:rPr>
                <w:bCs/>
                <w:sz w:val="24"/>
              </w:rPr>
            </w:pPr>
            <w:r>
              <w:rPr>
                <w:bCs/>
                <w:sz w:val="24"/>
              </w:rPr>
              <w:t>表4-</w:t>
            </w:r>
            <w:r>
              <w:rPr>
                <w:rFonts w:hint="eastAsia"/>
                <w:bCs/>
                <w:sz w:val="24"/>
              </w:rPr>
              <w:t>1</w:t>
            </w:r>
            <w:r>
              <w:rPr>
                <w:rFonts w:hint="eastAsia"/>
                <w:bCs/>
                <w:sz w:val="24"/>
                <w:lang w:val="en-US" w:eastAsia="zh-CN"/>
              </w:rPr>
              <w:t>6</w:t>
            </w:r>
            <w:r>
              <w:rPr>
                <w:bCs/>
                <w:sz w:val="24"/>
              </w:rPr>
              <w:t xml:space="preserve">  项目降噪后主要噪声源强一览表</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84"/>
              <w:gridCol w:w="443"/>
              <w:gridCol w:w="1748"/>
              <w:gridCol w:w="1564"/>
              <w:gridCol w:w="1598"/>
              <w:gridCol w:w="1259"/>
              <w:gridCol w:w="996"/>
            </w:tblGrid>
            <w:tr w14:paraId="6CD2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240" w:type="pct"/>
                  <w:shd w:val="clear" w:color="auto" w:fill="auto"/>
                  <w:noWrap w:val="0"/>
                  <w:vAlign w:val="center"/>
                </w:tcPr>
                <w:p w14:paraId="7DBB5903">
                  <w:pPr>
                    <w:keepNext w:val="0"/>
                    <w:keepLines w:val="0"/>
                    <w:pageBreakBefore w:val="0"/>
                    <w:kinsoku/>
                    <w:wordWrap/>
                    <w:overflowPunct/>
                    <w:topLinePunct w:val="0"/>
                    <w:autoSpaceDE/>
                    <w:autoSpaceDN/>
                    <w:bidi w:val="0"/>
                    <w:adjustRightInd w:val="0"/>
                    <w:snapToGrid w:val="0"/>
                    <w:jc w:val="center"/>
                    <w:textAlignment w:val="auto"/>
                    <w:rPr>
                      <w:bCs/>
                      <w:szCs w:val="21"/>
                    </w:rPr>
                  </w:pPr>
                  <w:r>
                    <w:rPr>
                      <w:bCs/>
                      <w:szCs w:val="21"/>
                    </w:rPr>
                    <w:t>序</w:t>
                  </w:r>
                </w:p>
                <w:p w14:paraId="32432A2A">
                  <w:pPr>
                    <w:keepNext w:val="0"/>
                    <w:keepLines w:val="0"/>
                    <w:pageBreakBefore w:val="0"/>
                    <w:kinsoku/>
                    <w:wordWrap/>
                    <w:overflowPunct/>
                    <w:topLinePunct w:val="0"/>
                    <w:autoSpaceDE/>
                    <w:autoSpaceDN/>
                    <w:bidi w:val="0"/>
                    <w:adjustRightInd w:val="0"/>
                    <w:snapToGrid w:val="0"/>
                    <w:jc w:val="center"/>
                    <w:textAlignment w:val="auto"/>
                    <w:rPr>
                      <w:bCs/>
                      <w:szCs w:val="21"/>
                    </w:rPr>
                  </w:pPr>
                  <w:r>
                    <w:rPr>
                      <w:bCs/>
                      <w:szCs w:val="21"/>
                    </w:rPr>
                    <w:t>号</w:t>
                  </w:r>
                </w:p>
              </w:tc>
              <w:tc>
                <w:tcPr>
                  <w:tcW w:w="277" w:type="pct"/>
                  <w:shd w:val="clear" w:color="auto" w:fill="auto"/>
                  <w:noWrap w:val="0"/>
                  <w:vAlign w:val="center"/>
                </w:tcPr>
                <w:p w14:paraId="4F343483">
                  <w:pPr>
                    <w:keepNext w:val="0"/>
                    <w:keepLines w:val="0"/>
                    <w:pageBreakBefore w:val="0"/>
                    <w:kinsoku/>
                    <w:wordWrap/>
                    <w:overflowPunct/>
                    <w:topLinePunct w:val="0"/>
                    <w:autoSpaceDE/>
                    <w:autoSpaceDN/>
                    <w:bidi w:val="0"/>
                    <w:adjustRightInd w:val="0"/>
                    <w:snapToGrid w:val="0"/>
                    <w:jc w:val="center"/>
                    <w:textAlignment w:val="auto"/>
                    <w:rPr>
                      <w:bCs/>
                      <w:szCs w:val="21"/>
                    </w:rPr>
                  </w:pPr>
                  <w:r>
                    <w:rPr>
                      <w:bCs/>
                      <w:szCs w:val="21"/>
                    </w:rPr>
                    <w:t>声源位置</w:t>
                  </w:r>
                </w:p>
              </w:tc>
              <w:tc>
                <w:tcPr>
                  <w:tcW w:w="1093" w:type="pct"/>
                  <w:shd w:val="clear" w:color="auto" w:fill="auto"/>
                  <w:noWrap w:val="0"/>
                  <w:vAlign w:val="center"/>
                </w:tcPr>
                <w:p w14:paraId="5EAD1EB6">
                  <w:pPr>
                    <w:keepNext w:val="0"/>
                    <w:keepLines w:val="0"/>
                    <w:pageBreakBefore w:val="0"/>
                    <w:kinsoku/>
                    <w:wordWrap/>
                    <w:overflowPunct/>
                    <w:topLinePunct w:val="0"/>
                    <w:autoSpaceDE/>
                    <w:autoSpaceDN/>
                    <w:bidi w:val="0"/>
                    <w:adjustRightInd w:val="0"/>
                    <w:snapToGrid w:val="0"/>
                    <w:jc w:val="center"/>
                    <w:textAlignment w:val="auto"/>
                    <w:rPr>
                      <w:bCs/>
                      <w:szCs w:val="21"/>
                    </w:rPr>
                  </w:pPr>
                  <w:r>
                    <w:rPr>
                      <w:bCs/>
                      <w:szCs w:val="21"/>
                    </w:rPr>
                    <w:t>设备名称</w:t>
                  </w:r>
                </w:p>
              </w:tc>
              <w:tc>
                <w:tcPr>
                  <w:tcW w:w="978" w:type="pct"/>
                  <w:shd w:val="clear" w:color="auto" w:fill="auto"/>
                  <w:noWrap w:val="0"/>
                  <w:vAlign w:val="center"/>
                </w:tcPr>
                <w:p w14:paraId="29C7F6DA">
                  <w:pPr>
                    <w:keepNext w:val="0"/>
                    <w:keepLines w:val="0"/>
                    <w:pageBreakBefore w:val="0"/>
                    <w:kinsoku/>
                    <w:wordWrap/>
                    <w:overflowPunct/>
                    <w:topLinePunct w:val="0"/>
                    <w:autoSpaceDE/>
                    <w:autoSpaceDN/>
                    <w:bidi w:val="0"/>
                    <w:adjustRightInd w:val="0"/>
                    <w:snapToGrid w:val="0"/>
                    <w:jc w:val="center"/>
                    <w:textAlignment w:val="auto"/>
                    <w:rPr>
                      <w:bCs/>
                      <w:szCs w:val="21"/>
                    </w:rPr>
                  </w:pPr>
                  <w:r>
                    <w:rPr>
                      <w:rFonts w:hint="eastAsia"/>
                      <w:bCs/>
                      <w:szCs w:val="21"/>
                    </w:rPr>
                    <w:t>排放</w:t>
                  </w:r>
                  <w:r>
                    <w:rPr>
                      <w:bCs/>
                      <w:szCs w:val="21"/>
                    </w:rPr>
                    <w:t>强度dB(A)</w:t>
                  </w:r>
                </w:p>
              </w:tc>
              <w:tc>
                <w:tcPr>
                  <w:tcW w:w="999" w:type="pct"/>
                  <w:shd w:val="clear" w:color="auto" w:fill="auto"/>
                  <w:noWrap w:val="0"/>
                  <w:vAlign w:val="center"/>
                </w:tcPr>
                <w:p w14:paraId="52B410D8">
                  <w:pPr>
                    <w:keepNext w:val="0"/>
                    <w:keepLines w:val="0"/>
                    <w:pageBreakBefore w:val="0"/>
                    <w:kinsoku/>
                    <w:wordWrap/>
                    <w:overflowPunct/>
                    <w:topLinePunct w:val="0"/>
                    <w:autoSpaceDE/>
                    <w:autoSpaceDN/>
                    <w:bidi w:val="0"/>
                    <w:adjustRightInd w:val="0"/>
                    <w:snapToGrid w:val="0"/>
                    <w:jc w:val="center"/>
                    <w:textAlignment w:val="auto"/>
                    <w:rPr>
                      <w:bCs/>
                      <w:szCs w:val="21"/>
                    </w:rPr>
                  </w:pPr>
                  <w:r>
                    <w:rPr>
                      <w:bCs/>
                      <w:szCs w:val="21"/>
                    </w:rPr>
                    <w:t>运行台数（台</w:t>
                  </w:r>
                  <w:r>
                    <w:rPr>
                      <w:rFonts w:hint="eastAsia"/>
                      <w:bCs/>
                      <w:szCs w:val="21"/>
                    </w:rPr>
                    <w:t>/套</w:t>
                  </w:r>
                  <w:r>
                    <w:rPr>
                      <w:bCs/>
                      <w:szCs w:val="21"/>
                    </w:rPr>
                    <w:t>）</w:t>
                  </w:r>
                </w:p>
              </w:tc>
              <w:tc>
                <w:tcPr>
                  <w:tcW w:w="787" w:type="pct"/>
                  <w:shd w:val="clear" w:color="auto" w:fill="auto"/>
                  <w:noWrap w:val="0"/>
                  <w:vAlign w:val="center"/>
                </w:tcPr>
                <w:p w14:paraId="267DA3A8">
                  <w:pPr>
                    <w:keepNext w:val="0"/>
                    <w:keepLines w:val="0"/>
                    <w:pageBreakBefore w:val="0"/>
                    <w:kinsoku/>
                    <w:wordWrap/>
                    <w:overflowPunct/>
                    <w:topLinePunct w:val="0"/>
                    <w:autoSpaceDE/>
                    <w:autoSpaceDN/>
                    <w:bidi w:val="0"/>
                    <w:adjustRightInd w:val="0"/>
                    <w:snapToGrid w:val="0"/>
                    <w:jc w:val="center"/>
                    <w:textAlignment w:val="auto"/>
                    <w:rPr>
                      <w:bCs/>
                      <w:szCs w:val="21"/>
                    </w:rPr>
                  </w:pPr>
                  <w:r>
                    <w:rPr>
                      <w:bCs/>
                      <w:szCs w:val="21"/>
                    </w:rPr>
                    <w:t>降噪措施</w:t>
                  </w:r>
                </w:p>
              </w:tc>
              <w:tc>
                <w:tcPr>
                  <w:tcW w:w="622" w:type="pct"/>
                  <w:shd w:val="clear" w:color="auto" w:fill="auto"/>
                  <w:noWrap w:val="0"/>
                  <w:vAlign w:val="center"/>
                </w:tcPr>
                <w:p w14:paraId="7975BB1C">
                  <w:pPr>
                    <w:keepNext w:val="0"/>
                    <w:keepLines w:val="0"/>
                    <w:pageBreakBefore w:val="0"/>
                    <w:kinsoku/>
                    <w:wordWrap/>
                    <w:overflowPunct/>
                    <w:topLinePunct w:val="0"/>
                    <w:autoSpaceDE/>
                    <w:autoSpaceDN/>
                    <w:bidi w:val="0"/>
                    <w:adjustRightInd w:val="0"/>
                    <w:snapToGrid w:val="0"/>
                    <w:jc w:val="center"/>
                    <w:textAlignment w:val="auto"/>
                    <w:rPr>
                      <w:bCs/>
                      <w:szCs w:val="21"/>
                    </w:rPr>
                  </w:pPr>
                  <w:r>
                    <w:rPr>
                      <w:bCs/>
                      <w:szCs w:val="21"/>
                    </w:rPr>
                    <w:t>排放规律</w:t>
                  </w:r>
                </w:p>
              </w:tc>
            </w:tr>
            <w:tr w14:paraId="658C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0"/>
                  <w:vAlign w:val="center"/>
                </w:tcPr>
                <w:p w14:paraId="1AB544CB">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rPr>
                  </w:pPr>
                  <w:r>
                    <w:rPr>
                      <w:rFonts w:hint="eastAsia" w:ascii="Times New Roman" w:hAnsi="Times New Roman" w:cs="宋体"/>
                      <w:kern w:val="2"/>
                      <w:sz w:val="21"/>
                      <w:szCs w:val="21"/>
                      <w:lang w:val="en-US" w:eastAsia="zh-CN"/>
                    </w:rPr>
                    <w:t>1</w:t>
                  </w:r>
                </w:p>
              </w:tc>
              <w:tc>
                <w:tcPr>
                  <w:tcW w:w="277" w:type="pct"/>
                  <w:vMerge w:val="restart"/>
                  <w:shd w:val="clear" w:color="auto" w:fill="auto"/>
                  <w:noWrap w:val="0"/>
                  <w:vAlign w:val="center"/>
                </w:tcPr>
                <w:p w14:paraId="5D6FB9DF">
                  <w:pPr>
                    <w:keepNext w:val="0"/>
                    <w:keepLines w:val="0"/>
                    <w:pageBreakBefore w:val="0"/>
                    <w:kinsoku/>
                    <w:wordWrap/>
                    <w:overflowPunct/>
                    <w:topLinePunct w:val="0"/>
                    <w:autoSpaceDE/>
                    <w:autoSpaceDN/>
                    <w:bidi w:val="0"/>
                    <w:adjustRightInd w:val="0"/>
                    <w:snapToGrid w:val="0"/>
                    <w:jc w:val="center"/>
                    <w:textAlignment w:val="auto"/>
                    <w:rPr>
                      <w:szCs w:val="21"/>
                    </w:rPr>
                  </w:pPr>
                  <w:r>
                    <w:rPr>
                      <w:rFonts w:hint="eastAsia"/>
                      <w:szCs w:val="21"/>
                    </w:rPr>
                    <w:t>生产车间</w:t>
                  </w:r>
                </w:p>
              </w:tc>
              <w:tc>
                <w:tcPr>
                  <w:tcW w:w="1093" w:type="pct"/>
                  <w:shd w:val="clear" w:color="auto" w:fill="auto"/>
                  <w:noWrap w:val="0"/>
                  <w:vAlign w:val="center"/>
                </w:tcPr>
                <w:p w14:paraId="053D732D">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rPr>
                  </w:pPr>
                  <w:r>
                    <w:rPr>
                      <w:rFonts w:hint="eastAsia" w:ascii="Times New Roman" w:hAnsi="Times New Roman" w:cs="宋体"/>
                      <w:kern w:val="2"/>
                      <w:sz w:val="21"/>
                      <w:szCs w:val="21"/>
                      <w:lang w:val="en-US" w:eastAsia="zh-CN"/>
                    </w:rPr>
                    <w:t>引风机</w:t>
                  </w:r>
                </w:p>
              </w:tc>
              <w:tc>
                <w:tcPr>
                  <w:tcW w:w="978" w:type="pct"/>
                  <w:shd w:val="clear" w:color="auto" w:fill="auto"/>
                  <w:noWrap w:val="0"/>
                  <w:vAlign w:val="center"/>
                </w:tcPr>
                <w:p w14:paraId="1D6D609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kern w:val="2"/>
                      <w:sz w:val="21"/>
                      <w:szCs w:val="21"/>
                      <w:lang w:val="en-US" w:eastAsia="zh-CN" w:bidi="ar-SA"/>
                    </w:rPr>
                  </w:pPr>
                  <w:r>
                    <w:rPr>
                      <w:rFonts w:hint="eastAsia"/>
                      <w:szCs w:val="21"/>
                      <w:lang w:val="en-US" w:eastAsia="zh-CN"/>
                    </w:rPr>
                    <w:t>75</w:t>
                  </w:r>
                </w:p>
              </w:tc>
              <w:tc>
                <w:tcPr>
                  <w:tcW w:w="999" w:type="pct"/>
                  <w:shd w:val="clear" w:color="auto" w:fill="auto"/>
                  <w:noWrap w:val="0"/>
                  <w:vAlign w:val="center"/>
                </w:tcPr>
                <w:p w14:paraId="7C13503E">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bidi="ar-SA"/>
                    </w:rPr>
                  </w:pPr>
                  <w:r>
                    <w:rPr>
                      <w:rFonts w:hint="eastAsia" w:ascii="Times New Roman" w:hAnsi="Times New Roman" w:cs="宋体"/>
                      <w:kern w:val="2"/>
                      <w:sz w:val="21"/>
                      <w:szCs w:val="21"/>
                      <w:lang w:val="en-US" w:eastAsia="zh-CN"/>
                    </w:rPr>
                    <w:t>1</w:t>
                  </w:r>
                </w:p>
              </w:tc>
              <w:tc>
                <w:tcPr>
                  <w:tcW w:w="787" w:type="pct"/>
                  <w:shd w:val="clear" w:color="auto" w:fill="auto"/>
                  <w:noWrap w:val="0"/>
                  <w:vAlign w:val="center"/>
                </w:tcPr>
                <w:p w14:paraId="49462DB9">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kern w:val="2"/>
                      <w:sz w:val="21"/>
                      <w:szCs w:val="21"/>
                      <w:lang w:val="en-US" w:eastAsia="zh-CN"/>
                    </w:rPr>
                  </w:pPr>
                  <w:r>
                    <w:rPr>
                      <w:szCs w:val="21"/>
                    </w:rPr>
                    <w:t>室</w:t>
                  </w:r>
                  <w:r>
                    <w:rPr>
                      <w:rFonts w:hint="eastAsia"/>
                      <w:szCs w:val="21"/>
                      <w:lang w:eastAsia="zh-CN"/>
                    </w:rPr>
                    <w:t>外、软连接、风机房</w:t>
                  </w:r>
                </w:p>
              </w:tc>
              <w:tc>
                <w:tcPr>
                  <w:tcW w:w="622" w:type="pct"/>
                  <w:shd w:val="clear" w:color="auto" w:fill="auto"/>
                  <w:noWrap w:val="0"/>
                  <w:vAlign w:val="center"/>
                </w:tcPr>
                <w:p w14:paraId="4DED63BE">
                  <w:pPr>
                    <w:keepNext w:val="0"/>
                    <w:keepLines w:val="0"/>
                    <w:pageBreakBefore w:val="0"/>
                    <w:kinsoku/>
                    <w:wordWrap/>
                    <w:overflowPunct/>
                    <w:topLinePunct w:val="0"/>
                    <w:autoSpaceDE/>
                    <w:autoSpaceDN/>
                    <w:bidi w:val="0"/>
                    <w:adjustRightInd w:val="0"/>
                    <w:snapToGrid w:val="0"/>
                    <w:jc w:val="center"/>
                    <w:textAlignment w:val="auto"/>
                    <w:rPr>
                      <w:szCs w:val="21"/>
                    </w:rPr>
                  </w:pPr>
                  <w:r>
                    <w:rPr>
                      <w:szCs w:val="21"/>
                    </w:rPr>
                    <w:t>间歇</w:t>
                  </w:r>
                </w:p>
              </w:tc>
            </w:tr>
            <w:tr w14:paraId="16D0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0"/>
                  <w:vAlign w:val="center"/>
                </w:tcPr>
                <w:p w14:paraId="4554F009">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kern w:val="2"/>
                      <w:sz w:val="21"/>
                      <w:szCs w:val="21"/>
                      <w:lang w:val="en-US" w:eastAsia="zh-CN" w:bidi="ar-SA"/>
                    </w:rPr>
                  </w:pPr>
                  <w:r>
                    <w:rPr>
                      <w:rFonts w:hint="eastAsia" w:ascii="Times New Roman" w:hAnsi="Times New Roman" w:cs="宋体"/>
                      <w:kern w:val="2"/>
                      <w:sz w:val="21"/>
                      <w:szCs w:val="21"/>
                      <w:lang w:val="en-US" w:eastAsia="zh-CN"/>
                    </w:rPr>
                    <w:t>2</w:t>
                  </w:r>
                </w:p>
              </w:tc>
              <w:tc>
                <w:tcPr>
                  <w:tcW w:w="277" w:type="pct"/>
                  <w:vMerge w:val="continue"/>
                  <w:shd w:val="clear" w:color="auto" w:fill="auto"/>
                  <w:noWrap w:val="0"/>
                  <w:vAlign w:val="center"/>
                </w:tcPr>
                <w:p w14:paraId="4536347A">
                  <w:pPr>
                    <w:keepNext w:val="0"/>
                    <w:keepLines w:val="0"/>
                    <w:pageBreakBefore w:val="0"/>
                    <w:kinsoku/>
                    <w:wordWrap/>
                    <w:overflowPunct/>
                    <w:topLinePunct w:val="0"/>
                    <w:autoSpaceDE/>
                    <w:autoSpaceDN/>
                    <w:bidi w:val="0"/>
                    <w:adjustRightInd w:val="0"/>
                    <w:snapToGrid w:val="0"/>
                    <w:jc w:val="center"/>
                    <w:textAlignment w:val="auto"/>
                    <w:rPr>
                      <w:rFonts w:hint="eastAsia"/>
                      <w:szCs w:val="21"/>
                    </w:rPr>
                  </w:pPr>
                </w:p>
              </w:tc>
              <w:tc>
                <w:tcPr>
                  <w:tcW w:w="1093" w:type="pct"/>
                  <w:shd w:val="clear" w:color="auto" w:fill="auto"/>
                  <w:noWrap w:val="0"/>
                  <w:vAlign w:val="center"/>
                </w:tcPr>
                <w:p w14:paraId="12CC3C73">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cs="宋体"/>
                      <w:kern w:val="2"/>
                      <w:sz w:val="21"/>
                      <w:szCs w:val="21"/>
                      <w:lang w:val="en-US" w:eastAsia="zh-CN"/>
                    </w:rPr>
                  </w:pPr>
                  <w:r>
                    <w:rPr>
                      <w:rFonts w:hint="eastAsia" w:ascii="Times New Roman" w:hAnsi="Times New Roman" w:cs="宋体"/>
                      <w:kern w:val="2"/>
                      <w:sz w:val="21"/>
                      <w:szCs w:val="21"/>
                      <w:lang w:val="en-US" w:eastAsia="zh-CN"/>
                    </w:rPr>
                    <w:t>燃烧器助燃鼓风机</w:t>
                  </w:r>
                </w:p>
              </w:tc>
              <w:tc>
                <w:tcPr>
                  <w:tcW w:w="978" w:type="pct"/>
                  <w:shd w:val="clear" w:color="auto" w:fill="auto"/>
                  <w:noWrap w:val="0"/>
                  <w:vAlign w:val="center"/>
                </w:tcPr>
                <w:p w14:paraId="59C9B478">
                  <w:pPr>
                    <w:keepNext w:val="0"/>
                    <w:keepLines w:val="0"/>
                    <w:pageBreakBefore w:val="0"/>
                    <w:kinsoku/>
                    <w:wordWrap/>
                    <w:overflowPunct/>
                    <w:topLinePunct w:val="0"/>
                    <w:autoSpaceDE/>
                    <w:autoSpaceDN/>
                    <w:bidi w:val="0"/>
                    <w:adjustRightInd w:val="0"/>
                    <w:snapToGrid w:val="0"/>
                    <w:jc w:val="center"/>
                    <w:textAlignment w:val="auto"/>
                    <w:rPr>
                      <w:rFonts w:hint="default"/>
                      <w:szCs w:val="21"/>
                      <w:lang w:val="en-US" w:eastAsia="zh-CN"/>
                    </w:rPr>
                  </w:pPr>
                  <w:r>
                    <w:rPr>
                      <w:rFonts w:hint="eastAsia"/>
                      <w:szCs w:val="21"/>
                      <w:lang w:val="en-US" w:eastAsia="zh-CN"/>
                    </w:rPr>
                    <w:t>75</w:t>
                  </w:r>
                </w:p>
              </w:tc>
              <w:tc>
                <w:tcPr>
                  <w:tcW w:w="999" w:type="pct"/>
                  <w:shd w:val="clear" w:color="auto" w:fill="auto"/>
                  <w:noWrap w:val="0"/>
                  <w:vAlign w:val="center"/>
                </w:tcPr>
                <w:p w14:paraId="7B1EAAB1">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宋体"/>
                      <w:kern w:val="2"/>
                      <w:sz w:val="21"/>
                      <w:szCs w:val="21"/>
                      <w:lang w:val="en-US" w:eastAsia="zh-CN"/>
                    </w:rPr>
                  </w:pPr>
                  <w:r>
                    <w:rPr>
                      <w:rFonts w:hint="eastAsia" w:ascii="Times New Roman" w:hAnsi="Times New Roman" w:cs="宋体"/>
                      <w:kern w:val="2"/>
                      <w:sz w:val="21"/>
                      <w:szCs w:val="21"/>
                      <w:lang w:val="en-US" w:eastAsia="zh-CN"/>
                    </w:rPr>
                    <w:t>1</w:t>
                  </w:r>
                </w:p>
              </w:tc>
              <w:tc>
                <w:tcPr>
                  <w:tcW w:w="787" w:type="pct"/>
                  <w:shd w:val="clear" w:color="auto" w:fill="auto"/>
                  <w:noWrap w:val="0"/>
                  <w:vAlign w:val="center"/>
                </w:tcPr>
                <w:p w14:paraId="6E685D7D">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kern w:val="2"/>
                      <w:sz w:val="21"/>
                      <w:szCs w:val="21"/>
                      <w:lang w:val="en-US" w:eastAsia="zh-CN" w:bidi="ar-SA"/>
                    </w:rPr>
                  </w:pPr>
                  <w:r>
                    <w:rPr>
                      <w:rFonts w:hint="eastAsia"/>
                      <w:sz w:val="21"/>
                      <w:szCs w:val="21"/>
                      <w:lang w:eastAsia="zh-CN"/>
                    </w:rPr>
                    <w:t>减振、</w:t>
                  </w:r>
                  <w:r>
                    <w:rPr>
                      <w:szCs w:val="21"/>
                    </w:rPr>
                    <w:t>室内</w:t>
                  </w:r>
                </w:p>
              </w:tc>
              <w:tc>
                <w:tcPr>
                  <w:tcW w:w="622" w:type="pct"/>
                  <w:shd w:val="clear" w:color="auto" w:fill="auto"/>
                  <w:noWrap w:val="0"/>
                  <w:vAlign w:val="center"/>
                </w:tcPr>
                <w:p w14:paraId="2BA7CC8A">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kern w:val="2"/>
                      <w:sz w:val="21"/>
                      <w:szCs w:val="21"/>
                      <w:lang w:val="en-US" w:eastAsia="zh-CN" w:bidi="ar-SA"/>
                    </w:rPr>
                  </w:pPr>
                  <w:r>
                    <w:rPr>
                      <w:szCs w:val="21"/>
                    </w:rPr>
                    <w:t>间歇</w:t>
                  </w:r>
                </w:p>
              </w:tc>
            </w:tr>
            <w:tr w14:paraId="66FE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0"/>
                  <w:vAlign w:val="center"/>
                </w:tcPr>
                <w:p w14:paraId="1D0181FA">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bidi="ar-SA"/>
                    </w:rPr>
                  </w:pPr>
                  <w:r>
                    <w:rPr>
                      <w:rFonts w:hint="eastAsia" w:ascii="Times New Roman" w:hAnsi="Times New Roman" w:cs="宋体"/>
                      <w:kern w:val="2"/>
                      <w:sz w:val="21"/>
                      <w:szCs w:val="21"/>
                      <w:lang w:val="en-US" w:eastAsia="zh-CN"/>
                    </w:rPr>
                    <w:t>3</w:t>
                  </w:r>
                </w:p>
              </w:tc>
              <w:tc>
                <w:tcPr>
                  <w:tcW w:w="277" w:type="pct"/>
                  <w:vMerge w:val="continue"/>
                  <w:shd w:val="clear" w:color="auto" w:fill="auto"/>
                  <w:noWrap w:val="0"/>
                  <w:vAlign w:val="center"/>
                </w:tcPr>
                <w:p w14:paraId="3B45F9FD">
                  <w:pPr>
                    <w:keepNext w:val="0"/>
                    <w:keepLines w:val="0"/>
                    <w:pageBreakBefore w:val="0"/>
                    <w:kinsoku/>
                    <w:wordWrap/>
                    <w:overflowPunct/>
                    <w:topLinePunct w:val="0"/>
                    <w:autoSpaceDE/>
                    <w:autoSpaceDN/>
                    <w:bidi w:val="0"/>
                    <w:adjustRightInd w:val="0"/>
                    <w:snapToGrid w:val="0"/>
                    <w:jc w:val="center"/>
                    <w:textAlignment w:val="auto"/>
                    <w:rPr>
                      <w:szCs w:val="21"/>
                    </w:rPr>
                  </w:pPr>
                </w:p>
              </w:tc>
              <w:tc>
                <w:tcPr>
                  <w:tcW w:w="1093" w:type="pct"/>
                  <w:shd w:val="clear" w:color="auto" w:fill="auto"/>
                  <w:noWrap w:val="0"/>
                  <w:vAlign w:val="center"/>
                </w:tcPr>
                <w:p w14:paraId="0E7577A9">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rPr>
                  </w:pPr>
                  <w:r>
                    <w:rPr>
                      <w:rFonts w:hint="eastAsia" w:ascii="Times New Roman" w:hAnsi="Times New Roman"/>
                      <w:kern w:val="2"/>
                      <w:sz w:val="21"/>
                      <w:szCs w:val="21"/>
                      <w:lang w:val="en-US" w:eastAsia="zh-CN"/>
                    </w:rPr>
                    <w:t>旋风除尘器</w:t>
                  </w:r>
                </w:p>
              </w:tc>
              <w:tc>
                <w:tcPr>
                  <w:tcW w:w="978" w:type="pct"/>
                  <w:shd w:val="clear" w:color="auto" w:fill="auto"/>
                  <w:noWrap w:val="0"/>
                  <w:vAlign w:val="center"/>
                </w:tcPr>
                <w:p w14:paraId="2AF56D25">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kern w:val="2"/>
                      <w:sz w:val="21"/>
                      <w:szCs w:val="21"/>
                      <w:lang w:val="en-US" w:eastAsia="zh-CN" w:bidi="ar-SA"/>
                    </w:rPr>
                  </w:pPr>
                  <w:r>
                    <w:rPr>
                      <w:rFonts w:hint="eastAsia" w:ascii="Times New Roman" w:hAnsi="Times New Roman"/>
                      <w:kern w:val="2"/>
                      <w:sz w:val="21"/>
                      <w:szCs w:val="21"/>
                      <w:lang w:val="en-US" w:eastAsia="zh-CN"/>
                    </w:rPr>
                    <w:t>70</w:t>
                  </w:r>
                </w:p>
              </w:tc>
              <w:tc>
                <w:tcPr>
                  <w:tcW w:w="999" w:type="pct"/>
                  <w:shd w:val="clear" w:color="auto" w:fill="auto"/>
                  <w:noWrap w:val="0"/>
                  <w:vAlign w:val="center"/>
                </w:tcPr>
                <w:p w14:paraId="187E0CF8">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1</w:t>
                  </w:r>
                </w:p>
              </w:tc>
              <w:tc>
                <w:tcPr>
                  <w:tcW w:w="787" w:type="pct"/>
                  <w:shd w:val="clear" w:color="auto" w:fill="auto"/>
                  <w:noWrap w:val="0"/>
                  <w:vAlign w:val="center"/>
                </w:tcPr>
                <w:p w14:paraId="48E19E22">
                  <w:pPr>
                    <w:keepNext w:val="0"/>
                    <w:keepLines w:val="0"/>
                    <w:pageBreakBefore w:val="0"/>
                    <w:kinsoku/>
                    <w:wordWrap/>
                    <w:overflowPunct/>
                    <w:topLinePunct w:val="0"/>
                    <w:autoSpaceDE/>
                    <w:autoSpaceDN/>
                    <w:bidi w:val="0"/>
                    <w:adjustRightInd w:val="0"/>
                    <w:snapToGrid w:val="0"/>
                    <w:jc w:val="center"/>
                    <w:textAlignment w:val="auto"/>
                    <w:rPr>
                      <w:szCs w:val="21"/>
                    </w:rPr>
                  </w:pPr>
                  <w:r>
                    <w:rPr>
                      <w:rFonts w:hint="eastAsia"/>
                      <w:sz w:val="21"/>
                      <w:szCs w:val="21"/>
                      <w:lang w:eastAsia="zh-CN"/>
                    </w:rPr>
                    <w:t>减振、</w:t>
                  </w:r>
                  <w:r>
                    <w:rPr>
                      <w:szCs w:val="21"/>
                    </w:rPr>
                    <w:t>室内</w:t>
                  </w:r>
                </w:p>
              </w:tc>
              <w:tc>
                <w:tcPr>
                  <w:tcW w:w="622" w:type="pct"/>
                  <w:shd w:val="clear" w:color="auto" w:fill="auto"/>
                  <w:noWrap w:val="0"/>
                  <w:vAlign w:val="center"/>
                </w:tcPr>
                <w:p w14:paraId="203AC511">
                  <w:pPr>
                    <w:keepNext w:val="0"/>
                    <w:keepLines w:val="0"/>
                    <w:pageBreakBefore w:val="0"/>
                    <w:kinsoku/>
                    <w:wordWrap/>
                    <w:overflowPunct/>
                    <w:topLinePunct w:val="0"/>
                    <w:autoSpaceDE/>
                    <w:autoSpaceDN/>
                    <w:bidi w:val="0"/>
                    <w:adjustRightInd w:val="0"/>
                    <w:snapToGrid w:val="0"/>
                    <w:jc w:val="center"/>
                    <w:textAlignment w:val="auto"/>
                    <w:rPr>
                      <w:szCs w:val="21"/>
                    </w:rPr>
                  </w:pPr>
                  <w:r>
                    <w:rPr>
                      <w:szCs w:val="21"/>
                    </w:rPr>
                    <w:t>间歇</w:t>
                  </w:r>
                </w:p>
              </w:tc>
            </w:tr>
            <w:tr w14:paraId="44BB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0"/>
                  <w:vAlign w:val="center"/>
                </w:tcPr>
                <w:p w14:paraId="7A22519F">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kern w:val="2"/>
                      <w:sz w:val="21"/>
                      <w:szCs w:val="21"/>
                      <w:lang w:val="en-US" w:eastAsia="zh-CN" w:bidi="ar-SA"/>
                    </w:rPr>
                  </w:pPr>
                  <w:r>
                    <w:rPr>
                      <w:rFonts w:hint="eastAsia" w:cs="宋体"/>
                      <w:szCs w:val="21"/>
                    </w:rPr>
                    <w:t>4</w:t>
                  </w:r>
                </w:p>
              </w:tc>
              <w:tc>
                <w:tcPr>
                  <w:tcW w:w="277" w:type="pct"/>
                  <w:vMerge w:val="continue"/>
                  <w:shd w:val="clear" w:color="auto" w:fill="auto"/>
                  <w:noWrap w:val="0"/>
                  <w:vAlign w:val="center"/>
                </w:tcPr>
                <w:p w14:paraId="5DFB52A2">
                  <w:pPr>
                    <w:keepNext w:val="0"/>
                    <w:keepLines w:val="0"/>
                    <w:pageBreakBefore w:val="0"/>
                    <w:kinsoku/>
                    <w:wordWrap/>
                    <w:overflowPunct/>
                    <w:topLinePunct w:val="0"/>
                    <w:autoSpaceDE/>
                    <w:autoSpaceDN/>
                    <w:bidi w:val="0"/>
                    <w:adjustRightInd w:val="0"/>
                    <w:snapToGrid w:val="0"/>
                    <w:jc w:val="center"/>
                    <w:textAlignment w:val="auto"/>
                    <w:rPr>
                      <w:szCs w:val="21"/>
                    </w:rPr>
                  </w:pPr>
                </w:p>
              </w:tc>
              <w:tc>
                <w:tcPr>
                  <w:tcW w:w="1093" w:type="pct"/>
                  <w:shd w:val="clear" w:color="auto" w:fill="auto"/>
                  <w:noWrap w:val="0"/>
                  <w:vAlign w:val="center"/>
                </w:tcPr>
                <w:p w14:paraId="0F9519DB">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rPr>
                  </w:pPr>
                  <w:r>
                    <w:rPr>
                      <w:rFonts w:hint="eastAsia" w:ascii="Times New Roman" w:hAnsi="Times New Roman"/>
                      <w:kern w:val="2"/>
                      <w:sz w:val="21"/>
                      <w:szCs w:val="21"/>
                      <w:lang w:val="en-US" w:eastAsia="zh-CN"/>
                    </w:rPr>
                    <w:t>收料风机</w:t>
                  </w:r>
                </w:p>
              </w:tc>
              <w:tc>
                <w:tcPr>
                  <w:tcW w:w="978" w:type="pct"/>
                  <w:shd w:val="clear" w:color="auto" w:fill="auto"/>
                  <w:noWrap w:val="0"/>
                  <w:vAlign w:val="center"/>
                </w:tcPr>
                <w:p w14:paraId="4565C513">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kern w:val="2"/>
                      <w:sz w:val="21"/>
                      <w:szCs w:val="21"/>
                      <w:lang w:val="en-US" w:eastAsia="zh-CN" w:bidi="ar-SA"/>
                    </w:rPr>
                  </w:pPr>
                  <w:r>
                    <w:rPr>
                      <w:rFonts w:hint="eastAsia" w:ascii="Times New Roman" w:hAnsi="Times New Roman"/>
                      <w:kern w:val="2"/>
                      <w:sz w:val="21"/>
                      <w:szCs w:val="21"/>
                      <w:lang w:val="en-US" w:eastAsia="zh-CN"/>
                    </w:rPr>
                    <w:t>75</w:t>
                  </w:r>
                </w:p>
              </w:tc>
              <w:tc>
                <w:tcPr>
                  <w:tcW w:w="999" w:type="pct"/>
                  <w:shd w:val="clear" w:color="auto" w:fill="auto"/>
                  <w:noWrap w:val="0"/>
                  <w:vAlign w:val="center"/>
                </w:tcPr>
                <w:p w14:paraId="1D1F94E0">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bidi="ar-SA"/>
                    </w:rPr>
                  </w:pPr>
                  <w:r>
                    <w:rPr>
                      <w:rFonts w:hint="eastAsia" w:ascii="Times New Roman" w:hAnsi="Times New Roman"/>
                      <w:kern w:val="2"/>
                      <w:sz w:val="21"/>
                      <w:szCs w:val="21"/>
                      <w:lang w:val="en-US" w:eastAsia="zh-CN"/>
                    </w:rPr>
                    <w:t>1</w:t>
                  </w:r>
                </w:p>
              </w:tc>
              <w:tc>
                <w:tcPr>
                  <w:tcW w:w="787" w:type="pct"/>
                  <w:shd w:val="clear" w:color="auto" w:fill="auto"/>
                  <w:noWrap w:val="0"/>
                  <w:vAlign w:val="center"/>
                </w:tcPr>
                <w:p w14:paraId="1D3A9C29">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rPr>
                  </w:pPr>
                  <w:r>
                    <w:rPr>
                      <w:rFonts w:hint="eastAsia"/>
                      <w:sz w:val="21"/>
                      <w:szCs w:val="21"/>
                      <w:lang w:eastAsia="zh-CN"/>
                    </w:rPr>
                    <w:t>减振、</w:t>
                  </w:r>
                  <w:r>
                    <w:rPr>
                      <w:rFonts w:ascii="Times New Roman" w:hAnsi="Times New Roman"/>
                      <w:kern w:val="2"/>
                      <w:sz w:val="21"/>
                      <w:szCs w:val="21"/>
                      <w:lang w:val="en-US" w:eastAsia="zh-CN"/>
                    </w:rPr>
                    <w:t>室</w:t>
                  </w:r>
                  <w:r>
                    <w:rPr>
                      <w:rFonts w:hint="eastAsia"/>
                      <w:sz w:val="21"/>
                      <w:szCs w:val="21"/>
                      <w:lang w:eastAsia="zh-CN"/>
                    </w:rPr>
                    <w:t>内</w:t>
                  </w:r>
                </w:p>
              </w:tc>
              <w:tc>
                <w:tcPr>
                  <w:tcW w:w="622" w:type="pct"/>
                  <w:shd w:val="clear" w:color="auto" w:fill="auto"/>
                  <w:noWrap w:val="0"/>
                  <w:vAlign w:val="center"/>
                </w:tcPr>
                <w:p w14:paraId="4A888FF8">
                  <w:pPr>
                    <w:keepNext w:val="0"/>
                    <w:keepLines w:val="0"/>
                    <w:pageBreakBefore w:val="0"/>
                    <w:kinsoku/>
                    <w:wordWrap/>
                    <w:overflowPunct/>
                    <w:topLinePunct w:val="0"/>
                    <w:autoSpaceDE/>
                    <w:autoSpaceDN/>
                    <w:bidi w:val="0"/>
                    <w:adjustRightInd w:val="0"/>
                    <w:snapToGrid w:val="0"/>
                    <w:jc w:val="center"/>
                    <w:textAlignment w:val="auto"/>
                    <w:rPr>
                      <w:szCs w:val="21"/>
                    </w:rPr>
                  </w:pPr>
                  <w:r>
                    <w:rPr>
                      <w:rFonts w:hint="eastAsia"/>
                      <w:szCs w:val="21"/>
                    </w:rPr>
                    <w:t>间歇</w:t>
                  </w:r>
                </w:p>
              </w:tc>
            </w:tr>
            <w:tr w14:paraId="1160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 w:type="pct"/>
                  <w:shd w:val="clear" w:color="auto" w:fill="auto"/>
                  <w:noWrap w:val="0"/>
                  <w:vAlign w:val="center"/>
                </w:tcPr>
                <w:p w14:paraId="34D91A71">
                  <w:pPr>
                    <w:keepNext w:val="0"/>
                    <w:keepLines w:val="0"/>
                    <w:pageBreakBefore w:val="0"/>
                    <w:kinsoku/>
                    <w:wordWrap/>
                    <w:overflowPunct/>
                    <w:topLinePunct w:val="0"/>
                    <w:autoSpaceDE/>
                    <w:autoSpaceDN/>
                    <w:bidi w:val="0"/>
                    <w:adjustRightInd w:val="0"/>
                    <w:snapToGrid w:val="0"/>
                    <w:jc w:val="center"/>
                    <w:textAlignment w:val="auto"/>
                    <w:rPr>
                      <w:rFonts w:hint="eastAsia" w:eastAsia="宋体"/>
                      <w:szCs w:val="21"/>
                      <w:lang w:val="en-US" w:eastAsia="zh-CN"/>
                    </w:rPr>
                  </w:pPr>
                  <w:r>
                    <w:rPr>
                      <w:rFonts w:hint="eastAsia"/>
                      <w:szCs w:val="21"/>
                      <w:lang w:val="en-US" w:eastAsia="zh-CN"/>
                    </w:rPr>
                    <w:t>5</w:t>
                  </w:r>
                </w:p>
              </w:tc>
              <w:tc>
                <w:tcPr>
                  <w:tcW w:w="277" w:type="pct"/>
                  <w:vMerge w:val="continue"/>
                  <w:shd w:val="clear" w:color="auto" w:fill="auto"/>
                  <w:noWrap w:val="0"/>
                  <w:vAlign w:val="center"/>
                </w:tcPr>
                <w:p w14:paraId="23ECF697">
                  <w:pPr>
                    <w:keepNext w:val="0"/>
                    <w:keepLines w:val="0"/>
                    <w:pageBreakBefore w:val="0"/>
                    <w:kinsoku/>
                    <w:wordWrap/>
                    <w:overflowPunct/>
                    <w:topLinePunct w:val="0"/>
                    <w:autoSpaceDE/>
                    <w:autoSpaceDN/>
                    <w:bidi w:val="0"/>
                    <w:adjustRightInd w:val="0"/>
                    <w:snapToGrid w:val="0"/>
                    <w:jc w:val="center"/>
                    <w:textAlignment w:val="auto"/>
                    <w:rPr>
                      <w:szCs w:val="21"/>
                    </w:rPr>
                  </w:pPr>
                </w:p>
              </w:tc>
              <w:tc>
                <w:tcPr>
                  <w:tcW w:w="1093" w:type="pct"/>
                  <w:shd w:val="clear" w:color="auto" w:fill="auto"/>
                  <w:noWrap w:val="0"/>
                  <w:vAlign w:val="center"/>
                </w:tcPr>
                <w:p w14:paraId="56BF382D">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kern w:val="2"/>
                      <w:sz w:val="21"/>
                      <w:szCs w:val="21"/>
                      <w:lang w:val="en-US" w:eastAsia="zh-CN"/>
                    </w:rPr>
                  </w:pPr>
                  <w:r>
                    <w:rPr>
                      <w:rFonts w:hint="eastAsia" w:ascii="Times New Roman" w:hAnsi="Times New Roman"/>
                      <w:kern w:val="2"/>
                      <w:sz w:val="21"/>
                      <w:szCs w:val="21"/>
                      <w:lang w:val="en-US" w:eastAsia="zh-CN"/>
                    </w:rPr>
                    <w:t>泵组</w:t>
                  </w:r>
                </w:p>
              </w:tc>
              <w:tc>
                <w:tcPr>
                  <w:tcW w:w="978" w:type="pct"/>
                  <w:shd w:val="clear" w:color="auto" w:fill="auto"/>
                  <w:noWrap w:val="0"/>
                  <w:vAlign w:val="center"/>
                </w:tcPr>
                <w:p w14:paraId="713F8F21">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kern w:val="2"/>
                      <w:sz w:val="21"/>
                      <w:szCs w:val="21"/>
                      <w:lang w:val="en-US" w:eastAsia="zh-CN" w:bidi="ar-SA"/>
                    </w:rPr>
                  </w:pPr>
                  <w:r>
                    <w:rPr>
                      <w:rFonts w:hint="eastAsia" w:ascii="Times New Roman" w:hAnsi="Times New Roman"/>
                      <w:kern w:val="2"/>
                      <w:sz w:val="21"/>
                      <w:szCs w:val="21"/>
                      <w:lang w:val="en-US" w:eastAsia="zh-CN"/>
                    </w:rPr>
                    <w:t>70</w:t>
                  </w:r>
                </w:p>
              </w:tc>
              <w:tc>
                <w:tcPr>
                  <w:tcW w:w="999" w:type="pct"/>
                  <w:shd w:val="clear" w:color="auto" w:fill="auto"/>
                  <w:noWrap w:val="0"/>
                  <w:vAlign w:val="center"/>
                </w:tcPr>
                <w:p w14:paraId="11A0DA01">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kern w:val="2"/>
                      <w:sz w:val="21"/>
                      <w:szCs w:val="21"/>
                      <w:lang w:val="en-US" w:eastAsia="zh-CN" w:bidi="ar-SA"/>
                    </w:rPr>
                  </w:pPr>
                  <w:r>
                    <w:rPr>
                      <w:rFonts w:hint="eastAsia" w:ascii="Times New Roman" w:hAnsi="Times New Roman"/>
                      <w:kern w:val="2"/>
                      <w:sz w:val="21"/>
                      <w:szCs w:val="21"/>
                      <w:lang w:val="en-US" w:eastAsia="zh-CN"/>
                    </w:rPr>
                    <w:t>3</w:t>
                  </w:r>
                </w:p>
              </w:tc>
              <w:tc>
                <w:tcPr>
                  <w:tcW w:w="787" w:type="pct"/>
                  <w:shd w:val="clear" w:color="auto" w:fill="auto"/>
                  <w:noWrap w:val="0"/>
                  <w:vAlign w:val="center"/>
                </w:tcPr>
                <w:p w14:paraId="0147B6BD">
                  <w:pPr>
                    <w:pStyle w:val="3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szCs w:val="21"/>
                    </w:rPr>
                  </w:pPr>
                  <w:r>
                    <w:rPr>
                      <w:rFonts w:hint="eastAsia"/>
                      <w:sz w:val="21"/>
                      <w:szCs w:val="21"/>
                      <w:lang w:eastAsia="zh-CN"/>
                    </w:rPr>
                    <w:t>减振、</w:t>
                  </w:r>
                  <w:r>
                    <w:rPr>
                      <w:sz w:val="21"/>
                      <w:szCs w:val="21"/>
                    </w:rPr>
                    <w:t>室内</w:t>
                  </w:r>
                </w:p>
              </w:tc>
              <w:tc>
                <w:tcPr>
                  <w:tcW w:w="622" w:type="pct"/>
                  <w:shd w:val="clear" w:color="auto" w:fill="auto"/>
                  <w:noWrap w:val="0"/>
                  <w:vAlign w:val="center"/>
                </w:tcPr>
                <w:p w14:paraId="5FAF2685">
                  <w:pPr>
                    <w:keepNext w:val="0"/>
                    <w:keepLines w:val="0"/>
                    <w:pageBreakBefore w:val="0"/>
                    <w:kinsoku/>
                    <w:wordWrap/>
                    <w:overflowPunct/>
                    <w:topLinePunct w:val="0"/>
                    <w:autoSpaceDE/>
                    <w:autoSpaceDN/>
                    <w:bidi w:val="0"/>
                    <w:adjustRightInd w:val="0"/>
                    <w:snapToGrid w:val="0"/>
                    <w:jc w:val="center"/>
                    <w:textAlignment w:val="auto"/>
                    <w:rPr>
                      <w:szCs w:val="21"/>
                    </w:rPr>
                  </w:pPr>
                  <w:r>
                    <w:rPr>
                      <w:rFonts w:hint="eastAsia"/>
                      <w:szCs w:val="21"/>
                    </w:rPr>
                    <w:t>间歇</w:t>
                  </w:r>
                </w:p>
              </w:tc>
            </w:tr>
          </w:tbl>
          <w:p w14:paraId="2171376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3、</w:t>
            </w:r>
            <w:r>
              <w:rPr>
                <w:rFonts w:hint="default" w:ascii="Times New Roman" w:hAnsi="Times New Roman" w:cs="Times New Roman"/>
                <w:b/>
                <w:bCs/>
                <w:color w:val="auto"/>
                <w:kern w:val="0"/>
                <w:sz w:val="24"/>
                <w:highlight w:val="none"/>
              </w:rPr>
              <w:t>噪声预测</w:t>
            </w:r>
          </w:p>
          <w:p w14:paraId="5B97D7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1"/>
                <w:highlight w:val="none"/>
              </w:rPr>
            </w:pPr>
            <w:r>
              <w:rPr>
                <w:rFonts w:hint="eastAsia" w:ascii="宋体" w:hAnsi="宋体" w:eastAsia="宋体" w:cs="宋体"/>
                <w:color w:val="auto"/>
                <w:sz w:val="24"/>
                <w:szCs w:val="21"/>
                <w:highlight w:val="none"/>
              </w:rPr>
              <w:t>①</w:t>
            </w:r>
            <w:r>
              <w:rPr>
                <w:color w:val="auto"/>
                <w:sz w:val="24"/>
                <w:szCs w:val="21"/>
                <w:highlight w:val="none"/>
              </w:rPr>
              <w:t>预测方案</w:t>
            </w:r>
          </w:p>
          <w:p w14:paraId="71CC14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本项目厂界50</w:t>
            </w:r>
            <w:r>
              <w:rPr>
                <w:rFonts w:ascii="Times New Roman" w:hAnsi="Times New Roman" w:eastAsia="宋体" w:cs="Times New Roman"/>
                <w:color w:val="auto"/>
                <w:sz w:val="24"/>
                <w:szCs w:val="21"/>
                <w:highlight w:val="none"/>
              </w:rPr>
              <w:t>m范围内的</w:t>
            </w:r>
            <w:r>
              <w:rPr>
                <w:rFonts w:hint="eastAsia" w:ascii="Times New Roman" w:hAnsi="Times New Roman" w:eastAsia="宋体" w:cs="Times New Roman"/>
                <w:color w:val="auto"/>
                <w:sz w:val="24"/>
                <w:szCs w:val="21"/>
                <w:highlight w:val="none"/>
                <w:lang w:eastAsia="zh-CN"/>
              </w:rPr>
              <w:t>无噪声</w:t>
            </w:r>
            <w:r>
              <w:rPr>
                <w:rFonts w:ascii="Times New Roman" w:hAnsi="Times New Roman" w:eastAsia="宋体" w:cs="Times New Roman"/>
                <w:color w:val="auto"/>
                <w:sz w:val="24"/>
                <w:szCs w:val="21"/>
                <w:highlight w:val="none"/>
              </w:rPr>
              <w:t>保护目标，因此</w:t>
            </w:r>
            <w:r>
              <w:rPr>
                <w:rFonts w:hint="eastAsia" w:ascii="Times New Roman" w:hAnsi="Times New Roman" w:eastAsia="宋体"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rPr>
              <w:t>本次</w:t>
            </w:r>
            <w:r>
              <w:rPr>
                <w:rFonts w:ascii="Times New Roman" w:hAnsi="Times New Roman" w:eastAsia="宋体" w:cs="Times New Roman"/>
                <w:color w:val="auto"/>
                <w:sz w:val="24"/>
                <w:szCs w:val="21"/>
                <w:highlight w:val="none"/>
              </w:rPr>
              <w:t>预测</w:t>
            </w:r>
            <w:r>
              <w:rPr>
                <w:rFonts w:hint="eastAsia" w:ascii="Times New Roman" w:hAnsi="Times New Roman" w:eastAsia="宋体" w:cs="Times New Roman"/>
                <w:color w:val="auto"/>
                <w:sz w:val="24"/>
                <w:szCs w:val="21"/>
                <w:highlight w:val="none"/>
              </w:rPr>
              <w:t>厂界</w:t>
            </w:r>
            <w:r>
              <w:rPr>
                <w:rFonts w:ascii="Times New Roman" w:hAnsi="Times New Roman" w:eastAsia="宋体" w:cs="Times New Roman"/>
                <w:color w:val="auto"/>
                <w:sz w:val="24"/>
                <w:szCs w:val="21"/>
                <w:highlight w:val="none"/>
              </w:rPr>
              <w:t>噪声值，并同时考虑各</w:t>
            </w:r>
            <w:r>
              <w:rPr>
                <w:rFonts w:hint="eastAsia" w:ascii="Times New Roman" w:hAnsi="Times New Roman" w:eastAsia="宋体" w:cs="Times New Roman"/>
                <w:color w:val="auto"/>
                <w:sz w:val="24"/>
                <w:szCs w:val="21"/>
                <w:highlight w:val="none"/>
              </w:rPr>
              <w:t>噪声源</w:t>
            </w:r>
            <w:r>
              <w:rPr>
                <w:rFonts w:ascii="Times New Roman" w:hAnsi="Times New Roman" w:eastAsia="宋体" w:cs="Times New Roman"/>
                <w:color w:val="auto"/>
                <w:sz w:val="24"/>
                <w:szCs w:val="21"/>
                <w:highlight w:val="none"/>
              </w:rPr>
              <w:t>的</w:t>
            </w:r>
            <w:r>
              <w:rPr>
                <w:rFonts w:hint="eastAsia" w:ascii="Times New Roman" w:hAnsi="Times New Roman" w:eastAsia="宋体" w:cs="Times New Roman"/>
                <w:color w:val="auto"/>
                <w:sz w:val="24"/>
                <w:szCs w:val="21"/>
                <w:highlight w:val="none"/>
              </w:rPr>
              <w:t>叠加</w:t>
            </w:r>
            <w:r>
              <w:rPr>
                <w:rFonts w:ascii="Times New Roman" w:hAnsi="Times New Roman" w:eastAsia="宋体" w:cs="Times New Roman"/>
                <w:color w:val="auto"/>
                <w:sz w:val="24"/>
                <w:szCs w:val="21"/>
                <w:highlight w:val="none"/>
              </w:rPr>
              <w:t>影响</w:t>
            </w:r>
            <w:r>
              <w:rPr>
                <w:rFonts w:hint="eastAsia" w:ascii="Times New Roman" w:hAnsi="Times New Roman" w:eastAsia="宋体" w:cs="Times New Roman"/>
                <w:color w:val="auto"/>
                <w:sz w:val="24"/>
                <w:szCs w:val="21"/>
                <w:highlight w:val="none"/>
              </w:rPr>
              <w:t>。</w:t>
            </w:r>
          </w:p>
          <w:p w14:paraId="27361D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ascii="宋体" w:hAnsi="宋体" w:eastAsia="宋体" w:cs="宋体"/>
                <w:color w:val="auto"/>
                <w:sz w:val="24"/>
                <w:highlight w:val="none"/>
                <w:lang w:eastAsia="zh-CN"/>
              </w:rPr>
              <w:t>②</w:t>
            </w:r>
            <w:r>
              <w:rPr>
                <w:color w:val="auto"/>
                <w:sz w:val="24"/>
                <w:highlight w:val="none"/>
              </w:rPr>
              <w:t>预测条件假设</w:t>
            </w:r>
          </w:p>
          <w:p w14:paraId="52C124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所有产噪设备均在正常工况条件下运行；</w:t>
            </w:r>
          </w:p>
          <w:p w14:paraId="40CC7C06">
            <w:pPr>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考虑声源至预测点的距离衰减，忽略传播中地面反射以及空气吸收、雨、雪、温度等影响。</w:t>
            </w:r>
          </w:p>
          <w:p w14:paraId="76B4E7D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4、</w:t>
            </w:r>
            <w:r>
              <w:rPr>
                <w:b/>
                <w:bCs/>
                <w:color w:val="auto"/>
                <w:sz w:val="24"/>
                <w:highlight w:val="none"/>
              </w:rPr>
              <w:t>预测模式</w:t>
            </w:r>
          </w:p>
          <w:p w14:paraId="0540FE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cs="宋体"/>
                <w:color w:val="auto"/>
                <w:sz w:val="24"/>
                <w:highlight w:val="none"/>
              </w:rPr>
              <w:fldChar w:fldCharType="begin"/>
            </w:r>
            <w:r>
              <w:rPr>
                <w:rFonts w:hint="eastAsia" w:cs="宋体"/>
                <w:color w:val="auto"/>
                <w:sz w:val="24"/>
                <w:highlight w:val="none"/>
              </w:rPr>
              <w:instrText xml:space="preserve">= 1 \* GB3</w:instrText>
            </w:r>
            <w:r>
              <w:rPr>
                <w:rFonts w:cs="宋体"/>
                <w:color w:val="auto"/>
                <w:sz w:val="24"/>
                <w:highlight w:val="none"/>
              </w:rPr>
              <w:fldChar w:fldCharType="separate"/>
            </w:r>
            <w:r>
              <w:rPr>
                <w:rFonts w:hint="eastAsia" w:cs="宋体"/>
                <w:color w:val="auto"/>
                <w:sz w:val="24"/>
                <w:highlight w:val="none"/>
              </w:rPr>
              <w:t>①</w:t>
            </w:r>
            <w:r>
              <w:rPr>
                <w:rFonts w:cs="宋体"/>
                <w:color w:val="auto"/>
                <w:sz w:val="24"/>
                <w:highlight w:val="none"/>
              </w:rPr>
              <w:fldChar w:fldCharType="end"/>
            </w:r>
            <w:r>
              <w:rPr>
                <w:color w:val="auto"/>
                <w:sz w:val="24"/>
                <w:highlight w:val="none"/>
              </w:rPr>
              <w:t>室外声源</w:t>
            </w:r>
          </w:p>
          <w:p w14:paraId="6FE5FE7B">
            <w:pPr>
              <w:spacing w:line="360" w:lineRule="auto"/>
              <w:jc w:val="center"/>
              <w:rPr>
                <w:color w:val="auto"/>
                <w:sz w:val="24"/>
                <w:highlight w:val="none"/>
              </w:rPr>
            </w:pPr>
            <w:r>
              <w:rPr>
                <w:color w:val="auto"/>
                <w:position w:val="-14"/>
                <w:sz w:val="24"/>
                <w:highlight w:val="none"/>
              </w:rPr>
              <w:drawing>
                <wp:inline distT="0" distB="0" distL="114300" distR="114300">
                  <wp:extent cx="2009775" cy="238125"/>
                  <wp:effectExtent l="0" t="0" r="9525" b="825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25"/>
                          <a:stretch>
                            <a:fillRect/>
                          </a:stretch>
                        </pic:blipFill>
                        <pic:spPr>
                          <a:xfrm>
                            <a:off x="0" y="0"/>
                            <a:ext cx="2009775" cy="238125"/>
                          </a:xfrm>
                          <a:prstGeom prst="rect">
                            <a:avLst/>
                          </a:prstGeom>
                          <a:noFill/>
                          <a:ln>
                            <a:noFill/>
                          </a:ln>
                        </pic:spPr>
                      </pic:pic>
                    </a:graphicData>
                  </a:graphic>
                </wp:inline>
              </w:drawing>
            </w:r>
          </w:p>
          <w:p w14:paraId="2692B48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highlight w:val="none"/>
              </w:rPr>
            </w:pPr>
            <w:r>
              <w:rPr>
                <w:color w:val="auto"/>
                <w:sz w:val="24"/>
                <w:highlight w:val="none"/>
              </w:rPr>
              <w:t>式中：</w:t>
            </w:r>
            <w:r>
              <w:rPr>
                <w:color w:val="auto"/>
                <w:position w:val="-14"/>
                <w:sz w:val="24"/>
                <w:highlight w:val="none"/>
              </w:rPr>
              <w:drawing>
                <wp:inline distT="0" distB="0" distL="114300" distR="114300">
                  <wp:extent cx="381000" cy="238125"/>
                  <wp:effectExtent l="0" t="0" r="0" b="8255"/>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26"/>
                          <a:stretch>
                            <a:fillRect/>
                          </a:stretch>
                        </pic:blipFill>
                        <pic:spPr>
                          <a:xfrm>
                            <a:off x="0" y="0"/>
                            <a:ext cx="381000" cy="238125"/>
                          </a:xfrm>
                          <a:prstGeom prst="rect">
                            <a:avLst/>
                          </a:prstGeom>
                          <a:noFill/>
                          <a:ln>
                            <a:noFill/>
                          </a:ln>
                        </pic:spPr>
                      </pic:pic>
                    </a:graphicData>
                  </a:graphic>
                </wp:inline>
              </w:drawing>
            </w:r>
            <w:r>
              <w:rPr>
                <w:color w:val="auto"/>
                <w:sz w:val="24"/>
                <w:highlight w:val="none"/>
              </w:rPr>
              <w:t>—噪声源在预测点的声压级，dB(A)；</w:t>
            </w:r>
          </w:p>
          <w:p w14:paraId="6DC56DF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highlight w:val="none"/>
              </w:rPr>
            </w:pPr>
            <w:r>
              <w:rPr>
                <w:color w:val="auto"/>
                <w:position w:val="-14"/>
                <w:sz w:val="24"/>
                <w:highlight w:val="none"/>
              </w:rPr>
              <w:drawing>
                <wp:inline distT="0" distB="0" distL="114300" distR="114300">
                  <wp:extent cx="419100" cy="238125"/>
                  <wp:effectExtent l="0" t="0" r="0" b="8255"/>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pic:cNvPicPr>
                        </pic:nvPicPr>
                        <pic:blipFill>
                          <a:blip r:embed="rId27"/>
                          <a:stretch>
                            <a:fillRect/>
                          </a:stretch>
                        </pic:blipFill>
                        <pic:spPr>
                          <a:xfrm>
                            <a:off x="0" y="0"/>
                            <a:ext cx="419100" cy="238125"/>
                          </a:xfrm>
                          <a:prstGeom prst="rect">
                            <a:avLst/>
                          </a:prstGeom>
                          <a:noFill/>
                          <a:ln>
                            <a:noFill/>
                          </a:ln>
                        </pic:spPr>
                      </pic:pic>
                    </a:graphicData>
                  </a:graphic>
                </wp:inline>
              </w:drawing>
            </w:r>
            <w:r>
              <w:rPr>
                <w:color w:val="auto"/>
                <w:sz w:val="24"/>
                <w:highlight w:val="none"/>
              </w:rPr>
              <w:t>—参考位置</w:t>
            </w:r>
            <w:r>
              <w:rPr>
                <w:color w:val="auto"/>
                <w:position w:val="-12"/>
                <w:sz w:val="24"/>
                <w:highlight w:val="none"/>
              </w:rPr>
              <w:drawing>
                <wp:inline distT="0" distB="0" distL="114300" distR="114300">
                  <wp:extent cx="143510" cy="228600"/>
                  <wp:effectExtent l="0" t="0" r="889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28"/>
                          <a:stretch>
                            <a:fillRect/>
                          </a:stretch>
                        </pic:blipFill>
                        <pic:spPr>
                          <a:xfrm>
                            <a:off x="0" y="0"/>
                            <a:ext cx="143510" cy="228600"/>
                          </a:xfrm>
                          <a:prstGeom prst="rect">
                            <a:avLst/>
                          </a:prstGeom>
                          <a:noFill/>
                          <a:ln>
                            <a:noFill/>
                          </a:ln>
                        </pic:spPr>
                      </pic:pic>
                    </a:graphicData>
                  </a:graphic>
                </wp:inline>
              </w:drawing>
            </w:r>
            <w:r>
              <w:rPr>
                <w:color w:val="auto"/>
                <w:sz w:val="24"/>
                <w:highlight w:val="none"/>
              </w:rPr>
              <w:t>处的声压级，dB(A)；</w:t>
            </w:r>
          </w:p>
          <w:p w14:paraId="14BEC87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highlight w:val="none"/>
              </w:rPr>
            </w:pPr>
            <w:r>
              <w:rPr>
                <w:color w:val="auto"/>
                <w:position w:val="-12"/>
                <w:sz w:val="24"/>
                <w:highlight w:val="none"/>
              </w:rPr>
              <w:drawing>
                <wp:inline distT="0" distB="0" distL="114300" distR="114300">
                  <wp:extent cx="143510" cy="228600"/>
                  <wp:effectExtent l="0" t="0" r="8890" b="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28"/>
                          <a:stretch>
                            <a:fillRect/>
                          </a:stretch>
                        </pic:blipFill>
                        <pic:spPr>
                          <a:xfrm>
                            <a:off x="0" y="0"/>
                            <a:ext cx="143510" cy="228600"/>
                          </a:xfrm>
                          <a:prstGeom prst="rect">
                            <a:avLst/>
                          </a:prstGeom>
                          <a:noFill/>
                          <a:ln>
                            <a:noFill/>
                          </a:ln>
                        </pic:spPr>
                      </pic:pic>
                    </a:graphicData>
                  </a:graphic>
                </wp:inline>
              </w:drawing>
            </w:r>
            <w:r>
              <w:rPr>
                <w:color w:val="auto"/>
                <w:sz w:val="24"/>
                <w:highlight w:val="none"/>
              </w:rPr>
              <w:t>—参考位置距声源中心的位置，m；</w:t>
            </w:r>
          </w:p>
          <w:p w14:paraId="74DF534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highlight w:val="none"/>
              </w:rPr>
            </w:pPr>
            <w:r>
              <w:rPr>
                <w:color w:val="auto"/>
                <w:position w:val="-4"/>
                <w:sz w:val="24"/>
                <w:highlight w:val="none"/>
              </w:rPr>
              <w:drawing>
                <wp:inline distT="0" distB="0" distL="114300" distR="114300">
                  <wp:extent cx="114300" cy="123825"/>
                  <wp:effectExtent l="0" t="0" r="0" b="5715"/>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29"/>
                          <a:stretch>
                            <a:fillRect/>
                          </a:stretch>
                        </pic:blipFill>
                        <pic:spPr>
                          <a:xfrm>
                            <a:off x="0" y="0"/>
                            <a:ext cx="114300" cy="123825"/>
                          </a:xfrm>
                          <a:prstGeom prst="rect">
                            <a:avLst/>
                          </a:prstGeom>
                          <a:noFill/>
                          <a:ln>
                            <a:noFill/>
                          </a:ln>
                        </pic:spPr>
                      </pic:pic>
                    </a:graphicData>
                  </a:graphic>
                </wp:inline>
              </w:drawing>
            </w:r>
            <w:r>
              <w:rPr>
                <w:color w:val="auto"/>
                <w:sz w:val="24"/>
                <w:highlight w:val="none"/>
              </w:rPr>
              <w:t>—声源中心至预测点的距离，m；</w:t>
            </w:r>
          </w:p>
          <w:p w14:paraId="61D31DD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highlight w:val="none"/>
              </w:rPr>
            </w:pPr>
            <w:r>
              <w:rPr>
                <w:color w:val="auto"/>
                <w:position w:val="-4"/>
                <w:sz w:val="24"/>
                <w:highlight w:val="none"/>
              </w:rPr>
              <w:drawing>
                <wp:inline distT="0" distB="0" distL="114300" distR="114300">
                  <wp:extent cx="228600" cy="161925"/>
                  <wp:effectExtent l="0" t="0" r="0" b="762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pic:cNvPicPr>
                            <a:picLocks noChangeAspect="1"/>
                          </pic:cNvPicPr>
                        </pic:nvPicPr>
                        <pic:blipFill>
                          <a:blip r:embed="rId30"/>
                          <a:stretch>
                            <a:fillRect/>
                          </a:stretch>
                        </pic:blipFill>
                        <pic:spPr>
                          <a:xfrm>
                            <a:off x="0" y="0"/>
                            <a:ext cx="228600" cy="161925"/>
                          </a:xfrm>
                          <a:prstGeom prst="rect">
                            <a:avLst/>
                          </a:prstGeom>
                          <a:noFill/>
                          <a:ln>
                            <a:noFill/>
                          </a:ln>
                        </pic:spPr>
                      </pic:pic>
                    </a:graphicData>
                  </a:graphic>
                </wp:inline>
              </w:drawing>
            </w:r>
            <w:r>
              <w:rPr>
                <w:color w:val="auto"/>
                <w:sz w:val="24"/>
                <w:highlight w:val="none"/>
              </w:rPr>
              <w:t>—各种因素引起的声衰减量（如声屏障，遮挡物，空气吸收，地面吸收等引起的声衰减），dB(A)。</w:t>
            </w:r>
          </w:p>
          <w:p w14:paraId="36B10F6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highlight w:val="none"/>
              </w:rPr>
            </w:pPr>
            <w:r>
              <w:rPr>
                <w:rFonts w:cs="宋体"/>
                <w:color w:val="auto"/>
                <w:sz w:val="24"/>
                <w:highlight w:val="none"/>
              </w:rPr>
              <w:fldChar w:fldCharType="begin"/>
            </w:r>
            <w:r>
              <w:rPr>
                <w:rFonts w:hint="eastAsia" w:cs="宋体"/>
                <w:color w:val="auto"/>
                <w:sz w:val="24"/>
                <w:highlight w:val="none"/>
              </w:rPr>
              <w:instrText xml:space="preserve">= 2 \* GB3</w:instrText>
            </w:r>
            <w:r>
              <w:rPr>
                <w:rFonts w:cs="宋体"/>
                <w:color w:val="auto"/>
                <w:sz w:val="24"/>
                <w:highlight w:val="none"/>
              </w:rPr>
              <w:fldChar w:fldCharType="separate"/>
            </w:r>
            <w:r>
              <w:rPr>
                <w:rFonts w:hint="eastAsia" w:cs="宋体"/>
                <w:color w:val="auto"/>
                <w:sz w:val="24"/>
                <w:highlight w:val="none"/>
              </w:rPr>
              <w:t>②</w:t>
            </w:r>
            <w:r>
              <w:rPr>
                <w:rFonts w:cs="宋体"/>
                <w:color w:val="auto"/>
                <w:sz w:val="24"/>
                <w:highlight w:val="none"/>
              </w:rPr>
              <w:fldChar w:fldCharType="end"/>
            </w:r>
            <w:r>
              <w:rPr>
                <w:color w:val="auto"/>
                <w:sz w:val="24"/>
                <w:highlight w:val="none"/>
              </w:rPr>
              <w:t>室内声源</w:t>
            </w:r>
          </w:p>
          <w:p w14:paraId="1A38401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kern w:val="0"/>
                <w:sz w:val="24"/>
                <w:highlight w:val="none"/>
              </w:rPr>
            </w:pPr>
            <w:r>
              <w:rPr>
                <w:color w:val="auto"/>
                <w:kern w:val="0"/>
                <w:sz w:val="24"/>
                <w:highlight w:val="none"/>
              </w:rPr>
              <w:t>等效室外点源的声传播衰减公式为：</w:t>
            </w:r>
          </w:p>
          <w:p w14:paraId="68851584">
            <w:pPr>
              <w:tabs>
                <w:tab w:val="left" w:pos="1785"/>
                <w:tab w:val="center" w:pos="4549"/>
              </w:tabs>
              <w:spacing w:line="360" w:lineRule="auto"/>
              <w:jc w:val="center"/>
              <w:rPr>
                <w:color w:val="auto"/>
                <w:sz w:val="24"/>
                <w:highlight w:val="none"/>
              </w:rPr>
            </w:pPr>
            <w:r>
              <w:rPr>
                <w:color w:val="auto"/>
                <w:position w:val="-30"/>
                <w:sz w:val="24"/>
                <w:highlight w:val="none"/>
              </w:rPr>
              <w:drawing>
                <wp:inline distT="0" distB="0" distL="114300" distR="114300">
                  <wp:extent cx="2609850" cy="390525"/>
                  <wp:effectExtent l="0" t="0" r="0" b="762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31"/>
                          <a:stretch>
                            <a:fillRect/>
                          </a:stretch>
                        </pic:blipFill>
                        <pic:spPr>
                          <a:xfrm>
                            <a:off x="0" y="0"/>
                            <a:ext cx="2609850" cy="390525"/>
                          </a:xfrm>
                          <a:prstGeom prst="rect">
                            <a:avLst/>
                          </a:prstGeom>
                          <a:noFill/>
                          <a:ln>
                            <a:noFill/>
                          </a:ln>
                        </pic:spPr>
                      </pic:pic>
                    </a:graphicData>
                  </a:graphic>
                </wp:inline>
              </w:drawing>
            </w:r>
          </w:p>
          <w:p w14:paraId="266E5EE7">
            <w:pPr>
              <w:spacing w:line="360" w:lineRule="auto"/>
              <w:ind w:firstLine="480" w:firstLineChars="200"/>
              <w:rPr>
                <w:color w:val="auto"/>
                <w:sz w:val="24"/>
                <w:highlight w:val="none"/>
              </w:rPr>
            </w:pPr>
            <w:r>
              <w:rPr>
                <w:color w:val="auto"/>
                <w:sz w:val="24"/>
                <w:highlight w:val="none"/>
              </w:rPr>
              <w:t>式中：</w:t>
            </w:r>
            <w:r>
              <w:rPr>
                <w:i/>
                <w:color w:val="auto"/>
                <w:sz w:val="24"/>
                <w:highlight w:val="none"/>
              </w:rPr>
              <w:t>L</w:t>
            </w:r>
            <w:r>
              <w:rPr>
                <w:i/>
                <w:color w:val="auto"/>
                <w:sz w:val="24"/>
                <w:highlight w:val="none"/>
                <w:vertAlign w:val="subscript"/>
              </w:rPr>
              <w:t>p</w:t>
            </w:r>
            <w:r>
              <w:rPr>
                <w:color w:val="auto"/>
                <w:sz w:val="24"/>
                <w:highlight w:val="none"/>
                <w:vertAlign w:val="subscript"/>
              </w:rPr>
              <w:t>0</w:t>
            </w:r>
            <w:r>
              <w:rPr>
                <w:color w:val="auto"/>
                <w:sz w:val="24"/>
                <w:highlight w:val="none"/>
              </w:rPr>
              <w:t>—室内声源的声压级，dB(A)；</w:t>
            </w:r>
          </w:p>
          <w:p w14:paraId="26F83372">
            <w:pPr>
              <w:spacing w:line="360" w:lineRule="auto"/>
              <w:ind w:firstLine="1200" w:firstLineChars="500"/>
              <w:rPr>
                <w:color w:val="auto"/>
                <w:sz w:val="24"/>
                <w:highlight w:val="none"/>
              </w:rPr>
            </w:pPr>
            <w:r>
              <w:rPr>
                <w:color w:val="auto"/>
                <w:sz w:val="24"/>
                <w:highlight w:val="none"/>
              </w:rPr>
              <w:t>TL—厂房围护结构(墙、窗)的平均隔声量，dB(A)；</w:t>
            </w:r>
          </w:p>
          <w:p w14:paraId="12316398">
            <w:pPr>
              <w:spacing w:line="360" w:lineRule="auto"/>
              <w:ind w:firstLine="1320" w:firstLineChars="550"/>
              <w:rPr>
                <w:color w:val="auto"/>
                <w:sz w:val="24"/>
                <w:highlight w:val="none"/>
              </w:rPr>
            </w:pPr>
            <w:r>
              <w:rPr>
                <w:color w:val="auto"/>
                <w:sz w:val="24"/>
                <w:highlight w:val="none"/>
              </w:rPr>
              <w:t>R—车间的房间常数，m</w:t>
            </w:r>
            <w:r>
              <w:rPr>
                <w:color w:val="auto"/>
                <w:sz w:val="24"/>
                <w:highlight w:val="none"/>
                <w:vertAlign w:val="superscript"/>
              </w:rPr>
              <w:t>2</w:t>
            </w:r>
            <w:r>
              <w:rPr>
                <w:color w:val="auto"/>
                <w:sz w:val="24"/>
                <w:highlight w:val="none"/>
              </w:rPr>
              <w:t xml:space="preserve">； </w:t>
            </w:r>
          </w:p>
          <w:p w14:paraId="5B71AB4D">
            <w:pPr>
              <w:spacing w:line="360" w:lineRule="auto"/>
              <w:ind w:firstLine="1200" w:firstLineChars="500"/>
              <w:rPr>
                <w:color w:val="auto"/>
                <w:sz w:val="24"/>
                <w:highlight w:val="none"/>
              </w:rPr>
            </w:pPr>
            <w:r>
              <w:rPr>
                <w:color w:val="auto"/>
                <w:position w:val="-24"/>
                <w:sz w:val="24"/>
                <w:highlight w:val="none"/>
              </w:rPr>
              <w:drawing>
                <wp:inline distT="0" distB="0" distL="114300" distR="114300">
                  <wp:extent cx="609600" cy="390525"/>
                  <wp:effectExtent l="0" t="0" r="0" b="825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32"/>
                          <a:stretch>
                            <a:fillRect/>
                          </a:stretch>
                        </pic:blipFill>
                        <pic:spPr>
                          <a:xfrm>
                            <a:off x="0" y="0"/>
                            <a:ext cx="609600" cy="390525"/>
                          </a:xfrm>
                          <a:prstGeom prst="rect">
                            <a:avLst/>
                          </a:prstGeom>
                          <a:noFill/>
                          <a:ln>
                            <a:noFill/>
                          </a:ln>
                        </pic:spPr>
                      </pic:pic>
                    </a:graphicData>
                  </a:graphic>
                </wp:inline>
              </w:drawing>
            </w:r>
            <w:r>
              <w:rPr>
                <w:color w:val="auto"/>
                <w:sz w:val="24"/>
                <w:highlight w:val="none"/>
              </w:rPr>
              <w:t>S</w:t>
            </w:r>
            <w:r>
              <w:rPr>
                <w:color w:val="auto"/>
                <w:sz w:val="24"/>
                <w:highlight w:val="none"/>
                <w:vertAlign w:val="subscript"/>
              </w:rPr>
              <w:t xml:space="preserve">t </w:t>
            </w:r>
            <w:r>
              <w:rPr>
                <w:color w:val="auto"/>
                <w:sz w:val="24"/>
                <w:highlight w:val="none"/>
              </w:rPr>
              <w:t>为车间总面积；</w:t>
            </w:r>
            <w:r>
              <w:rPr>
                <w:color w:val="auto"/>
                <w:position w:val="-6"/>
                <w:sz w:val="24"/>
                <w:highlight w:val="none"/>
              </w:rPr>
              <w:drawing>
                <wp:inline distT="0" distB="0" distL="114300" distR="114300">
                  <wp:extent cx="152400" cy="161925"/>
                  <wp:effectExtent l="0" t="0" r="0" b="7620"/>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pic:cNvPicPr>
                            <a:picLocks noChangeAspect="1"/>
                          </pic:cNvPicPr>
                        </pic:nvPicPr>
                        <pic:blipFill>
                          <a:blip r:embed="rId33"/>
                          <a:stretch>
                            <a:fillRect/>
                          </a:stretch>
                        </pic:blipFill>
                        <pic:spPr>
                          <a:xfrm>
                            <a:off x="0" y="0"/>
                            <a:ext cx="152400" cy="161925"/>
                          </a:xfrm>
                          <a:prstGeom prst="rect">
                            <a:avLst/>
                          </a:prstGeom>
                          <a:noFill/>
                          <a:ln>
                            <a:noFill/>
                          </a:ln>
                        </pic:spPr>
                      </pic:pic>
                    </a:graphicData>
                  </a:graphic>
                </wp:inline>
              </w:drawing>
            </w:r>
            <w:r>
              <w:rPr>
                <w:color w:val="auto"/>
                <w:sz w:val="24"/>
                <w:highlight w:val="none"/>
              </w:rPr>
              <w:t>为房间的平均吸声系数；</w:t>
            </w:r>
          </w:p>
          <w:p w14:paraId="1BA8895C">
            <w:pPr>
              <w:spacing w:line="360" w:lineRule="auto"/>
              <w:ind w:firstLine="1320" w:firstLineChars="550"/>
              <w:jc w:val="left"/>
              <w:rPr>
                <w:color w:val="auto"/>
                <w:sz w:val="24"/>
                <w:highlight w:val="none"/>
              </w:rPr>
            </w:pPr>
            <w:r>
              <w:rPr>
                <w:color w:val="auto"/>
                <w:sz w:val="24"/>
                <w:highlight w:val="none"/>
              </w:rPr>
              <w:t>S—为面对预测点的墙体面积，m</w:t>
            </w:r>
            <w:r>
              <w:rPr>
                <w:color w:val="auto"/>
                <w:sz w:val="24"/>
                <w:highlight w:val="none"/>
                <w:vertAlign w:val="superscript"/>
              </w:rPr>
              <w:t>2</w:t>
            </w:r>
            <w:r>
              <w:rPr>
                <w:color w:val="auto"/>
                <w:sz w:val="24"/>
                <w:highlight w:val="none"/>
              </w:rPr>
              <w:t>；</w:t>
            </w:r>
          </w:p>
          <w:p w14:paraId="1EC9F282">
            <w:pPr>
              <w:spacing w:line="360" w:lineRule="auto"/>
              <w:ind w:firstLine="1320" w:firstLineChars="550"/>
              <w:jc w:val="left"/>
              <w:rPr>
                <w:color w:val="auto"/>
                <w:sz w:val="24"/>
                <w:highlight w:val="none"/>
              </w:rPr>
            </w:pPr>
            <w:r>
              <w:rPr>
                <w:color w:val="auto"/>
                <w:sz w:val="24"/>
                <w:highlight w:val="none"/>
              </w:rPr>
              <w:t>r—车间中心距预测点</w:t>
            </w:r>
            <w:r>
              <w:rPr>
                <w:rFonts w:hint="eastAsia"/>
                <w:color w:val="auto"/>
                <w:sz w:val="24"/>
                <w:highlight w:val="none"/>
                <w:lang w:eastAsia="zh-CN"/>
              </w:rPr>
              <w:t>地</w:t>
            </w:r>
            <w:r>
              <w:rPr>
                <w:color w:val="auto"/>
                <w:sz w:val="24"/>
                <w:highlight w:val="none"/>
              </w:rPr>
              <w:t>距离，m；</w:t>
            </w:r>
          </w:p>
          <w:p w14:paraId="74C73249">
            <w:pPr>
              <w:spacing w:line="360" w:lineRule="auto"/>
              <w:ind w:firstLine="1320" w:firstLineChars="550"/>
              <w:jc w:val="left"/>
              <w:rPr>
                <w:color w:val="auto"/>
                <w:sz w:val="24"/>
                <w:highlight w:val="none"/>
              </w:rPr>
            </w:pPr>
            <w:r>
              <w:rPr>
                <w:color w:val="auto"/>
                <w:sz w:val="24"/>
                <w:highlight w:val="none"/>
              </w:rPr>
              <w:t>r</w:t>
            </w:r>
            <w:r>
              <w:rPr>
                <w:color w:val="auto"/>
                <w:sz w:val="24"/>
                <w:highlight w:val="none"/>
                <w:vertAlign w:val="subscript"/>
              </w:rPr>
              <w:t>0</w:t>
            </w:r>
            <w:r>
              <w:rPr>
                <w:color w:val="auto"/>
                <w:sz w:val="24"/>
                <w:highlight w:val="none"/>
              </w:rPr>
              <w:t>—测</w:t>
            </w:r>
            <w:r>
              <w:rPr>
                <w:i/>
                <w:color w:val="auto"/>
                <w:sz w:val="24"/>
                <w:highlight w:val="none"/>
              </w:rPr>
              <w:t>L</w:t>
            </w:r>
            <w:r>
              <w:rPr>
                <w:i/>
                <w:color w:val="auto"/>
                <w:sz w:val="24"/>
                <w:highlight w:val="none"/>
                <w:vertAlign w:val="subscript"/>
              </w:rPr>
              <w:t>p</w:t>
            </w:r>
            <w:r>
              <w:rPr>
                <w:color w:val="auto"/>
                <w:sz w:val="24"/>
                <w:highlight w:val="none"/>
                <w:vertAlign w:val="subscript"/>
              </w:rPr>
              <w:t>0</w:t>
            </w:r>
            <w:r>
              <w:rPr>
                <w:color w:val="auto"/>
                <w:sz w:val="24"/>
                <w:highlight w:val="none"/>
              </w:rPr>
              <w:t>时距设备中心距离，m。</w:t>
            </w:r>
          </w:p>
          <w:p w14:paraId="29DCBA1E">
            <w:pPr>
              <w:spacing w:line="360" w:lineRule="auto"/>
              <w:ind w:firstLine="480" w:firstLineChars="200"/>
              <w:rPr>
                <w:color w:val="auto"/>
                <w:sz w:val="24"/>
                <w:highlight w:val="none"/>
              </w:rPr>
            </w:pPr>
            <w:r>
              <w:rPr>
                <w:rFonts w:cs="宋体"/>
                <w:color w:val="auto"/>
                <w:sz w:val="24"/>
                <w:highlight w:val="none"/>
              </w:rPr>
              <w:fldChar w:fldCharType="begin"/>
            </w:r>
            <w:r>
              <w:rPr>
                <w:rFonts w:hint="eastAsia" w:cs="宋体"/>
                <w:color w:val="auto"/>
                <w:sz w:val="24"/>
                <w:highlight w:val="none"/>
              </w:rPr>
              <w:instrText xml:space="preserve">= 3 \* GB3</w:instrText>
            </w:r>
            <w:r>
              <w:rPr>
                <w:rFonts w:cs="宋体"/>
                <w:color w:val="auto"/>
                <w:sz w:val="24"/>
                <w:highlight w:val="none"/>
              </w:rPr>
              <w:fldChar w:fldCharType="separate"/>
            </w:r>
            <w:r>
              <w:rPr>
                <w:rFonts w:hint="eastAsia" w:cs="宋体"/>
                <w:color w:val="auto"/>
                <w:sz w:val="24"/>
                <w:highlight w:val="none"/>
              </w:rPr>
              <w:t>③</w:t>
            </w:r>
            <w:r>
              <w:rPr>
                <w:rFonts w:cs="宋体"/>
                <w:color w:val="auto"/>
                <w:sz w:val="24"/>
                <w:highlight w:val="none"/>
              </w:rPr>
              <w:fldChar w:fldCharType="end"/>
            </w:r>
            <w:r>
              <w:rPr>
                <w:color w:val="auto"/>
                <w:sz w:val="24"/>
                <w:highlight w:val="none"/>
              </w:rPr>
              <w:t>总声压级</w:t>
            </w:r>
          </w:p>
          <w:p w14:paraId="390C6A20">
            <w:pPr>
              <w:spacing w:line="360" w:lineRule="auto"/>
              <w:jc w:val="center"/>
              <w:rPr>
                <w:color w:val="auto"/>
                <w:sz w:val="24"/>
                <w:highlight w:val="none"/>
              </w:rPr>
            </w:pPr>
            <w:r>
              <w:rPr>
                <w:color w:val="auto"/>
                <w:position w:val="-30"/>
                <w:sz w:val="24"/>
                <w:highlight w:val="none"/>
              </w:rPr>
              <w:drawing>
                <wp:inline distT="0" distB="0" distL="114300" distR="114300">
                  <wp:extent cx="3048000" cy="447675"/>
                  <wp:effectExtent l="0" t="0" r="0" b="8890"/>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pic:cNvPicPr>
                            <a:picLocks noChangeAspect="1"/>
                          </pic:cNvPicPr>
                        </pic:nvPicPr>
                        <pic:blipFill>
                          <a:blip r:embed="rId34"/>
                          <a:stretch>
                            <a:fillRect/>
                          </a:stretch>
                        </pic:blipFill>
                        <pic:spPr>
                          <a:xfrm>
                            <a:off x="0" y="0"/>
                            <a:ext cx="3048000" cy="447675"/>
                          </a:xfrm>
                          <a:prstGeom prst="rect">
                            <a:avLst/>
                          </a:prstGeom>
                          <a:noFill/>
                          <a:ln>
                            <a:noFill/>
                          </a:ln>
                        </pic:spPr>
                      </pic:pic>
                    </a:graphicData>
                  </a:graphic>
                </wp:inline>
              </w:drawing>
            </w:r>
          </w:p>
          <w:p w14:paraId="4EBF056F">
            <w:pPr>
              <w:spacing w:line="360" w:lineRule="auto"/>
              <w:ind w:firstLine="540" w:firstLineChars="225"/>
              <w:rPr>
                <w:color w:val="auto"/>
                <w:sz w:val="24"/>
                <w:highlight w:val="none"/>
              </w:rPr>
            </w:pPr>
            <w:r>
              <w:rPr>
                <w:color w:val="auto"/>
                <w:sz w:val="24"/>
                <w:highlight w:val="none"/>
              </w:rPr>
              <w:t>式中</w:t>
            </w:r>
            <w:r>
              <w:rPr>
                <w:rFonts w:hint="eastAsia"/>
                <w:color w:val="auto"/>
                <w:sz w:val="24"/>
                <w:highlight w:val="none"/>
                <w:lang w:eastAsia="zh-CN"/>
              </w:rPr>
              <w:t>：</w:t>
            </w:r>
            <w:r>
              <w:rPr>
                <w:color w:val="auto"/>
                <w:sz w:val="24"/>
                <w:highlight w:val="none"/>
              </w:rPr>
              <w:t xml:space="preserve"> T为计算等效声级的时间；</w:t>
            </w:r>
          </w:p>
          <w:p w14:paraId="2271698E">
            <w:pPr>
              <w:spacing w:line="360" w:lineRule="auto"/>
              <w:ind w:firstLine="1260" w:firstLineChars="525"/>
              <w:rPr>
                <w:color w:val="auto"/>
                <w:sz w:val="24"/>
                <w:highlight w:val="none"/>
              </w:rPr>
            </w:pPr>
            <w:r>
              <w:rPr>
                <w:color w:val="auto"/>
                <w:sz w:val="24"/>
                <w:highlight w:val="none"/>
              </w:rPr>
              <w:t>M为室外声源个数；N为室内声源个数；</w:t>
            </w:r>
          </w:p>
          <w:p w14:paraId="5262CC00">
            <w:pPr>
              <w:spacing w:line="360" w:lineRule="auto"/>
              <w:ind w:firstLine="1260" w:firstLineChars="525"/>
              <w:rPr>
                <w:color w:val="auto"/>
                <w:sz w:val="24"/>
                <w:highlight w:val="none"/>
              </w:rPr>
            </w:pPr>
            <w:r>
              <w:rPr>
                <w:color w:val="auto"/>
                <w:position w:val="-14"/>
                <w:sz w:val="24"/>
                <w:highlight w:val="none"/>
              </w:rPr>
              <w:drawing>
                <wp:inline distT="0" distB="0" distL="114300" distR="114300">
                  <wp:extent cx="266700" cy="238125"/>
                  <wp:effectExtent l="0" t="0" r="0" b="635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35"/>
                          <a:stretch>
                            <a:fillRect/>
                          </a:stretch>
                        </pic:blipFill>
                        <pic:spPr>
                          <a:xfrm>
                            <a:off x="0" y="0"/>
                            <a:ext cx="266700" cy="238125"/>
                          </a:xfrm>
                          <a:prstGeom prst="rect">
                            <a:avLst/>
                          </a:prstGeom>
                          <a:noFill/>
                          <a:ln>
                            <a:noFill/>
                          </a:ln>
                        </pic:spPr>
                      </pic:pic>
                    </a:graphicData>
                  </a:graphic>
                </wp:inline>
              </w:drawing>
            </w:r>
            <w:r>
              <w:rPr>
                <w:color w:val="auto"/>
                <w:sz w:val="24"/>
                <w:highlight w:val="none"/>
              </w:rPr>
              <w:t>为T时间内第i个室外声源的工作时间；</w:t>
            </w:r>
          </w:p>
          <w:p w14:paraId="56EA443B">
            <w:pPr>
              <w:spacing w:line="360" w:lineRule="auto"/>
              <w:ind w:firstLine="1260" w:firstLineChars="525"/>
              <w:rPr>
                <w:color w:val="auto"/>
                <w:sz w:val="24"/>
                <w:highlight w:val="none"/>
              </w:rPr>
            </w:pPr>
            <w:r>
              <w:rPr>
                <w:color w:val="auto"/>
                <w:position w:val="-14"/>
                <w:sz w:val="24"/>
                <w:highlight w:val="none"/>
              </w:rPr>
              <w:drawing>
                <wp:inline distT="0" distB="0" distL="114300" distR="114300">
                  <wp:extent cx="228600" cy="238125"/>
                  <wp:effectExtent l="0" t="0" r="0" b="635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pic:cNvPicPr>
                            <a:picLocks noChangeAspect="1"/>
                          </pic:cNvPicPr>
                        </pic:nvPicPr>
                        <pic:blipFill>
                          <a:blip r:embed="rId36"/>
                          <a:stretch>
                            <a:fillRect/>
                          </a:stretch>
                        </pic:blipFill>
                        <pic:spPr>
                          <a:xfrm>
                            <a:off x="0" y="0"/>
                            <a:ext cx="228600" cy="238125"/>
                          </a:xfrm>
                          <a:prstGeom prst="rect">
                            <a:avLst/>
                          </a:prstGeom>
                          <a:noFill/>
                          <a:ln>
                            <a:noFill/>
                          </a:ln>
                        </pic:spPr>
                      </pic:pic>
                    </a:graphicData>
                  </a:graphic>
                </wp:inline>
              </w:drawing>
            </w:r>
            <w:r>
              <w:rPr>
                <w:color w:val="auto"/>
                <w:sz w:val="24"/>
                <w:highlight w:val="none"/>
              </w:rPr>
              <w:t>为T时间内第j个室内声源的工作时间。</w:t>
            </w:r>
          </w:p>
          <w:p w14:paraId="5882B69F">
            <w:pPr>
              <w:spacing w:line="360" w:lineRule="auto"/>
              <w:ind w:firstLine="1200" w:firstLineChars="500"/>
              <w:rPr>
                <w:color w:val="auto"/>
                <w:sz w:val="24"/>
                <w:highlight w:val="none"/>
              </w:rPr>
            </w:pPr>
            <w:r>
              <w:rPr>
                <w:color w:val="auto"/>
                <w:position w:val="-12"/>
                <w:sz w:val="24"/>
                <w:highlight w:val="none"/>
              </w:rPr>
              <w:drawing>
                <wp:inline distT="0" distB="0" distL="114300" distR="114300">
                  <wp:extent cx="200025" cy="228600"/>
                  <wp:effectExtent l="0" t="0" r="9525" b="0"/>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pic:cNvPicPr>
                        </pic:nvPicPr>
                        <pic:blipFill>
                          <a:blip r:embed="rId37"/>
                          <a:stretch>
                            <a:fillRect/>
                          </a:stretch>
                        </pic:blipFill>
                        <pic:spPr>
                          <a:xfrm>
                            <a:off x="0" y="0"/>
                            <a:ext cx="200025" cy="228600"/>
                          </a:xfrm>
                          <a:prstGeom prst="rect">
                            <a:avLst/>
                          </a:prstGeom>
                          <a:noFill/>
                          <a:ln>
                            <a:noFill/>
                          </a:ln>
                        </pic:spPr>
                      </pic:pic>
                    </a:graphicData>
                  </a:graphic>
                </wp:inline>
              </w:drawing>
            </w:r>
            <w:r>
              <w:rPr>
                <w:color w:val="auto"/>
                <w:sz w:val="24"/>
                <w:highlight w:val="none"/>
              </w:rPr>
              <w:t>和</w:t>
            </w:r>
            <w:r>
              <w:rPr>
                <w:color w:val="auto"/>
                <w:position w:val="-12"/>
                <w:sz w:val="24"/>
                <w:highlight w:val="none"/>
              </w:rPr>
              <w:drawing>
                <wp:inline distT="0" distB="0" distL="114300" distR="114300">
                  <wp:extent cx="152400" cy="228600"/>
                  <wp:effectExtent l="0" t="0" r="0" b="0"/>
                  <wp:docPr id="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pic:cNvPicPr>
                            <a:picLocks noChangeAspect="1"/>
                          </pic:cNvPicPr>
                        </pic:nvPicPr>
                        <pic:blipFill>
                          <a:blip r:embed="rId38"/>
                          <a:stretch>
                            <a:fillRect/>
                          </a:stretch>
                        </pic:blipFill>
                        <pic:spPr>
                          <a:xfrm>
                            <a:off x="0" y="0"/>
                            <a:ext cx="152400" cy="228600"/>
                          </a:xfrm>
                          <a:prstGeom prst="rect">
                            <a:avLst/>
                          </a:prstGeom>
                          <a:noFill/>
                          <a:ln>
                            <a:noFill/>
                          </a:ln>
                        </pic:spPr>
                      </pic:pic>
                    </a:graphicData>
                  </a:graphic>
                </wp:inline>
              </w:drawing>
            </w:r>
            <w:r>
              <w:rPr>
                <w:color w:val="auto"/>
                <w:sz w:val="24"/>
                <w:highlight w:val="none"/>
              </w:rPr>
              <w:t>均按T时间内实际工作时间计算。</w:t>
            </w:r>
          </w:p>
          <w:p w14:paraId="6B7D1AF3">
            <w:pPr>
              <w:adjustRightInd w:val="0"/>
              <w:snapToGrid w:val="0"/>
              <w:spacing w:line="360" w:lineRule="auto"/>
              <w:ind w:firstLine="482" w:firstLineChars="200"/>
              <w:jc w:val="left"/>
              <w:rPr>
                <w:b/>
                <w:bCs/>
                <w:color w:val="auto"/>
                <w:sz w:val="24"/>
                <w:highlight w:val="none"/>
              </w:rPr>
            </w:pPr>
            <w:r>
              <w:rPr>
                <w:rFonts w:hint="eastAsia"/>
                <w:b/>
                <w:bCs/>
                <w:color w:val="auto"/>
                <w:sz w:val="24"/>
                <w:highlight w:val="none"/>
                <w:lang w:val="en-US" w:eastAsia="zh-CN"/>
              </w:rPr>
              <w:t>5、</w:t>
            </w:r>
            <w:r>
              <w:rPr>
                <w:b/>
                <w:bCs/>
                <w:color w:val="auto"/>
                <w:sz w:val="24"/>
                <w:highlight w:val="none"/>
              </w:rPr>
              <w:t>预测结果</w:t>
            </w:r>
          </w:p>
          <w:p w14:paraId="6959210F">
            <w:pPr>
              <w:adjustRightInd w:val="0"/>
              <w:snapToGrid w:val="0"/>
              <w:spacing w:line="360" w:lineRule="auto"/>
              <w:ind w:firstLine="480" w:firstLineChars="200"/>
              <w:jc w:val="left"/>
              <w:rPr>
                <w:rFonts w:hint="default" w:eastAsia="宋体"/>
                <w:color w:val="auto"/>
                <w:sz w:val="24"/>
                <w:highlight w:val="yellow"/>
                <w:lang w:val="en-US" w:eastAsia="zh-CN"/>
              </w:rPr>
            </w:pPr>
            <w:r>
              <w:rPr>
                <w:color w:val="auto"/>
                <w:sz w:val="24"/>
                <w:highlight w:val="none"/>
              </w:rPr>
              <w:t>利用环安</w:t>
            </w:r>
            <w:r>
              <w:rPr>
                <w:rFonts w:ascii="Times New Roman" w:hAnsi="Times New Roman" w:eastAsia="宋体" w:cs="Times New Roman"/>
                <w:color w:val="auto"/>
                <w:sz w:val="24"/>
                <w:highlight w:val="none"/>
              </w:rPr>
              <w:t>噪声软件预测结果见表4-</w:t>
            </w:r>
            <w:r>
              <w:rPr>
                <w:rFonts w:hint="eastAsia" w:ascii="Times New Roman" w:hAnsi="Times New Roman" w:eastAsia="宋体" w:cs="Times New Roman"/>
                <w:color w:val="auto"/>
                <w:sz w:val="24"/>
                <w:highlight w:val="none"/>
                <w:lang w:val="en-US" w:eastAsia="zh-CN"/>
              </w:rPr>
              <w:t>11</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本次现有噪声背景值采用</w:t>
            </w:r>
            <w:r>
              <w:rPr>
                <w:rFonts w:hint="eastAsia" w:ascii="Times New Roman" w:hAnsi="Times New Roman" w:eastAsia="宋体" w:cs="Times New Roman"/>
                <w:color w:val="auto"/>
                <w:sz w:val="24"/>
                <w:highlight w:val="none"/>
                <w:lang w:val="en-US" w:eastAsia="zh-CN"/>
              </w:rPr>
              <w:t>2024年第二季度的例行监测数据，采样日期为2024年7月1日，采样时企业正常生产，检测报告编号为森美佳境监（综）字〔2024〕第07060号，具体预测结果见下表。</w:t>
            </w:r>
          </w:p>
          <w:p w14:paraId="0C8E8696">
            <w:pPr>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sz w:val="24"/>
                <w:szCs w:val="24"/>
                <w:highlight w:val="none"/>
              </w:rPr>
            </w:pPr>
            <w:r>
              <w:rPr>
                <w:b w:val="0"/>
                <w:bCs/>
                <w:color w:val="auto"/>
                <w:sz w:val="24"/>
                <w:szCs w:val="24"/>
                <w:highlight w:val="none"/>
              </w:rPr>
              <w:t>表4-</w:t>
            </w:r>
            <w:r>
              <w:rPr>
                <w:rFonts w:hint="eastAsia"/>
                <w:b w:val="0"/>
                <w:bCs/>
                <w:color w:val="auto"/>
                <w:sz w:val="24"/>
                <w:szCs w:val="24"/>
                <w:highlight w:val="none"/>
                <w:lang w:val="en-US" w:eastAsia="zh-CN"/>
              </w:rPr>
              <w:t>17</w:t>
            </w:r>
            <w:r>
              <w:rPr>
                <w:b w:val="0"/>
                <w:bCs/>
                <w:color w:val="auto"/>
                <w:sz w:val="24"/>
                <w:szCs w:val="24"/>
                <w:highlight w:val="none"/>
              </w:rPr>
              <w:t xml:space="preserve">  各预测点的预测值   等效声级Leq[dB(A)]</w:t>
            </w:r>
          </w:p>
          <w:tbl>
            <w:tblPr>
              <w:tblStyle w:val="11"/>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51"/>
              <w:gridCol w:w="837"/>
              <w:gridCol w:w="844"/>
              <w:gridCol w:w="840"/>
              <w:gridCol w:w="842"/>
              <w:gridCol w:w="840"/>
              <w:gridCol w:w="845"/>
              <w:gridCol w:w="842"/>
              <w:gridCol w:w="843"/>
            </w:tblGrid>
            <w:tr w14:paraId="168F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83" w:type="pct"/>
                  <w:vMerge w:val="restart"/>
                  <w:shd w:val="clear" w:color="auto" w:fill="auto"/>
                  <w:noWrap w:val="0"/>
                  <w:vAlign w:val="center"/>
                </w:tcPr>
                <w:p w14:paraId="2DCB8021">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预测点</w:t>
                  </w:r>
                </w:p>
              </w:tc>
              <w:tc>
                <w:tcPr>
                  <w:tcW w:w="1052" w:type="pct"/>
                  <w:gridSpan w:val="2"/>
                  <w:shd w:val="clear" w:color="auto" w:fill="auto"/>
                  <w:noWrap w:val="0"/>
                  <w:vAlign w:val="center"/>
                </w:tcPr>
                <w:p w14:paraId="1EDCCF42">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lang w:eastAsia="zh-CN"/>
                    </w:rPr>
                    <w:t>背景</w:t>
                  </w:r>
                  <w:r>
                    <w:rPr>
                      <w:b w:val="0"/>
                      <w:bCs w:val="0"/>
                      <w:color w:val="auto"/>
                      <w:sz w:val="21"/>
                      <w:szCs w:val="21"/>
                      <w:highlight w:val="none"/>
                    </w:rPr>
                    <w:t>值</w:t>
                  </w:r>
                </w:p>
                <w:p w14:paraId="43B6AFFF">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rPr>
                    <w:t>（</w:t>
                  </w:r>
                  <w:r>
                    <w:rPr>
                      <w:rFonts w:hint="eastAsia"/>
                      <w:b w:val="0"/>
                      <w:bCs w:val="0"/>
                      <w:color w:val="auto"/>
                      <w:sz w:val="21"/>
                      <w:szCs w:val="21"/>
                      <w:highlight w:val="none"/>
                      <w:lang w:eastAsia="zh-CN"/>
                    </w:rPr>
                    <w:t>技改</w:t>
                  </w:r>
                  <w:r>
                    <w:rPr>
                      <w:rFonts w:hint="eastAsia"/>
                      <w:b w:val="0"/>
                      <w:bCs w:val="0"/>
                      <w:color w:val="auto"/>
                      <w:sz w:val="21"/>
                      <w:szCs w:val="21"/>
                      <w:highlight w:val="none"/>
                    </w:rPr>
                    <w:t>前）</w:t>
                  </w:r>
                </w:p>
              </w:tc>
              <w:tc>
                <w:tcPr>
                  <w:tcW w:w="1053" w:type="pct"/>
                  <w:gridSpan w:val="2"/>
                  <w:shd w:val="clear" w:color="auto" w:fill="auto"/>
                  <w:noWrap w:val="0"/>
                  <w:vAlign w:val="center"/>
                </w:tcPr>
                <w:p w14:paraId="3CF2F1C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贡献值</w:t>
                  </w:r>
                </w:p>
                <w:p w14:paraId="65F88354">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rPr>
                    <w:t>（</w:t>
                  </w:r>
                  <w:r>
                    <w:rPr>
                      <w:rFonts w:hint="eastAsia"/>
                      <w:b w:val="0"/>
                      <w:bCs w:val="0"/>
                      <w:color w:val="auto"/>
                      <w:sz w:val="21"/>
                      <w:szCs w:val="21"/>
                      <w:highlight w:val="none"/>
                      <w:lang w:eastAsia="zh-CN"/>
                    </w:rPr>
                    <w:t>技改后</w:t>
                  </w:r>
                  <w:r>
                    <w:rPr>
                      <w:rFonts w:hint="eastAsia"/>
                      <w:b w:val="0"/>
                      <w:bCs w:val="0"/>
                      <w:color w:val="auto"/>
                      <w:sz w:val="21"/>
                      <w:szCs w:val="21"/>
                      <w:highlight w:val="none"/>
                    </w:rPr>
                    <w:t>）</w:t>
                  </w:r>
                </w:p>
              </w:tc>
              <w:tc>
                <w:tcPr>
                  <w:tcW w:w="1055" w:type="pct"/>
                  <w:gridSpan w:val="2"/>
                  <w:shd w:val="clear" w:color="auto" w:fill="auto"/>
                  <w:noWrap w:val="0"/>
                  <w:vAlign w:val="center"/>
                </w:tcPr>
                <w:p w14:paraId="54C3505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预测值</w:t>
                  </w:r>
                </w:p>
              </w:tc>
              <w:tc>
                <w:tcPr>
                  <w:tcW w:w="527" w:type="pct"/>
                  <w:vMerge w:val="restart"/>
                  <w:tcBorders>
                    <w:right w:val="single" w:color="auto" w:sz="2" w:space="0"/>
                  </w:tcBorders>
                  <w:shd w:val="clear" w:color="auto" w:fill="auto"/>
                  <w:noWrap w:val="0"/>
                  <w:vAlign w:val="center"/>
                </w:tcPr>
                <w:p w14:paraId="13AE390C">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标准值</w:t>
                  </w:r>
                </w:p>
              </w:tc>
              <w:tc>
                <w:tcPr>
                  <w:tcW w:w="527" w:type="pct"/>
                  <w:vMerge w:val="restart"/>
                  <w:tcBorders>
                    <w:right w:val="single" w:color="auto" w:sz="2" w:space="0"/>
                  </w:tcBorders>
                  <w:shd w:val="clear" w:color="auto" w:fill="auto"/>
                  <w:noWrap w:val="0"/>
                  <w:vAlign w:val="center"/>
                </w:tcPr>
                <w:p w14:paraId="61A3822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是否</w:t>
                  </w:r>
                </w:p>
                <w:p w14:paraId="4958071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超标</w:t>
                  </w:r>
                </w:p>
              </w:tc>
            </w:tr>
            <w:tr w14:paraId="6678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shd w:val="clear" w:color="auto" w:fill="auto"/>
                  <w:noWrap w:val="0"/>
                  <w:vAlign w:val="center"/>
                </w:tcPr>
                <w:p w14:paraId="0822ED24">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524" w:type="pct"/>
                  <w:shd w:val="clear" w:color="auto" w:fill="auto"/>
                  <w:noWrap w:val="0"/>
                  <w:vAlign w:val="center"/>
                </w:tcPr>
                <w:p w14:paraId="369D3B5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昼间</w:t>
                  </w:r>
                </w:p>
              </w:tc>
              <w:tc>
                <w:tcPr>
                  <w:tcW w:w="528" w:type="pct"/>
                  <w:shd w:val="clear" w:color="auto" w:fill="auto"/>
                  <w:noWrap w:val="0"/>
                  <w:vAlign w:val="center"/>
                </w:tcPr>
                <w:p w14:paraId="01035983">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夜间</w:t>
                  </w:r>
                </w:p>
              </w:tc>
              <w:tc>
                <w:tcPr>
                  <w:tcW w:w="526" w:type="pct"/>
                  <w:shd w:val="clear" w:color="auto" w:fill="auto"/>
                  <w:noWrap w:val="0"/>
                  <w:vAlign w:val="center"/>
                </w:tcPr>
                <w:p w14:paraId="3B223D5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昼间</w:t>
                  </w:r>
                </w:p>
              </w:tc>
              <w:tc>
                <w:tcPr>
                  <w:tcW w:w="527" w:type="pct"/>
                  <w:shd w:val="clear" w:color="auto" w:fill="auto"/>
                  <w:noWrap w:val="0"/>
                  <w:vAlign w:val="center"/>
                </w:tcPr>
                <w:p w14:paraId="5B3B2D49">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夜间</w:t>
                  </w:r>
                </w:p>
              </w:tc>
              <w:tc>
                <w:tcPr>
                  <w:tcW w:w="526" w:type="pct"/>
                  <w:shd w:val="clear" w:color="auto" w:fill="auto"/>
                  <w:noWrap w:val="0"/>
                  <w:vAlign w:val="center"/>
                </w:tcPr>
                <w:p w14:paraId="6C9C6A8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昼间</w:t>
                  </w:r>
                </w:p>
              </w:tc>
              <w:tc>
                <w:tcPr>
                  <w:tcW w:w="529" w:type="pct"/>
                  <w:shd w:val="clear" w:color="auto" w:fill="auto"/>
                  <w:noWrap w:val="0"/>
                  <w:vAlign w:val="center"/>
                </w:tcPr>
                <w:p w14:paraId="62B8B20F">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b w:val="0"/>
                      <w:bCs w:val="0"/>
                      <w:color w:val="auto"/>
                      <w:sz w:val="21"/>
                      <w:szCs w:val="21"/>
                      <w:highlight w:val="none"/>
                    </w:rPr>
                    <w:t>夜间</w:t>
                  </w:r>
                </w:p>
              </w:tc>
              <w:tc>
                <w:tcPr>
                  <w:tcW w:w="527" w:type="pct"/>
                  <w:vMerge w:val="continue"/>
                  <w:tcBorders>
                    <w:right w:val="single" w:color="auto" w:sz="2" w:space="0"/>
                  </w:tcBorders>
                  <w:shd w:val="clear" w:color="auto" w:fill="auto"/>
                  <w:noWrap w:val="0"/>
                  <w:vAlign w:val="center"/>
                </w:tcPr>
                <w:p w14:paraId="7E7F0C3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527" w:type="pct"/>
                  <w:vMerge w:val="continue"/>
                  <w:tcBorders>
                    <w:right w:val="single" w:color="auto" w:sz="2" w:space="0"/>
                  </w:tcBorders>
                  <w:shd w:val="clear" w:color="auto" w:fill="auto"/>
                  <w:noWrap w:val="0"/>
                  <w:vAlign w:val="center"/>
                </w:tcPr>
                <w:p w14:paraId="2041353C">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r>
            <w:tr w14:paraId="4FEF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shd w:val="clear" w:color="auto" w:fill="auto"/>
                  <w:noWrap w:val="0"/>
                  <w:vAlign w:val="center"/>
                </w:tcPr>
                <w:p w14:paraId="72D66B02">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val="0"/>
                      <w:bCs w:val="0"/>
                      <w:color w:val="auto"/>
                      <w:kern w:val="2"/>
                      <w:sz w:val="21"/>
                      <w:szCs w:val="21"/>
                      <w:highlight w:val="none"/>
                      <w:lang w:val="en-US" w:eastAsia="zh-CN"/>
                    </w:rPr>
                  </w:pPr>
                  <w:r>
                    <w:rPr>
                      <w:rFonts w:ascii="Times New Roman" w:hAnsi="Times New Roman"/>
                      <w:b w:val="0"/>
                      <w:bCs w:val="0"/>
                      <w:color w:val="auto"/>
                      <w:kern w:val="2"/>
                      <w:sz w:val="21"/>
                      <w:szCs w:val="21"/>
                      <w:highlight w:val="none"/>
                      <w:lang w:val="en-US" w:eastAsia="zh-CN"/>
                    </w:rPr>
                    <w:t>东厂界</w:t>
                  </w:r>
                </w:p>
              </w:tc>
              <w:tc>
                <w:tcPr>
                  <w:tcW w:w="524" w:type="pct"/>
                  <w:shd w:val="clear" w:color="auto" w:fill="auto"/>
                  <w:noWrap w:val="0"/>
                  <w:vAlign w:val="center"/>
                </w:tcPr>
                <w:p w14:paraId="5B4FFBDF">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58</w:t>
                  </w:r>
                </w:p>
              </w:tc>
              <w:tc>
                <w:tcPr>
                  <w:tcW w:w="528" w:type="pct"/>
                  <w:shd w:val="clear" w:color="auto" w:fill="auto"/>
                  <w:noWrap w:val="0"/>
                  <w:vAlign w:val="center"/>
                </w:tcPr>
                <w:p w14:paraId="137115E4">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526" w:type="pct"/>
                  <w:shd w:val="clear" w:color="auto" w:fill="auto"/>
                  <w:noWrap w:val="0"/>
                  <w:vAlign w:val="center"/>
                </w:tcPr>
                <w:p w14:paraId="7F4557E5">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rPr>
                  </w:pPr>
                  <w:r>
                    <w:rPr>
                      <w:rFonts w:hint="eastAsia" w:ascii="Times New Roman" w:hAnsi="Times New Roman"/>
                      <w:b w:val="0"/>
                      <w:bCs w:val="0"/>
                      <w:color w:val="auto"/>
                      <w:kern w:val="2"/>
                      <w:sz w:val="21"/>
                      <w:szCs w:val="21"/>
                      <w:highlight w:val="none"/>
                      <w:lang w:val="en-US" w:eastAsia="zh-CN"/>
                    </w:rPr>
                    <w:t>37</w:t>
                  </w:r>
                </w:p>
              </w:tc>
              <w:tc>
                <w:tcPr>
                  <w:tcW w:w="842" w:type="dxa"/>
                  <w:shd w:val="clear" w:color="auto" w:fill="auto"/>
                  <w:noWrap w:val="0"/>
                  <w:vAlign w:val="center"/>
                </w:tcPr>
                <w:p w14:paraId="79FA6095">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rPr>
                  </w:pPr>
                  <w:r>
                    <w:rPr>
                      <w:rFonts w:hint="eastAsia" w:ascii="Times New Roman" w:hAnsi="Times New Roman"/>
                      <w:b w:val="0"/>
                      <w:bCs w:val="0"/>
                      <w:color w:val="auto"/>
                      <w:kern w:val="2"/>
                      <w:sz w:val="21"/>
                      <w:szCs w:val="21"/>
                      <w:highlight w:val="none"/>
                      <w:lang w:val="en-US" w:eastAsia="zh-CN"/>
                    </w:rPr>
                    <w:t>37</w:t>
                  </w:r>
                </w:p>
              </w:tc>
              <w:tc>
                <w:tcPr>
                  <w:tcW w:w="526" w:type="pct"/>
                  <w:shd w:val="clear" w:color="auto" w:fill="auto"/>
                  <w:noWrap w:val="0"/>
                  <w:vAlign w:val="center"/>
                </w:tcPr>
                <w:p w14:paraId="2C48AFC2">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58</w:t>
                  </w:r>
                </w:p>
              </w:tc>
              <w:tc>
                <w:tcPr>
                  <w:tcW w:w="529" w:type="pct"/>
                  <w:shd w:val="clear" w:color="auto" w:fill="auto"/>
                  <w:noWrap w:val="0"/>
                  <w:vAlign w:val="center"/>
                </w:tcPr>
                <w:p w14:paraId="22D61EA1">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50</w:t>
                  </w:r>
                </w:p>
              </w:tc>
              <w:tc>
                <w:tcPr>
                  <w:tcW w:w="527" w:type="pct"/>
                  <w:vMerge w:val="restart"/>
                  <w:tcBorders>
                    <w:right w:val="single" w:color="auto" w:sz="2" w:space="0"/>
                  </w:tcBorders>
                  <w:shd w:val="clear" w:color="auto" w:fill="auto"/>
                  <w:noWrap w:val="0"/>
                  <w:vAlign w:val="center"/>
                </w:tcPr>
                <w:p w14:paraId="19C2F4CF">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b w:val="0"/>
                      <w:bCs w:val="0"/>
                      <w:color w:val="auto"/>
                      <w:sz w:val="21"/>
                      <w:szCs w:val="21"/>
                      <w:highlight w:val="none"/>
                    </w:rPr>
                    <w:t>昼间</w:t>
                  </w:r>
                  <w:r>
                    <w:rPr>
                      <w:rFonts w:hint="eastAsia"/>
                      <w:b w:val="0"/>
                      <w:bCs w:val="0"/>
                      <w:color w:val="auto"/>
                      <w:sz w:val="21"/>
                      <w:szCs w:val="21"/>
                      <w:highlight w:val="none"/>
                      <w:lang w:val="en-US" w:eastAsia="zh-CN"/>
                    </w:rPr>
                    <w:t>65</w:t>
                  </w:r>
                </w:p>
                <w:p w14:paraId="2CE5A61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b w:val="0"/>
                      <w:bCs w:val="0"/>
                      <w:color w:val="auto"/>
                      <w:sz w:val="21"/>
                      <w:szCs w:val="21"/>
                      <w:highlight w:val="none"/>
                    </w:rPr>
                    <w:t>夜间</w:t>
                  </w:r>
                  <w:r>
                    <w:rPr>
                      <w:rFonts w:hint="eastAsia"/>
                      <w:b w:val="0"/>
                      <w:bCs w:val="0"/>
                      <w:color w:val="auto"/>
                      <w:sz w:val="21"/>
                      <w:szCs w:val="21"/>
                      <w:highlight w:val="none"/>
                      <w:lang w:val="en-US" w:eastAsia="zh-CN"/>
                    </w:rPr>
                    <w:t>55</w:t>
                  </w:r>
                </w:p>
              </w:tc>
              <w:tc>
                <w:tcPr>
                  <w:tcW w:w="527" w:type="pct"/>
                  <w:tcBorders>
                    <w:right w:val="single" w:color="auto" w:sz="2" w:space="0"/>
                  </w:tcBorders>
                  <w:shd w:val="clear" w:color="auto" w:fill="auto"/>
                  <w:noWrap w:val="0"/>
                  <w:vAlign w:val="center"/>
                </w:tcPr>
                <w:p w14:paraId="41101E93">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达标</w:t>
                  </w:r>
                </w:p>
              </w:tc>
            </w:tr>
            <w:tr w14:paraId="43A2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shd w:val="clear" w:color="auto" w:fill="auto"/>
                  <w:noWrap w:val="0"/>
                  <w:vAlign w:val="center"/>
                </w:tcPr>
                <w:p w14:paraId="513825F5">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南厂界</w:t>
                  </w:r>
                </w:p>
              </w:tc>
              <w:tc>
                <w:tcPr>
                  <w:tcW w:w="524" w:type="pct"/>
                  <w:shd w:val="clear" w:color="auto" w:fill="auto"/>
                  <w:noWrap w:val="0"/>
                  <w:vAlign w:val="center"/>
                </w:tcPr>
                <w:p w14:paraId="54E8F6C7">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58</w:t>
                  </w:r>
                </w:p>
              </w:tc>
              <w:tc>
                <w:tcPr>
                  <w:tcW w:w="528" w:type="pct"/>
                  <w:shd w:val="clear" w:color="auto" w:fill="auto"/>
                  <w:noWrap w:val="0"/>
                  <w:vAlign w:val="center"/>
                </w:tcPr>
                <w:p w14:paraId="310FF11F">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49</w:t>
                  </w:r>
                </w:p>
              </w:tc>
              <w:tc>
                <w:tcPr>
                  <w:tcW w:w="526" w:type="pct"/>
                  <w:shd w:val="clear" w:color="auto" w:fill="auto"/>
                  <w:noWrap w:val="0"/>
                  <w:vAlign w:val="center"/>
                </w:tcPr>
                <w:p w14:paraId="0ADDD453">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bidi="ar-SA"/>
                    </w:rPr>
                  </w:pPr>
                  <w:r>
                    <w:rPr>
                      <w:rFonts w:hint="eastAsia" w:ascii="Times New Roman" w:hAnsi="Times New Roman"/>
                      <w:b w:val="0"/>
                      <w:bCs w:val="0"/>
                      <w:color w:val="auto"/>
                      <w:kern w:val="2"/>
                      <w:sz w:val="21"/>
                      <w:szCs w:val="21"/>
                      <w:highlight w:val="none"/>
                      <w:lang w:val="en-US" w:eastAsia="zh-CN" w:bidi="ar-SA"/>
                    </w:rPr>
                    <w:t>48</w:t>
                  </w:r>
                </w:p>
              </w:tc>
              <w:tc>
                <w:tcPr>
                  <w:tcW w:w="842" w:type="dxa"/>
                  <w:shd w:val="clear" w:color="auto" w:fill="auto"/>
                  <w:noWrap w:val="0"/>
                  <w:vAlign w:val="center"/>
                </w:tcPr>
                <w:p w14:paraId="0700551E">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bidi="ar-SA"/>
                    </w:rPr>
                  </w:pPr>
                  <w:r>
                    <w:rPr>
                      <w:rFonts w:hint="eastAsia" w:ascii="Times New Roman" w:hAnsi="Times New Roman"/>
                      <w:b w:val="0"/>
                      <w:bCs w:val="0"/>
                      <w:color w:val="auto"/>
                      <w:kern w:val="2"/>
                      <w:sz w:val="21"/>
                      <w:szCs w:val="21"/>
                      <w:highlight w:val="none"/>
                      <w:lang w:val="en-US" w:eastAsia="zh-CN" w:bidi="ar-SA"/>
                    </w:rPr>
                    <w:t>48</w:t>
                  </w:r>
                </w:p>
              </w:tc>
              <w:tc>
                <w:tcPr>
                  <w:tcW w:w="526" w:type="pct"/>
                  <w:shd w:val="clear" w:color="auto" w:fill="auto"/>
                  <w:noWrap w:val="0"/>
                  <w:vAlign w:val="center"/>
                </w:tcPr>
                <w:p w14:paraId="027C1E4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b w:val="0"/>
                      <w:bCs w:val="0"/>
                      <w:color w:val="auto"/>
                      <w:kern w:val="2"/>
                      <w:sz w:val="21"/>
                      <w:szCs w:val="21"/>
                      <w:highlight w:val="none"/>
                      <w:lang w:val="en-US" w:eastAsia="zh-CN" w:bidi="ar-SA"/>
                    </w:rPr>
                  </w:pPr>
                  <w:r>
                    <w:rPr>
                      <w:rFonts w:hint="eastAsia"/>
                      <w:b w:val="0"/>
                      <w:bCs w:val="0"/>
                      <w:color w:val="auto"/>
                      <w:kern w:val="2"/>
                      <w:sz w:val="21"/>
                      <w:szCs w:val="21"/>
                      <w:highlight w:val="none"/>
                      <w:lang w:val="en-US" w:eastAsia="zh-CN" w:bidi="ar-SA"/>
                    </w:rPr>
                    <w:t>58</w:t>
                  </w:r>
                </w:p>
              </w:tc>
              <w:tc>
                <w:tcPr>
                  <w:tcW w:w="529" w:type="pct"/>
                  <w:shd w:val="clear" w:color="auto" w:fill="auto"/>
                  <w:noWrap w:val="0"/>
                  <w:vAlign w:val="center"/>
                </w:tcPr>
                <w:p w14:paraId="52085432">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b w:val="0"/>
                      <w:bCs w:val="0"/>
                      <w:color w:val="auto"/>
                      <w:kern w:val="2"/>
                      <w:sz w:val="21"/>
                      <w:szCs w:val="21"/>
                      <w:highlight w:val="none"/>
                      <w:lang w:val="en-US" w:eastAsia="zh-CN" w:bidi="ar-SA"/>
                    </w:rPr>
                  </w:pPr>
                  <w:r>
                    <w:rPr>
                      <w:rFonts w:hint="eastAsia"/>
                      <w:b w:val="0"/>
                      <w:bCs w:val="0"/>
                      <w:color w:val="auto"/>
                      <w:kern w:val="2"/>
                      <w:sz w:val="21"/>
                      <w:szCs w:val="21"/>
                      <w:highlight w:val="none"/>
                      <w:lang w:val="en-US" w:eastAsia="zh-CN" w:bidi="ar-SA"/>
                    </w:rPr>
                    <w:t>51</w:t>
                  </w:r>
                </w:p>
              </w:tc>
              <w:tc>
                <w:tcPr>
                  <w:tcW w:w="527" w:type="pct"/>
                  <w:vMerge w:val="continue"/>
                  <w:tcBorders>
                    <w:right w:val="single" w:color="auto" w:sz="2" w:space="0"/>
                  </w:tcBorders>
                  <w:shd w:val="clear" w:color="auto" w:fill="auto"/>
                  <w:noWrap w:val="0"/>
                  <w:vAlign w:val="center"/>
                </w:tcPr>
                <w:p w14:paraId="22137BD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527" w:type="pct"/>
                  <w:tcBorders>
                    <w:right w:val="single" w:color="auto" w:sz="2" w:space="0"/>
                  </w:tcBorders>
                  <w:shd w:val="clear" w:color="auto" w:fill="auto"/>
                  <w:noWrap w:val="0"/>
                  <w:vAlign w:val="center"/>
                </w:tcPr>
                <w:p w14:paraId="7EE14498">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lang w:eastAsia="zh-CN"/>
                    </w:rPr>
                    <w:t>达标</w:t>
                  </w:r>
                </w:p>
              </w:tc>
            </w:tr>
            <w:tr w14:paraId="6BE2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shd w:val="clear" w:color="auto" w:fill="auto"/>
                  <w:noWrap w:val="0"/>
                  <w:vAlign w:val="center"/>
                </w:tcPr>
                <w:p w14:paraId="75CC4180">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val="0"/>
                      <w:bCs w:val="0"/>
                      <w:color w:val="auto"/>
                      <w:kern w:val="2"/>
                      <w:sz w:val="21"/>
                      <w:szCs w:val="21"/>
                      <w:highlight w:val="none"/>
                      <w:lang w:val="en-US" w:eastAsia="zh-CN"/>
                    </w:rPr>
                  </w:pPr>
                  <w:r>
                    <w:rPr>
                      <w:rFonts w:hint="eastAsia" w:ascii="Times New Roman" w:hAnsi="Times New Roman"/>
                      <w:b w:val="0"/>
                      <w:bCs w:val="0"/>
                      <w:color w:val="auto"/>
                      <w:kern w:val="2"/>
                      <w:sz w:val="21"/>
                      <w:szCs w:val="21"/>
                      <w:highlight w:val="none"/>
                      <w:lang w:val="en-US" w:eastAsia="zh-CN"/>
                    </w:rPr>
                    <w:t>西</w:t>
                  </w:r>
                  <w:r>
                    <w:rPr>
                      <w:rFonts w:ascii="Times New Roman" w:hAnsi="Times New Roman"/>
                      <w:b w:val="0"/>
                      <w:bCs w:val="0"/>
                      <w:color w:val="auto"/>
                      <w:kern w:val="2"/>
                      <w:sz w:val="21"/>
                      <w:szCs w:val="21"/>
                      <w:highlight w:val="none"/>
                      <w:lang w:val="en-US" w:eastAsia="zh-CN"/>
                    </w:rPr>
                    <w:t>厂界</w:t>
                  </w:r>
                </w:p>
              </w:tc>
              <w:tc>
                <w:tcPr>
                  <w:tcW w:w="524" w:type="pct"/>
                  <w:shd w:val="clear" w:color="auto" w:fill="auto"/>
                  <w:noWrap w:val="0"/>
                  <w:vAlign w:val="center"/>
                </w:tcPr>
                <w:p w14:paraId="7D624E55">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56</w:t>
                  </w:r>
                </w:p>
              </w:tc>
              <w:tc>
                <w:tcPr>
                  <w:tcW w:w="528" w:type="pct"/>
                  <w:shd w:val="clear" w:color="auto" w:fill="auto"/>
                  <w:noWrap w:val="0"/>
                  <w:vAlign w:val="center"/>
                </w:tcPr>
                <w:p w14:paraId="7E1E6827">
                  <w:pPr>
                    <w:jc w:val="center"/>
                    <w:rPr>
                      <w:rFonts w:hint="default" w:ascii="Times New Roman" w:hAnsi="Times New Roman"/>
                      <w:b w:val="0"/>
                      <w:bCs w:val="0"/>
                      <w:color w:val="auto"/>
                      <w:kern w:val="2"/>
                      <w:sz w:val="21"/>
                      <w:szCs w:val="21"/>
                      <w:highlight w:val="none"/>
                      <w:lang w:val="en-US" w:eastAsia="zh-CN"/>
                    </w:rPr>
                  </w:pPr>
                  <w:r>
                    <w:rPr>
                      <w:rFonts w:hint="eastAsia" w:cs="Times New Roman"/>
                      <w:b w:val="0"/>
                      <w:bCs w:val="0"/>
                      <w:color w:val="auto"/>
                      <w:sz w:val="21"/>
                      <w:szCs w:val="21"/>
                      <w:highlight w:val="none"/>
                      <w:lang w:val="en-US" w:eastAsia="zh-CN"/>
                    </w:rPr>
                    <w:t>52</w:t>
                  </w:r>
                </w:p>
              </w:tc>
              <w:tc>
                <w:tcPr>
                  <w:tcW w:w="526" w:type="pct"/>
                  <w:shd w:val="clear" w:color="auto" w:fill="auto"/>
                  <w:noWrap w:val="0"/>
                  <w:vAlign w:val="center"/>
                </w:tcPr>
                <w:p w14:paraId="0E0FF5F4">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rPr>
                  </w:pPr>
                  <w:r>
                    <w:rPr>
                      <w:rFonts w:hint="eastAsia" w:ascii="Times New Roman" w:hAnsi="Times New Roman"/>
                      <w:b w:val="0"/>
                      <w:bCs w:val="0"/>
                      <w:color w:val="auto"/>
                      <w:kern w:val="2"/>
                      <w:sz w:val="21"/>
                      <w:szCs w:val="21"/>
                      <w:highlight w:val="none"/>
                      <w:lang w:val="en-US" w:eastAsia="zh-CN"/>
                    </w:rPr>
                    <w:t>36</w:t>
                  </w:r>
                </w:p>
              </w:tc>
              <w:tc>
                <w:tcPr>
                  <w:tcW w:w="842" w:type="dxa"/>
                  <w:shd w:val="clear" w:color="auto" w:fill="auto"/>
                  <w:noWrap w:val="0"/>
                  <w:vAlign w:val="center"/>
                </w:tcPr>
                <w:p w14:paraId="4DF2748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rPr>
                  </w:pPr>
                  <w:r>
                    <w:rPr>
                      <w:rFonts w:hint="eastAsia" w:ascii="Times New Roman" w:hAnsi="Times New Roman"/>
                      <w:b w:val="0"/>
                      <w:bCs w:val="0"/>
                      <w:color w:val="auto"/>
                      <w:kern w:val="2"/>
                      <w:sz w:val="21"/>
                      <w:szCs w:val="21"/>
                      <w:highlight w:val="none"/>
                      <w:lang w:val="en-US" w:eastAsia="zh-CN"/>
                    </w:rPr>
                    <w:t>36</w:t>
                  </w:r>
                </w:p>
              </w:tc>
              <w:tc>
                <w:tcPr>
                  <w:tcW w:w="526" w:type="pct"/>
                  <w:shd w:val="clear" w:color="auto" w:fill="auto"/>
                  <w:noWrap w:val="0"/>
                  <w:vAlign w:val="center"/>
                </w:tcPr>
                <w:p w14:paraId="277CC287">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56</w:t>
                  </w:r>
                </w:p>
              </w:tc>
              <w:tc>
                <w:tcPr>
                  <w:tcW w:w="529" w:type="pct"/>
                  <w:shd w:val="clear" w:color="auto" w:fill="auto"/>
                  <w:noWrap w:val="0"/>
                  <w:vAlign w:val="center"/>
                </w:tcPr>
                <w:p w14:paraId="0CA0ACB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52</w:t>
                  </w:r>
                </w:p>
              </w:tc>
              <w:tc>
                <w:tcPr>
                  <w:tcW w:w="527" w:type="pct"/>
                  <w:vMerge w:val="continue"/>
                  <w:tcBorders>
                    <w:right w:val="single" w:color="auto" w:sz="2" w:space="0"/>
                  </w:tcBorders>
                  <w:shd w:val="clear" w:color="auto" w:fill="auto"/>
                  <w:noWrap w:val="0"/>
                  <w:vAlign w:val="center"/>
                </w:tcPr>
                <w:p w14:paraId="191B4876">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527" w:type="pct"/>
                  <w:tcBorders>
                    <w:right w:val="single" w:color="auto" w:sz="2" w:space="0"/>
                  </w:tcBorders>
                  <w:shd w:val="clear" w:color="auto" w:fill="auto"/>
                  <w:noWrap w:val="0"/>
                  <w:vAlign w:val="center"/>
                </w:tcPr>
                <w:p w14:paraId="15914D99">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r>
                    <w:rPr>
                      <w:rFonts w:hint="eastAsia"/>
                      <w:b w:val="0"/>
                      <w:bCs w:val="0"/>
                      <w:color w:val="auto"/>
                      <w:sz w:val="21"/>
                      <w:szCs w:val="21"/>
                      <w:highlight w:val="none"/>
                      <w:lang w:eastAsia="zh-CN"/>
                    </w:rPr>
                    <w:t>达标</w:t>
                  </w:r>
                </w:p>
              </w:tc>
            </w:tr>
            <w:tr w14:paraId="40C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shd w:val="clear" w:color="auto" w:fill="auto"/>
                  <w:noWrap w:val="0"/>
                  <w:vAlign w:val="center"/>
                </w:tcPr>
                <w:p w14:paraId="4464ACEC">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b w:val="0"/>
                      <w:bCs w:val="0"/>
                      <w:color w:val="auto"/>
                      <w:kern w:val="2"/>
                      <w:sz w:val="21"/>
                      <w:szCs w:val="21"/>
                      <w:highlight w:val="none"/>
                      <w:lang w:val="en-US" w:eastAsia="zh-CN" w:bidi="ar-SA"/>
                    </w:rPr>
                  </w:pPr>
                  <w:r>
                    <w:rPr>
                      <w:rFonts w:hint="eastAsia" w:ascii="Times New Roman" w:hAnsi="Times New Roman"/>
                      <w:b w:val="0"/>
                      <w:bCs w:val="0"/>
                      <w:color w:val="auto"/>
                      <w:kern w:val="2"/>
                      <w:sz w:val="21"/>
                      <w:szCs w:val="21"/>
                      <w:highlight w:val="none"/>
                      <w:lang w:val="en-US" w:eastAsia="zh-CN"/>
                    </w:rPr>
                    <w:t>北</w:t>
                  </w:r>
                  <w:r>
                    <w:rPr>
                      <w:rFonts w:ascii="Times New Roman" w:hAnsi="Times New Roman"/>
                      <w:b w:val="0"/>
                      <w:bCs w:val="0"/>
                      <w:color w:val="auto"/>
                      <w:kern w:val="2"/>
                      <w:sz w:val="21"/>
                      <w:szCs w:val="21"/>
                      <w:highlight w:val="none"/>
                      <w:lang w:val="en-US" w:eastAsia="zh-CN"/>
                    </w:rPr>
                    <w:t>厂界</w:t>
                  </w:r>
                </w:p>
              </w:tc>
              <w:tc>
                <w:tcPr>
                  <w:tcW w:w="524" w:type="pct"/>
                  <w:shd w:val="clear" w:color="auto" w:fill="auto"/>
                  <w:noWrap w:val="0"/>
                  <w:vAlign w:val="center"/>
                </w:tcPr>
                <w:p w14:paraId="2F7D0972">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57</w:t>
                  </w:r>
                </w:p>
              </w:tc>
              <w:tc>
                <w:tcPr>
                  <w:tcW w:w="528" w:type="pct"/>
                  <w:shd w:val="clear" w:color="auto" w:fill="auto"/>
                  <w:noWrap w:val="0"/>
                  <w:vAlign w:val="center"/>
                </w:tcPr>
                <w:p w14:paraId="4C156593">
                  <w:pPr>
                    <w:jc w:val="center"/>
                    <w:rPr>
                      <w:rFonts w:hint="default" w:ascii="Times New Roman" w:hAnsi="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51</w:t>
                  </w:r>
                </w:p>
              </w:tc>
              <w:tc>
                <w:tcPr>
                  <w:tcW w:w="526" w:type="pct"/>
                  <w:shd w:val="clear" w:color="auto" w:fill="auto"/>
                  <w:noWrap w:val="0"/>
                  <w:vAlign w:val="center"/>
                </w:tcPr>
                <w:p w14:paraId="5CDC52C3">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bidi="ar-SA"/>
                    </w:rPr>
                  </w:pPr>
                  <w:r>
                    <w:rPr>
                      <w:rFonts w:hint="eastAsia" w:ascii="Times New Roman" w:hAnsi="Times New Roman"/>
                      <w:b w:val="0"/>
                      <w:bCs w:val="0"/>
                      <w:color w:val="auto"/>
                      <w:kern w:val="2"/>
                      <w:sz w:val="21"/>
                      <w:szCs w:val="21"/>
                      <w:highlight w:val="none"/>
                      <w:lang w:val="en-US" w:eastAsia="zh-CN" w:bidi="ar-SA"/>
                    </w:rPr>
                    <w:t>37</w:t>
                  </w:r>
                </w:p>
              </w:tc>
              <w:tc>
                <w:tcPr>
                  <w:tcW w:w="842" w:type="dxa"/>
                  <w:shd w:val="clear" w:color="auto" w:fill="auto"/>
                  <w:noWrap w:val="0"/>
                  <w:vAlign w:val="center"/>
                </w:tcPr>
                <w:p w14:paraId="35CB0FCD">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b w:val="0"/>
                      <w:bCs w:val="0"/>
                      <w:color w:val="auto"/>
                      <w:kern w:val="2"/>
                      <w:sz w:val="21"/>
                      <w:szCs w:val="21"/>
                      <w:highlight w:val="none"/>
                      <w:lang w:val="en-US" w:eastAsia="zh-CN" w:bidi="ar-SA"/>
                    </w:rPr>
                  </w:pPr>
                  <w:r>
                    <w:rPr>
                      <w:rFonts w:hint="eastAsia" w:ascii="Times New Roman" w:hAnsi="Times New Roman"/>
                      <w:b w:val="0"/>
                      <w:bCs w:val="0"/>
                      <w:color w:val="auto"/>
                      <w:kern w:val="2"/>
                      <w:sz w:val="21"/>
                      <w:szCs w:val="21"/>
                      <w:highlight w:val="none"/>
                      <w:lang w:val="en-US" w:eastAsia="zh-CN" w:bidi="ar-SA"/>
                    </w:rPr>
                    <w:t>37</w:t>
                  </w:r>
                </w:p>
              </w:tc>
              <w:tc>
                <w:tcPr>
                  <w:tcW w:w="526" w:type="pct"/>
                  <w:shd w:val="clear" w:color="auto" w:fill="auto"/>
                  <w:noWrap w:val="0"/>
                  <w:vAlign w:val="center"/>
                </w:tcPr>
                <w:p w14:paraId="186A67A2">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kern w:val="2"/>
                      <w:sz w:val="21"/>
                      <w:szCs w:val="21"/>
                      <w:highlight w:val="none"/>
                      <w:lang w:val="en-US" w:eastAsia="zh-CN" w:bidi="ar-SA"/>
                    </w:rPr>
                    <w:t>57</w:t>
                  </w:r>
                </w:p>
              </w:tc>
              <w:tc>
                <w:tcPr>
                  <w:tcW w:w="529" w:type="pct"/>
                  <w:shd w:val="clear" w:color="auto" w:fill="auto"/>
                  <w:noWrap w:val="0"/>
                  <w:vAlign w:val="center"/>
                </w:tcPr>
                <w:p w14:paraId="40C81CC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kern w:val="2"/>
                      <w:sz w:val="21"/>
                      <w:szCs w:val="21"/>
                      <w:highlight w:val="none"/>
                      <w:lang w:val="en-US" w:eastAsia="zh-CN" w:bidi="ar-SA"/>
                    </w:rPr>
                    <w:t>51</w:t>
                  </w:r>
                </w:p>
              </w:tc>
              <w:tc>
                <w:tcPr>
                  <w:tcW w:w="527" w:type="pct"/>
                  <w:vMerge w:val="continue"/>
                  <w:tcBorders>
                    <w:right w:val="single" w:color="auto" w:sz="2" w:space="0"/>
                  </w:tcBorders>
                  <w:shd w:val="clear" w:color="auto" w:fill="auto"/>
                  <w:noWrap w:val="0"/>
                  <w:vAlign w:val="center"/>
                </w:tcPr>
                <w:p w14:paraId="3EA3B3E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sz w:val="21"/>
                      <w:szCs w:val="21"/>
                      <w:highlight w:val="none"/>
                    </w:rPr>
                  </w:pPr>
                </w:p>
              </w:tc>
              <w:tc>
                <w:tcPr>
                  <w:tcW w:w="527" w:type="pct"/>
                  <w:tcBorders>
                    <w:right w:val="single" w:color="auto" w:sz="2" w:space="0"/>
                  </w:tcBorders>
                  <w:shd w:val="clear" w:color="auto" w:fill="auto"/>
                  <w:noWrap w:val="0"/>
                  <w:vAlign w:val="center"/>
                </w:tcPr>
                <w:p w14:paraId="41B8503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b w:val="0"/>
                      <w:bCs w:val="0"/>
                      <w:color w:val="auto"/>
                      <w:kern w:val="2"/>
                      <w:sz w:val="21"/>
                      <w:szCs w:val="21"/>
                      <w:highlight w:val="none"/>
                      <w:lang w:val="en-US" w:eastAsia="zh-CN" w:bidi="ar-SA"/>
                    </w:rPr>
                  </w:pPr>
                  <w:r>
                    <w:rPr>
                      <w:rFonts w:hint="eastAsia"/>
                      <w:b w:val="0"/>
                      <w:bCs w:val="0"/>
                      <w:color w:val="auto"/>
                      <w:sz w:val="21"/>
                      <w:szCs w:val="21"/>
                      <w:highlight w:val="none"/>
                      <w:lang w:eastAsia="zh-CN"/>
                    </w:rPr>
                    <w:t>达标</w:t>
                  </w:r>
                </w:p>
              </w:tc>
            </w:tr>
          </w:tbl>
          <w:p w14:paraId="46EC78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auto"/>
                <w:sz w:val="24"/>
                <w:highlight w:val="none"/>
                <w:lang w:val="en-US" w:eastAsia="zh-CN"/>
              </w:rPr>
            </w:pPr>
            <w:r>
              <w:rPr>
                <w:color w:val="auto"/>
                <w:sz w:val="24"/>
                <w:highlight w:val="none"/>
              </w:rPr>
              <w:t>预测结果表明，</w:t>
            </w:r>
            <w:r>
              <w:rPr>
                <w:rFonts w:hint="eastAsia"/>
                <w:color w:val="auto"/>
                <w:sz w:val="24"/>
                <w:highlight w:val="none"/>
                <w:lang w:eastAsia="zh-CN"/>
              </w:rPr>
              <w:t>本项目技改</w:t>
            </w:r>
            <w:r>
              <w:rPr>
                <w:color w:val="auto"/>
                <w:sz w:val="24"/>
                <w:highlight w:val="none"/>
              </w:rPr>
              <w:t>后营运期</w:t>
            </w:r>
            <w:r>
              <w:rPr>
                <w:rFonts w:hint="eastAsia"/>
                <w:color w:val="auto"/>
                <w:sz w:val="24"/>
                <w:highlight w:val="none"/>
                <w:lang w:eastAsia="zh-CN"/>
              </w:rPr>
              <w:t>东、西、南、北厂界</w:t>
            </w:r>
            <w:r>
              <w:rPr>
                <w:rFonts w:hint="eastAsia"/>
                <w:color w:val="auto"/>
                <w:sz w:val="24"/>
                <w:highlight w:val="none"/>
              </w:rPr>
              <w:t>噪声值符合</w:t>
            </w:r>
            <w:r>
              <w:rPr>
                <w:color w:val="auto"/>
                <w:sz w:val="24"/>
                <w:highlight w:val="none"/>
              </w:rPr>
              <w:t>《工业企业厂界环境噪声排放标准》（GB12348-2008）中</w:t>
            </w:r>
            <w:r>
              <w:rPr>
                <w:rFonts w:hint="eastAsia"/>
                <w:color w:val="auto"/>
                <w:sz w:val="24"/>
                <w:highlight w:val="none"/>
                <w:lang w:val="en-US" w:eastAsia="zh-CN"/>
              </w:rPr>
              <w:t>3</w:t>
            </w:r>
            <w:r>
              <w:rPr>
                <w:color w:val="auto"/>
                <w:sz w:val="24"/>
                <w:highlight w:val="none"/>
              </w:rPr>
              <w:t>类标准限值</w:t>
            </w:r>
            <w:r>
              <w:rPr>
                <w:rFonts w:hint="eastAsia"/>
                <w:bCs/>
                <w:color w:val="auto"/>
                <w:sz w:val="24"/>
                <w:highlight w:val="none"/>
                <w:lang w:val="en-US" w:eastAsia="zh-CN"/>
              </w:rPr>
              <w:t>。</w:t>
            </w:r>
          </w:p>
          <w:p w14:paraId="2E4A2BEF">
            <w:pPr>
              <w:pStyle w:val="1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szCs w:val="24"/>
              </w:rPr>
            </w:pPr>
            <w:r>
              <w:rPr>
                <w:rFonts w:hint="eastAsia"/>
                <w:b/>
                <w:bCs/>
                <w:szCs w:val="24"/>
                <w:lang w:val="en-US" w:eastAsia="zh-CN"/>
              </w:rPr>
              <w:t>6</w:t>
            </w:r>
            <w:r>
              <w:rPr>
                <w:b/>
                <w:bCs/>
                <w:szCs w:val="24"/>
              </w:rPr>
              <w:t>、噪声自行监测计划</w:t>
            </w:r>
          </w:p>
          <w:p w14:paraId="36C55F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kern w:val="21"/>
                <w:sz w:val="24"/>
              </w:rPr>
            </w:pPr>
            <w:r>
              <w:rPr>
                <w:rFonts w:hint="eastAsia"/>
                <w:sz w:val="24"/>
                <w:lang w:eastAsia="zh-CN"/>
              </w:rPr>
              <w:t>技改前公司已按照</w:t>
            </w:r>
            <w:r>
              <w:rPr>
                <w:rFonts w:hint="eastAsia"/>
                <w:sz w:val="24"/>
              </w:rPr>
              <w:t>《排污单位自行监测技术指南 总则》（</w:t>
            </w:r>
            <w:r>
              <w:rPr>
                <w:sz w:val="24"/>
              </w:rPr>
              <w:t>HJ 819-2017</w:t>
            </w:r>
            <w:r>
              <w:rPr>
                <w:rFonts w:hint="eastAsia"/>
                <w:sz w:val="24"/>
              </w:rPr>
              <w:t>）</w:t>
            </w:r>
            <w:r>
              <w:rPr>
                <w:rFonts w:hint="eastAsia"/>
                <w:sz w:val="24"/>
                <w:lang w:eastAsia="zh-CN"/>
              </w:rPr>
              <w:t>及</w:t>
            </w:r>
            <w:r>
              <w:rPr>
                <w:rFonts w:ascii="Times New Roman" w:hAnsi="Times New Roman" w:eastAsia="宋体" w:cs="Times New Roman"/>
                <w:kern w:val="0"/>
                <w:sz w:val="24"/>
                <w:lang w:val="zh-CN"/>
              </w:rPr>
              <w:t>《排污单位自行监测技术指南-</w:t>
            </w:r>
            <w:r>
              <w:rPr>
                <w:rFonts w:hint="eastAsia" w:ascii="Times New Roman" w:hAnsi="Times New Roman" w:eastAsia="宋体" w:cs="Times New Roman"/>
                <w:kern w:val="0"/>
                <w:sz w:val="24"/>
              </w:rPr>
              <w:t>石油化学工业</w:t>
            </w:r>
            <w:r>
              <w:rPr>
                <w:rFonts w:ascii="Times New Roman" w:hAnsi="Times New Roman" w:eastAsia="宋体" w:cs="Times New Roman"/>
                <w:kern w:val="0"/>
                <w:sz w:val="24"/>
                <w:lang w:val="zh-CN"/>
              </w:rPr>
              <w:t>》（</w:t>
            </w:r>
            <w:r>
              <w:rPr>
                <w:rFonts w:ascii="Times New Roman" w:hAnsi="Times New Roman" w:eastAsia="宋体" w:cs="Times New Roman"/>
                <w:kern w:val="0"/>
                <w:sz w:val="24"/>
              </w:rPr>
              <w:t>HJ947-2018</w:t>
            </w:r>
            <w:r>
              <w:rPr>
                <w:rFonts w:ascii="Times New Roman" w:hAnsi="Times New Roman" w:eastAsia="宋体" w:cs="Times New Roman"/>
                <w:kern w:val="0"/>
                <w:sz w:val="24"/>
                <w:lang w:val="zh-CN"/>
              </w:rPr>
              <w:t>）</w:t>
            </w:r>
            <w:r>
              <w:rPr>
                <w:rFonts w:hint="eastAsia" w:ascii="Times New Roman" w:hAnsi="Times New Roman" w:eastAsia="宋体" w:cs="Times New Roman"/>
                <w:kern w:val="0"/>
                <w:sz w:val="24"/>
                <w:lang w:val="zh-CN"/>
              </w:rPr>
              <w:t>制定了厂界噪声监测计划，本次技改后按照现有的噪声监测计划按时监测，</w:t>
            </w:r>
            <w:r>
              <w:rPr>
                <w:rFonts w:hint="eastAsia"/>
                <w:sz w:val="24"/>
              </w:rPr>
              <w:t>厂界噪声监测点位、监测频次不发生变化，噪声监测计划</w:t>
            </w:r>
            <w:r>
              <w:rPr>
                <w:kern w:val="21"/>
                <w:sz w:val="24"/>
              </w:rPr>
              <w:t>见下表。</w:t>
            </w:r>
          </w:p>
          <w:p w14:paraId="2133BF97">
            <w:pPr>
              <w:pStyle w:val="56"/>
              <w:adjustRightInd w:val="0"/>
              <w:snapToGrid w:val="0"/>
              <w:spacing w:line="240" w:lineRule="auto"/>
              <w:ind w:firstLine="0" w:firstLineChars="0"/>
              <w:jc w:val="center"/>
              <w:rPr>
                <w:rFonts w:hAnsi="Times New Roman" w:cs="Times New Roman"/>
                <w:bCs/>
                <w:kern w:val="21"/>
                <w:szCs w:val="24"/>
              </w:rPr>
            </w:pPr>
            <w:r>
              <w:rPr>
                <w:rFonts w:hAnsi="Times New Roman" w:cs="Times New Roman"/>
                <w:bCs/>
                <w:kern w:val="21"/>
                <w:szCs w:val="24"/>
              </w:rPr>
              <w:t>表</w:t>
            </w:r>
            <w:r>
              <w:rPr>
                <w:rFonts w:hint="eastAsia" w:hAnsi="Times New Roman" w:cs="Times New Roman"/>
                <w:bCs/>
                <w:kern w:val="21"/>
                <w:szCs w:val="24"/>
              </w:rPr>
              <w:t>4-1</w:t>
            </w:r>
            <w:r>
              <w:rPr>
                <w:rFonts w:hint="eastAsia" w:hAnsi="Times New Roman" w:cs="Times New Roman"/>
                <w:bCs/>
                <w:kern w:val="21"/>
                <w:szCs w:val="24"/>
                <w:lang w:val="en-US" w:eastAsia="zh-CN"/>
              </w:rPr>
              <w:t>8</w:t>
            </w:r>
            <w:r>
              <w:rPr>
                <w:rFonts w:hAnsi="Times New Roman" w:cs="Times New Roman"/>
                <w:bCs/>
                <w:kern w:val="21"/>
                <w:szCs w:val="24"/>
              </w:rPr>
              <w:t xml:space="preserve">  项目噪声监测计划</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73"/>
              <w:gridCol w:w="1236"/>
              <w:gridCol w:w="1143"/>
              <w:gridCol w:w="1170"/>
              <w:gridCol w:w="3373"/>
            </w:tblGrid>
            <w:tr w14:paraId="3697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671" w:type="pct"/>
                  <w:shd w:val="clear" w:color="auto" w:fill="auto"/>
                  <w:noWrap w:val="0"/>
                  <w:vAlign w:val="center"/>
                </w:tcPr>
                <w:p w14:paraId="5DB9B5EE">
                  <w:pPr>
                    <w:adjustRightInd w:val="0"/>
                    <w:snapToGrid w:val="0"/>
                    <w:jc w:val="center"/>
                    <w:rPr>
                      <w:bCs/>
                      <w:szCs w:val="21"/>
                    </w:rPr>
                  </w:pPr>
                  <w:r>
                    <w:rPr>
                      <w:bCs/>
                      <w:szCs w:val="21"/>
                    </w:rPr>
                    <w:t>污染源</w:t>
                  </w:r>
                </w:p>
              </w:tc>
              <w:tc>
                <w:tcPr>
                  <w:tcW w:w="773" w:type="pct"/>
                  <w:shd w:val="clear" w:color="auto" w:fill="auto"/>
                  <w:noWrap w:val="0"/>
                  <w:vAlign w:val="center"/>
                </w:tcPr>
                <w:p w14:paraId="4A1029EF">
                  <w:pPr>
                    <w:adjustRightInd w:val="0"/>
                    <w:snapToGrid w:val="0"/>
                    <w:jc w:val="center"/>
                    <w:rPr>
                      <w:bCs/>
                      <w:szCs w:val="21"/>
                    </w:rPr>
                  </w:pPr>
                  <w:r>
                    <w:rPr>
                      <w:bCs/>
                      <w:szCs w:val="21"/>
                    </w:rPr>
                    <w:t>监测点位</w:t>
                  </w:r>
                </w:p>
              </w:tc>
              <w:tc>
                <w:tcPr>
                  <w:tcW w:w="715" w:type="pct"/>
                  <w:shd w:val="clear" w:color="auto" w:fill="auto"/>
                  <w:noWrap w:val="0"/>
                  <w:vAlign w:val="center"/>
                </w:tcPr>
                <w:p w14:paraId="5B0496B1">
                  <w:pPr>
                    <w:adjustRightInd w:val="0"/>
                    <w:snapToGrid w:val="0"/>
                    <w:jc w:val="center"/>
                    <w:rPr>
                      <w:bCs/>
                      <w:szCs w:val="21"/>
                    </w:rPr>
                  </w:pPr>
                  <w:r>
                    <w:rPr>
                      <w:bCs/>
                      <w:szCs w:val="21"/>
                    </w:rPr>
                    <w:t>监测项目</w:t>
                  </w:r>
                </w:p>
              </w:tc>
              <w:tc>
                <w:tcPr>
                  <w:tcW w:w="732" w:type="pct"/>
                  <w:shd w:val="clear" w:color="auto" w:fill="auto"/>
                  <w:noWrap w:val="0"/>
                  <w:vAlign w:val="center"/>
                </w:tcPr>
                <w:p w14:paraId="6743B2A4">
                  <w:pPr>
                    <w:adjustRightInd w:val="0"/>
                    <w:snapToGrid w:val="0"/>
                    <w:jc w:val="center"/>
                    <w:rPr>
                      <w:bCs/>
                      <w:szCs w:val="21"/>
                    </w:rPr>
                  </w:pPr>
                  <w:r>
                    <w:rPr>
                      <w:bCs/>
                      <w:szCs w:val="21"/>
                    </w:rPr>
                    <w:t>监测频次</w:t>
                  </w:r>
                </w:p>
              </w:tc>
              <w:tc>
                <w:tcPr>
                  <w:tcW w:w="2109" w:type="pct"/>
                  <w:shd w:val="clear" w:color="auto" w:fill="auto"/>
                  <w:noWrap w:val="0"/>
                  <w:vAlign w:val="center"/>
                </w:tcPr>
                <w:p w14:paraId="2218DBD8">
                  <w:pPr>
                    <w:adjustRightInd w:val="0"/>
                    <w:snapToGrid w:val="0"/>
                    <w:jc w:val="center"/>
                    <w:rPr>
                      <w:bCs/>
                      <w:szCs w:val="21"/>
                    </w:rPr>
                  </w:pPr>
                  <w:r>
                    <w:rPr>
                      <w:bCs/>
                      <w:szCs w:val="21"/>
                    </w:rPr>
                    <w:t>控制指标</w:t>
                  </w:r>
                </w:p>
              </w:tc>
            </w:tr>
            <w:tr w14:paraId="3082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671" w:type="pct"/>
                  <w:shd w:val="clear" w:color="auto" w:fill="auto"/>
                  <w:noWrap w:val="0"/>
                  <w:vAlign w:val="center"/>
                </w:tcPr>
                <w:p w14:paraId="4D13599C">
                  <w:pPr>
                    <w:adjustRightInd w:val="0"/>
                    <w:snapToGrid w:val="0"/>
                    <w:jc w:val="center"/>
                    <w:rPr>
                      <w:szCs w:val="21"/>
                    </w:rPr>
                  </w:pPr>
                  <w:r>
                    <w:rPr>
                      <w:szCs w:val="21"/>
                    </w:rPr>
                    <w:t>噪声</w:t>
                  </w:r>
                </w:p>
              </w:tc>
              <w:tc>
                <w:tcPr>
                  <w:tcW w:w="773" w:type="pct"/>
                  <w:shd w:val="clear" w:color="auto" w:fill="auto"/>
                  <w:noWrap w:val="0"/>
                  <w:vAlign w:val="center"/>
                </w:tcPr>
                <w:p w14:paraId="57E3C30A">
                  <w:pPr>
                    <w:adjustRightInd w:val="0"/>
                    <w:snapToGrid w:val="0"/>
                    <w:jc w:val="center"/>
                    <w:rPr>
                      <w:szCs w:val="21"/>
                    </w:rPr>
                  </w:pPr>
                  <w:r>
                    <w:rPr>
                      <w:szCs w:val="21"/>
                    </w:rPr>
                    <w:t>厂界</w:t>
                  </w:r>
                  <w:r>
                    <w:rPr>
                      <w:rFonts w:hint="eastAsia"/>
                      <w:szCs w:val="21"/>
                    </w:rPr>
                    <w:t>四周</w:t>
                  </w:r>
                  <w:r>
                    <w:rPr>
                      <w:szCs w:val="21"/>
                    </w:rPr>
                    <w:t>1m处</w:t>
                  </w:r>
                </w:p>
              </w:tc>
              <w:tc>
                <w:tcPr>
                  <w:tcW w:w="715" w:type="pct"/>
                  <w:shd w:val="clear" w:color="auto" w:fill="auto"/>
                  <w:noWrap w:val="0"/>
                  <w:vAlign w:val="center"/>
                </w:tcPr>
                <w:p w14:paraId="067C4D52">
                  <w:pPr>
                    <w:adjustRightInd w:val="0"/>
                    <w:snapToGrid w:val="0"/>
                    <w:jc w:val="center"/>
                    <w:rPr>
                      <w:szCs w:val="21"/>
                    </w:rPr>
                  </w:pPr>
                  <w:r>
                    <w:rPr>
                      <w:szCs w:val="21"/>
                    </w:rPr>
                    <w:t>Leq(A)</w:t>
                  </w:r>
                </w:p>
              </w:tc>
              <w:tc>
                <w:tcPr>
                  <w:tcW w:w="732" w:type="pct"/>
                  <w:shd w:val="clear" w:color="auto" w:fill="auto"/>
                  <w:noWrap w:val="0"/>
                  <w:vAlign w:val="center"/>
                </w:tcPr>
                <w:p w14:paraId="1A7A91ED">
                  <w:pPr>
                    <w:adjustRightInd w:val="0"/>
                    <w:snapToGrid w:val="0"/>
                    <w:jc w:val="center"/>
                    <w:rPr>
                      <w:szCs w:val="21"/>
                    </w:rPr>
                  </w:pPr>
                  <w:r>
                    <w:rPr>
                      <w:szCs w:val="21"/>
                    </w:rPr>
                    <w:t>1次/</w:t>
                  </w:r>
                </w:p>
                <w:p w14:paraId="3C8673B5">
                  <w:pPr>
                    <w:adjustRightInd w:val="0"/>
                    <w:snapToGrid w:val="0"/>
                    <w:jc w:val="center"/>
                    <w:rPr>
                      <w:szCs w:val="21"/>
                    </w:rPr>
                  </w:pPr>
                  <w:r>
                    <w:rPr>
                      <w:szCs w:val="21"/>
                    </w:rPr>
                    <w:t>季度</w:t>
                  </w:r>
                </w:p>
              </w:tc>
              <w:tc>
                <w:tcPr>
                  <w:tcW w:w="2109" w:type="pct"/>
                  <w:shd w:val="clear" w:color="auto" w:fill="auto"/>
                  <w:noWrap w:val="0"/>
                  <w:vAlign w:val="center"/>
                </w:tcPr>
                <w:p w14:paraId="5AD83FB2">
                  <w:pPr>
                    <w:adjustRightInd w:val="0"/>
                    <w:snapToGrid w:val="0"/>
                    <w:jc w:val="center"/>
                    <w:rPr>
                      <w:szCs w:val="21"/>
                    </w:rPr>
                  </w:pPr>
                  <w:r>
                    <w:rPr>
                      <w:szCs w:val="21"/>
                    </w:rPr>
                    <w:t>《工业企业厂界环境噪声排放标准》（GB12348-2008）3类标准</w:t>
                  </w:r>
                </w:p>
              </w:tc>
            </w:tr>
          </w:tbl>
          <w:p w14:paraId="558664B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宋体" w:hAnsi="宋体" w:cs="宋体"/>
                <w:b/>
                <w:kern w:val="0"/>
                <w:sz w:val="24"/>
              </w:rPr>
            </w:pPr>
            <w:r>
              <w:rPr>
                <w:rFonts w:hint="eastAsia" w:ascii="宋体" w:hAnsi="宋体" w:cs="宋体"/>
                <w:b/>
                <w:kern w:val="0"/>
                <w:sz w:val="24"/>
              </w:rPr>
              <w:t>四、固体废物</w:t>
            </w:r>
          </w:p>
          <w:p w14:paraId="66FB43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sz w:val="24"/>
              </w:rPr>
              <w:t>本项目产生的固态废物主要为机械设备维修产生的废机油及沾染物。</w:t>
            </w:r>
          </w:p>
          <w:p w14:paraId="5D0698C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sz w:val="24"/>
              </w:rPr>
            </w:pPr>
            <w:r>
              <w:rPr>
                <w:rFonts w:hint="eastAsia"/>
                <w:b/>
                <w:sz w:val="24"/>
              </w:rPr>
              <w:t>1、</w:t>
            </w:r>
            <w:r>
              <w:rPr>
                <w:rFonts w:hint="eastAsia"/>
                <w:b/>
                <w:sz w:val="24"/>
                <w:lang w:eastAsia="zh-CN"/>
              </w:rPr>
              <w:t>固体废物</w:t>
            </w:r>
            <w:r>
              <w:rPr>
                <w:rFonts w:hint="eastAsia"/>
                <w:b/>
                <w:sz w:val="24"/>
              </w:rPr>
              <w:t>产生量</w:t>
            </w:r>
          </w:p>
          <w:p w14:paraId="67BDB4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sz w:val="24"/>
              </w:rPr>
              <w:t>⑴废机油及沾染物</w:t>
            </w:r>
          </w:p>
          <w:p w14:paraId="10856E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sz w:val="24"/>
              </w:rPr>
              <w:t>本项目生产设备正常使用时检修频次2-3年1次；根据目前的生产经验年产生废机油及沾染物的量约0.1t。废机油及沾染物属于危险废物，依托厂内现有危险废物贮存库后交由有资质的单位处理处置。</w:t>
            </w:r>
          </w:p>
          <w:p w14:paraId="2A711B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kern w:val="0"/>
                <w:sz w:val="24"/>
              </w:rPr>
            </w:pPr>
            <w:r>
              <w:rPr>
                <w:kern w:val="0"/>
                <w:sz w:val="24"/>
              </w:rPr>
              <w:t>表</w:t>
            </w:r>
            <w:r>
              <w:rPr>
                <w:rFonts w:hint="eastAsia"/>
                <w:kern w:val="0"/>
                <w:sz w:val="24"/>
              </w:rPr>
              <w:t>4-1</w:t>
            </w:r>
            <w:r>
              <w:rPr>
                <w:rFonts w:hint="eastAsia"/>
                <w:kern w:val="0"/>
                <w:sz w:val="24"/>
                <w:lang w:val="en-US" w:eastAsia="zh-CN"/>
              </w:rPr>
              <w:t>9</w:t>
            </w:r>
            <w:r>
              <w:rPr>
                <w:kern w:val="0"/>
                <w:sz w:val="24"/>
              </w:rPr>
              <w:t xml:space="preserve">  本项目固体废物产生情况一览表</w:t>
            </w:r>
          </w:p>
          <w:tbl>
            <w:tblPr>
              <w:tblStyle w:val="11"/>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20"/>
              <w:gridCol w:w="284"/>
              <w:gridCol w:w="412"/>
              <w:gridCol w:w="385"/>
              <w:gridCol w:w="409"/>
              <w:gridCol w:w="640"/>
              <w:gridCol w:w="1620"/>
              <w:gridCol w:w="481"/>
              <w:gridCol w:w="626"/>
              <w:gridCol w:w="623"/>
              <w:gridCol w:w="640"/>
              <w:gridCol w:w="613"/>
              <w:gridCol w:w="1016"/>
            </w:tblGrid>
            <w:tr w14:paraId="3AC3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8" w:hRule="atLeast"/>
                <w:jc w:val="center"/>
              </w:trPr>
              <w:tc>
                <w:tcPr>
                  <w:tcW w:w="149" w:type="pct"/>
                  <w:shd w:val="clear" w:color="auto" w:fill="auto"/>
                  <w:noWrap w:val="0"/>
                  <w:tcMar>
                    <w:top w:w="0" w:type="dxa"/>
                    <w:left w:w="0" w:type="dxa"/>
                    <w:bottom w:w="0" w:type="dxa"/>
                    <w:right w:w="0" w:type="dxa"/>
                  </w:tcMar>
                  <w:vAlign w:val="center"/>
                </w:tcPr>
                <w:p w14:paraId="5FD11DC6">
                  <w:pPr>
                    <w:jc w:val="center"/>
                    <w:rPr>
                      <w:bCs/>
                      <w:szCs w:val="21"/>
                    </w:rPr>
                  </w:pPr>
                  <w:r>
                    <w:rPr>
                      <w:bCs/>
                      <w:szCs w:val="21"/>
                    </w:rPr>
                    <w:t>序号</w:t>
                  </w:r>
                </w:p>
              </w:tc>
              <w:tc>
                <w:tcPr>
                  <w:tcW w:w="278" w:type="pct"/>
                  <w:shd w:val="clear" w:color="auto" w:fill="auto"/>
                  <w:noWrap w:val="0"/>
                  <w:tcMar>
                    <w:top w:w="0" w:type="dxa"/>
                    <w:left w:w="0" w:type="dxa"/>
                    <w:bottom w:w="0" w:type="dxa"/>
                    <w:right w:w="0" w:type="dxa"/>
                  </w:tcMar>
                  <w:vAlign w:val="center"/>
                </w:tcPr>
                <w:p w14:paraId="51D0558C">
                  <w:pPr>
                    <w:adjustRightInd w:val="0"/>
                    <w:snapToGrid w:val="0"/>
                    <w:jc w:val="center"/>
                    <w:rPr>
                      <w:bCs/>
                      <w:szCs w:val="21"/>
                    </w:rPr>
                  </w:pPr>
                  <w:r>
                    <w:rPr>
                      <w:bCs/>
                      <w:szCs w:val="21"/>
                    </w:rPr>
                    <w:t>产生环节</w:t>
                  </w:r>
                </w:p>
              </w:tc>
              <w:tc>
                <w:tcPr>
                  <w:tcW w:w="314" w:type="pct"/>
                  <w:shd w:val="clear" w:color="auto" w:fill="auto"/>
                  <w:noWrap w:val="0"/>
                  <w:tcMar>
                    <w:top w:w="0" w:type="dxa"/>
                    <w:left w:w="0" w:type="dxa"/>
                    <w:bottom w:w="0" w:type="dxa"/>
                    <w:right w:w="0" w:type="dxa"/>
                  </w:tcMar>
                  <w:vAlign w:val="center"/>
                </w:tcPr>
                <w:p w14:paraId="2F98BA5F">
                  <w:pPr>
                    <w:adjustRightInd w:val="0"/>
                    <w:snapToGrid w:val="0"/>
                    <w:jc w:val="center"/>
                    <w:rPr>
                      <w:bCs/>
                      <w:szCs w:val="21"/>
                    </w:rPr>
                  </w:pPr>
                  <w:r>
                    <w:rPr>
                      <w:bCs/>
                      <w:szCs w:val="21"/>
                    </w:rPr>
                    <w:t>名称</w:t>
                  </w:r>
                </w:p>
              </w:tc>
              <w:tc>
                <w:tcPr>
                  <w:tcW w:w="297" w:type="pct"/>
                  <w:shd w:val="clear" w:color="auto" w:fill="auto"/>
                  <w:noWrap w:val="0"/>
                  <w:tcMar>
                    <w:top w:w="0" w:type="dxa"/>
                    <w:left w:w="0" w:type="dxa"/>
                    <w:bottom w:w="0" w:type="dxa"/>
                    <w:right w:w="0" w:type="dxa"/>
                  </w:tcMar>
                  <w:vAlign w:val="center"/>
                </w:tcPr>
                <w:p w14:paraId="5914D530">
                  <w:pPr>
                    <w:adjustRightInd w:val="0"/>
                    <w:snapToGrid w:val="0"/>
                    <w:jc w:val="center"/>
                    <w:rPr>
                      <w:bCs/>
                      <w:szCs w:val="21"/>
                    </w:rPr>
                  </w:pPr>
                  <w:r>
                    <w:rPr>
                      <w:bCs/>
                      <w:szCs w:val="21"/>
                    </w:rPr>
                    <w:t>属性</w:t>
                  </w:r>
                </w:p>
              </w:tc>
              <w:tc>
                <w:tcPr>
                  <w:tcW w:w="312" w:type="pct"/>
                  <w:shd w:val="clear" w:color="auto" w:fill="auto"/>
                  <w:noWrap w:val="0"/>
                  <w:tcMar>
                    <w:top w:w="0" w:type="dxa"/>
                    <w:left w:w="0" w:type="dxa"/>
                    <w:bottom w:w="0" w:type="dxa"/>
                    <w:right w:w="0" w:type="dxa"/>
                  </w:tcMar>
                  <w:vAlign w:val="center"/>
                </w:tcPr>
                <w:p w14:paraId="48578E34">
                  <w:pPr>
                    <w:adjustRightInd w:val="0"/>
                    <w:snapToGrid w:val="0"/>
                    <w:jc w:val="center"/>
                    <w:rPr>
                      <w:bCs/>
                      <w:szCs w:val="21"/>
                    </w:rPr>
                  </w:pPr>
                  <w:r>
                    <w:rPr>
                      <w:bCs/>
                      <w:szCs w:val="21"/>
                    </w:rPr>
                    <w:t>物理性状</w:t>
                  </w:r>
                </w:p>
              </w:tc>
              <w:tc>
                <w:tcPr>
                  <w:tcW w:w="357" w:type="pct"/>
                  <w:shd w:val="clear" w:color="auto" w:fill="auto"/>
                  <w:noWrap w:val="0"/>
                  <w:tcMar>
                    <w:top w:w="0" w:type="dxa"/>
                    <w:left w:w="0" w:type="dxa"/>
                    <w:bottom w:w="0" w:type="dxa"/>
                    <w:right w:w="0" w:type="dxa"/>
                  </w:tcMar>
                  <w:vAlign w:val="center"/>
                </w:tcPr>
                <w:p w14:paraId="06072824">
                  <w:pPr>
                    <w:adjustRightInd w:val="0"/>
                    <w:snapToGrid w:val="0"/>
                    <w:jc w:val="center"/>
                    <w:rPr>
                      <w:bCs/>
                      <w:szCs w:val="21"/>
                    </w:rPr>
                  </w:pPr>
                  <w:r>
                    <w:rPr>
                      <w:bCs/>
                      <w:szCs w:val="21"/>
                    </w:rPr>
                    <w:t>产生量（t/a）</w:t>
                  </w:r>
                </w:p>
              </w:tc>
              <w:tc>
                <w:tcPr>
                  <w:tcW w:w="448" w:type="pct"/>
                  <w:shd w:val="clear" w:color="auto" w:fill="auto"/>
                  <w:noWrap w:val="0"/>
                  <w:tcMar>
                    <w:top w:w="0" w:type="dxa"/>
                    <w:left w:w="0" w:type="dxa"/>
                    <w:bottom w:w="0" w:type="dxa"/>
                    <w:right w:w="0" w:type="dxa"/>
                  </w:tcMar>
                  <w:vAlign w:val="center"/>
                </w:tcPr>
                <w:p w14:paraId="2268E4FE">
                  <w:pPr>
                    <w:adjustRightInd w:val="0"/>
                    <w:snapToGrid w:val="0"/>
                    <w:jc w:val="center"/>
                    <w:rPr>
                      <w:bCs/>
                      <w:szCs w:val="21"/>
                    </w:rPr>
                  </w:pPr>
                  <w:r>
                    <w:rPr>
                      <w:bCs/>
                      <w:szCs w:val="21"/>
                    </w:rPr>
                    <w:t>废物</w:t>
                  </w:r>
                </w:p>
                <w:p w14:paraId="49AC00A1">
                  <w:pPr>
                    <w:adjustRightInd w:val="0"/>
                    <w:snapToGrid w:val="0"/>
                    <w:jc w:val="center"/>
                    <w:rPr>
                      <w:bCs/>
                      <w:szCs w:val="21"/>
                    </w:rPr>
                  </w:pPr>
                  <w:r>
                    <w:rPr>
                      <w:bCs/>
                      <w:szCs w:val="21"/>
                    </w:rPr>
                    <w:t>代码</w:t>
                  </w:r>
                </w:p>
              </w:tc>
              <w:tc>
                <w:tcPr>
                  <w:tcW w:w="357" w:type="pct"/>
                  <w:shd w:val="clear" w:color="auto" w:fill="auto"/>
                  <w:noWrap w:val="0"/>
                  <w:tcMar>
                    <w:top w:w="0" w:type="dxa"/>
                    <w:left w:w="0" w:type="dxa"/>
                    <w:bottom w:w="0" w:type="dxa"/>
                    <w:right w:w="0" w:type="dxa"/>
                  </w:tcMar>
                  <w:vAlign w:val="center"/>
                </w:tcPr>
                <w:p w14:paraId="6ACDA03B">
                  <w:pPr>
                    <w:adjustRightInd w:val="0"/>
                    <w:snapToGrid w:val="0"/>
                    <w:jc w:val="center"/>
                    <w:rPr>
                      <w:bCs/>
                      <w:szCs w:val="21"/>
                    </w:rPr>
                  </w:pPr>
                  <w:r>
                    <w:rPr>
                      <w:bCs/>
                      <w:szCs w:val="21"/>
                    </w:rPr>
                    <w:t>贮存方式</w:t>
                  </w:r>
                </w:p>
              </w:tc>
              <w:tc>
                <w:tcPr>
                  <w:tcW w:w="448" w:type="pct"/>
                  <w:shd w:val="clear" w:color="auto" w:fill="auto"/>
                  <w:noWrap w:val="0"/>
                  <w:tcMar>
                    <w:top w:w="0" w:type="dxa"/>
                    <w:left w:w="0" w:type="dxa"/>
                    <w:bottom w:w="0" w:type="dxa"/>
                    <w:right w:w="0" w:type="dxa"/>
                  </w:tcMar>
                  <w:vAlign w:val="center"/>
                </w:tcPr>
                <w:p w14:paraId="62BEE1AB">
                  <w:pPr>
                    <w:adjustRightInd w:val="0"/>
                    <w:snapToGrid w:val="0"/>
                    <w:jc w:val="center"/>
                    <w:rPr>
                      <w:bCs/>
                      <w:szCs w:val="21"/>
                    </w:rPr>
                  </w:pPr>
                  <w:r>
                    <w:rPr>
                      <w:bCs/>
                      <w:szCs w:val="21"/>
                    </w:rPr>
                    <w:t>利用处置方式和去向</w:t>
                  </w:r>
                </w:p>
              </w:tc>
              <w:tc>
                <w:tcPr>
                  <w:tcW w:w="446" w:type="pct"/>
                  <w:shd w:val="clear" w:color="auto" w:fill="auto"/>
                  <w:noWrap w:val="0"/>
                  <w:vAlign w:val="center"/>
                </w:tcPr>
                <w:p w14:paraId="6FA390EB">
                  <w:pPr>
                    <w:adjustRightInd w:val="0"/>
                    <w:snapToGrid w:val="0"/>
                    <w:jc w:val="center"/>
                    <w:rPr>
                      <w:bCs/>
                      <w:szCs w:val="21"/>
                    </w:rPr>
                  </w:pPr>
                  <w:r>
                    <w:rPr>
                      <w:bCs/>
                      <w:szCs w:val="21"/>
                    </w:rPr>
                    <w:t>有毒有害物质名称</w:t>
                  </w:r>
                </w:p>
              </w:tc>
              <w:tc>
                <w:tcPr>
                  <w:tcW w:w="448" w:type="pct"/>
                  <w:shd w:val="clear" w:color="auto" w:fill="auto"/>
                  <w:noWrap w:val="0"/>
                  <w:tcMar>
                    <w:top w:w="0" w:type="dxa"/>
                    <w:left w:w="0" w:type="dxa"/>
                    <w:bottom w:w="0" w:type="dxa"/>
                    <w:right w:w="0" w:type="dxa"/>
                  </w:tcMar>
                  <w:vAlign w:val="center"/>
                </w:tcPr>
                <w:p w14:paraId="1AF8B161">
                  <w:pPr>
                    <w:adjustRightInd w:val="0"/>
                    <w:snapToGrid w:val="0"/>
                    <w:jc w:val="center"/>
                    <w:rPr>
                      <w:bCs/>
                      <w:szCs w:val="21"/>
                    </w:rPr>
                  </w:pPr>
                  <w:r>
                    <w:rPr>
                      <w:bCs/>
                      <w:szCs w:val="21"/>
                    </w:rPr>
                    <w:t>利用或处置量（t/a）</w:t>
                  </w:r>
                </w:p>
              </w:tc>
              <w:tc>
                <w:tcPr>
                  <w:tcW w:w="448" w:type="pct"/>
                  <w:shd w:val="clear" w:color="auto" w:fill="auto"/>
                  <w:noWrap w:val="0"/>
                  <w:vAlign w:val="center"/>
                </w:tcPr>
                <w:p w14:paraId="34EF6B34">
                  <w:pPr>
                    <w:adjustRightInd w:val="0"/>
                    <w:snapToGrid w:val="0"/>
                    <w:jc w:val="center"/>
                    <w:rPr>
                      <w:bCs/>
                      <w:szCs w:val="21"/>
                    </w:rPr>
                  </w:pPr>
                  <w:r>
                    <w:rPr>
                      <w:bCs/>
                      <w:szCs w:val="21"/>
                    </w:rPr>
                    <w:t>环境危险特性</w:t>
                  </w:r>
                </w:p>
              </w:tc>
              <w:tc>
                <w:tcPr>
                  <w:tcW w:w="692" w:type="pct"/>
                  <w:shd w:val="clear" w:color="auto" w:fill="auto"/>
                  <w:noWrap w:val="0"/>
                  <w:vAlign w:val="center"/>
                </w:tcPr>
                <w:p w14:paraId="31F70BAA">
                  <w:pPr>
                    <w:adjustRightInd w:val="0"/>
                    <w:snapToGrid w:val="0"/>
                    <w:jc w:val="center"/>
                    <w:rPr>
                      <w:bCs/>
                      <w:szCs w:val="21"/>
                    </w:rPr>
                  </w:pPr>
                  <w:r>
                    <w:rPr>
                      <w:bCs/>
                      <w:szCs w:val="21"/>
                    </w:rPr>
                    <w:t>环境管理要求</w:t>
                  </w:r>
                </w:p>
              </w:tc>
            </w:tr>
            <w:tr w14:paraId="31E4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49" w:type="pct"/>
                  <w:shd w:val="clear" w:color="auto" w:fill="auto"/>
                  <w:noWrap w:val="0"/>
                  <w:tcMar>
                    <w:top w:w="0" w:type="dxa"/>
                    <w:left w:w="0" w:type="dxa"/>
                    <w:bottom w:w="0" w:type="dxa"/>
                    <w:right w:w="0" w:type="dxa"/>
                  </w:tcMar>
                  <w:vAlign w:val="center"/>
                </w:tcPr>
                <w:p w14:paraId="22D992A9">
                  <w:pPr>
                    <w:keepLines/>
                    <w:jc w:val="center"/>
                    <w:rPr>
                      <w:szCs w:val="21"/>
                    </w:rPr>
                  </w:pPr>
                  <w:r>
                    <w:rPr>
                      <w:szCs w:val="21"/>
                    </w:rPr>
                    <w:t>1</w:t>
                  </w:r>
                </w:p>
              </w:tc>
              <w:tc>
                <w:tcPr>
                  <w:tcW w:w="278" w:type="pct"/>
                  <w:shd w:val="clear" w:color="auto" w:fill="auto"/>
                  <w:noWrap w:val="0"/>
                  <w:tcMar>
                    <w:top w:w="0" w:type="dxa"/>
                    <w:left w:w="0" w:type="dxa"/>
                    <w:bottom w:w="0" w:type="dxa"/>
                    <w:right w:w="0" w:type="dxa"/>
                  </w:tcMar>
                  <w:vAlign w:val="center"/>
                </w:tcPr>
                <w:p w14:paraId="3E8409BC">
                  <w:pPr>
                    <w:keepLines/>
                    <w:jc w:val="center"/>
                    <w:rPr>
                      <w:rFonts w:ascii="Times New Roman" w:hAnsi="Times New Roman"/>
                      <w:kern w:val="2"/>
                      <w:sz w:val="21"/>
                      <w:szCs w:val="21"/>
                      <w:lang w:val="en-US" w:eastAsia="zh-CN" w:bidi="ar-SA"/>
                    </w:rPr>
                  </w:pPr>
                  <w:r>
                    <w:rPr>
                      <w:rFonts w:hint="eastAsia"/>
                      <w:szCs w:val="21"/>
                    </w:rPr>
                    <w:t>维修保养</w:t>
                  </w:r>
                </w:p>
              </w:tc>
              <w:tc>
                <w:tcPr>
                  <w:tcW w:w="314" w:type="pct"/>
                  <w:shd w:val="clear" w:color="auto" w:fill="auto"/>
                  <w:noWrap w:val="0"/>
                  <w:tcMar>
                    <w:top w:w="0" w:type="dxa"/>
                    <w:left w:w="0" w:type="dxa"/>
                    <w:bottom w:w="0" w:type="dxa"/>
                    <w:right w:w="0" w:type="dxa"/>
                  </w:tcMar>
                  <w:vAlign w:val="center"/>
                </w:tcPr>
                <w:p w14:paraId="7CA57F6F">
                  <w:pPr>
                    <w:keepLines/>
                    <w:jc w:val="center"/>
                    <w:rPr>
                      <w:rFonts w:ascii="Times New Roman" w:hAnsi="Times New Roman"/>
                      <w:kern w:val="2"/>
                      <w:sz w:val="21"/>
                      <w:szCs w:val="21"/>
                      <w:lang w:val="en-US" w:eastAsia="zh-CN" w:bidi="ar-SA"/>
                    </w:rPr>
                  </w:pPr>
                  <w:r>
                    <w:rPr>
                      <w:szCs w:val="21"/>
                    </w:rPr>
                    <w:t>废机油及沾染物</w:t>
                  </w:r>
                </w:p>
              </w:tc>
              <w:tc>
                <w:tcPr>
                  <w:tcW w:w="297" w:type="pct"/>
                  <w:shd w:val="clear" w:color="auto" w:fill="auto"/>
                  <w:noWrap w:val="0"/>
                  <w:tcMar>
                    <w:top w:w="0" w:type="dxa"/>
                    <w:left w:w="0" w:type="dxa"/>
                    <w:bottom w:w="0" w:type="dxa"/>
                    <w:right w:w="0" w:type="dxa"/>
                  </w:tcMar>
                  <w:vAlign w:val="center"/>
                </w:tcPr>
                <w:p w14:paraId="78A539A9">
                  <w:pPr>
                    <w:keepLines/>
                    <w:jc w:val="center"/>
                    <w:rPr>
                      <w:rFonts w:ascii="Times New Roman" w:hAnsi="Times New Roman"/>
                      <w:kern w:val="2"/>
                      <w:sz w:val="21"/>
                      <w:szCs w:val="21"/>
                      <w:lang w:val="en-US" w:eastAsia="zh-CN" w:bidi="ar-SA"/>
                    </w:rPr>
                  </w:pPr>
                  <w:r>
                    <w:rPr>
                      <w:rFonts w:hint="eastAsia"/>
                      <w:szCs w:val="21"/>
                    </w:rPr>
                    <w:t>危险废物</w:t>
                  </w:r>
                </w:p>
              </w:tc>
              <w:tc>
                <w:tcPr>
                  <w:tcW w:w="312" w:type="pct"/>
                  <w:shd w:val="clear" w:color="auto" w:fill="auto"/>
                  <w:noWrap w:val="0"/>
                  <w:tcMar>
                    <w:top w:w="0" w:type="dxa"/>
                    <w:left w:w="0" w:type="dxa"/>
                    <w:bottom w:w="0" w:type="dxa"/>
                    <w:right w:w="0" w:type="dxa"/>
                  </w:tcMar>
                  <w:vAlign w:val="center"/>
                </w:tcPr>
                <w:p w14:paraId="32D1D042">
                  <w:pPr>
                    <w:keepLines/>
                    <w:jc w:val="center"/>
                    <w:rPr>
                      <w:rFonts w:ascii="Times New Roman" w:hAnsi="Times New Roman"/>
                      <w:kern w:val="2"/>
                      <w:sz w:val="21"/>
                      <w:szCs w:val="21"/>
                      <w:lang w:val="en-US" w:eastAsia="zh-CN" w:bidi="ar-SA"/>
                    </w:rPr>
                  </w:pPr>
                  <w:r>
                    <w:rPr>
                      <w:szCs w:val="21"/>
                    </w:rPr>
                    <w:t>液态及固态</w:t>
                  </w:r>
                </w:p>
              </w:tc>
              <w:tc>
                <w:tcPr>
                  <w:tcW w:w="357" w:type="pct"/>
                  <w:shd w:val="clear" w:color="auto" w:fill="auto"/>
                  <w:noWrap w:val="0"/>
                  <w:tcMar>
                    <w:top w:w="0" w:type="dxa"/>
                    <w:left w:w="0" w:type="dxa"/>
                    <w:bottom w:w="0" w:type="dxa"/>
                    <w:right w:w="0" w:type="dxa"/>
                  </w:tcMar>
                  <w:vAlign w:val="center"/>
                </w:tcPr>
                <w:p w14:paraId="7E32962D">
                  <w:pPr>
                    <w:jc w:val="center"/>
                    <w:rPr>
                      <w:rFonts w:ascii="Times New Roman" w:hAnsi="Times New Roman"/>
                      <w:kern w:val="2"/>
                      <w:sz w:val="21"/>
                      <w:szCs w:val="21"/>
                      <w:lang w:val="en-US" w:eastAsia="zh-CN" w:bidi="ar-SA"/>
                    </w:rPr>
                  </w:pPr>
                  <w:r>
                    <w:rPr>
                      <w:szCs w:val="21"/>
                    </w:rPr>
                    <w:t>0.</w:t>
                  </w:r>
                  <w:r>
                    <w:rPr>
                      <w:rFonts w:hint="eastAsia"/>
                      <w:szCs w:val="21"/>
                    </w:rPr>
                    <w:t>1</w:t>
                  </w:r>
                </w:p>
              </w:tc>
              <w:tc>
                <w:tcPr>
                  <w:tcW w:w="448" w:type="pct"/>
                  <w:shd w:val="clear" w:color="auto" w:fill="auto"/>
                  <w:noWrap w:val="0"/>
                  <w:tcMar>
                    <w:top w:w="0" w:type="dxa"/>
                    <w:left w:w="0" w:type="dxa"/>
                    <w:bottom w:w="0" w:type="dxa"/>
                    <w:right w:w="0" w:type="dxa"/>
                  </w:tcMar>
                  <w:vAlign w:val="center"/>
                </w:tcPr>
                <w:p w14:paraId="7E821DB3">
                  <w:pPr>
                    <w:jc w:val="center"/>
                    <w:rPr>
                      <w:rFonts w:ascii="Times New Roman" w:hAnsi="Times New Roman"/>
                      <w:kern w:val="2"/>
                      <w:sz w:val="21"/>
                      <w:szCs w:val="21"/>
                      <w:lang w:val="en-US" w:eastAsia="zh-CN" w:bidi="ar-SA"/>
                    </w:rPr>
                  </w:pPr>
                  <w:r>
                    <w:rPr>
                      <w:rFonts w:hint="eastAsia"/>
                      <w:szCs w:val="21"/>
                    </w:rPr>
                    <w:t>HW08-900-249-08</w:t>
                  </w:r>
                </w:p>
              </w:tc>
              <w:tc>
                <w:tcPr>
                  <w:tcW w:w="357" w:type="pct"/>
                  <w:shd w:val="clear" w:color="auto" w:fill="auto"/>
                  <w:noWrap w:val="0"/>
                  <w:tcMar>
                    <w:top w:w="0" w:type="dxa"/>
                    <w:left w:w="0" w:type="dxa"/>
                    <w:bottom w:w="0" w:type="dxa"/>
                    <w:right w:w="0" w:type="dxa"/>
                  </w:tcMar>
                  <w:vAlign w:val="center"/>
                </w:tcPr>
                <w:p w14:paraId="5C66B165">
                  <w:pPr>
                    <w:jc w:val="center"/>
                    <w:rPr>
                      <w:rFonts w:ascii="Times New Roman" w:hAnsi="Times New Roman"/>
                      <w:kern w:val="2"/>
                      <w:sz w:val="21"/>
                      <w:szCs w:val="21"/>
                      <w:lang w:val="en-US" w:eastAsia="zh-CN" w:bidi="ar-SA"/>
                    </w:rPr>
                  </w:pPr>
                  <w:r>
                    <w:rPr>
                      <w:rFonts w:hint="eastAsia"/>
                      <w:szCs w:val="21"/>
                    </w:rPr>
                    <w:t>危险废物贮存库</w:t>
                  </w:r>
                </w:p>
              </w:tc>
              <w:tc>
                <w:tcPr>
                  <w:tcW w:w="448" w:type="pct"/>
                  <w:shd w:val="clear" w:color="auto" w:fill="auto"/>
                  <w:noWrap w:val="0"/>
                  <w:tcMar>
                    <w:top w:w="0" w:type="dxa"/>
                    <w:left w:w="0" w:type="dxa"/>
                    <w:bottom w:w="0" w:type="dxa"/>
                    <w:right w:w="0" w:type="dxa"/>
                  </w:tcMar>
                  <w:vAlign w:val="center"/>
                </w:tcPr>
                <w:p w14:paraId="6094BE1B">
                  <w:pPr>
                    <w:jc w:val="center"/>
                    <w:rPr>
                      <w:rFonts w:ascii="Times New Roman" w:hAnsi="Times New Roman"/>
                      <w:kern w:val="2"/>
                      <w:sz w:val="21"/>
                      <w:szCs w:val="21"/>
                      <w:lang w:val="en-US" w:eastAsia="zh-CN" w:bidi="ar-SA"/>
                    </w:rPr>
                  </w:pPr>
                  <w:r>
                    <w:rPr>
                      <w:rFonts w:hint="eastAsia"/>
                      <w:szCs w:val="21"/>
                    </w:rPr>
                    <w:t>交由有资质的单位处理处置</w:t>
                  </w:r>
                </w:p>
              </w:tc>
              <w:tc>
                <w:tcPr>
                  <w:tcW w:w="446" w:type="pct"/>
                  <w:shd w:val="clear" w:color="auto" w:fill="auto"/>
                  <w:noWrap w:val="0"/>
                  <w:vAlign w:val="center"/>
                </w:tcPr>
                <w:p w14:paraId="0DFF9827">
                  <w:pPr>
                    <w:jc w:val="center"/>
                    <w:rPr>
                      <w:rFonts w:ascii="Times New Roman" w:hAnsi="Times New Roman"/>
                      <w:kern w:val="2"/>
                      <w:sz w:val="21"/>
                      <w:szCs w:val="21"/>
                      <w:lang w:val="en-US" w:eastAsia="zh-CN" w:bidi="ar-SA"/>
                    </w:rPr>
                  </w:pPr>
                  <w:r>
                    <w:rPr>
                      <w:szCs w:val="21"/>
                    </w:rPr>
                    <w:t>废矿物油</w:t>
                  </w:r>
                </w:p>
              </w:tc>
              <w:tc>
                <w:tcPr>
                  <w:tcW w:w="448" w:type="pct"/>
                  <w:shd w:val="clear" w:color="auto" w:fill="auto"/>
                  <w:noWrap w:val="0"/>
                  <w:tcMar>
                    <w:top w:w="0" w:type="dxa"/>
                    <w:left w:w="0" w:type="dxa"/>
                    <w:bottom w:w="0" w:type="dxa"/>
                    <w:right w:w="0" w:type="dxa"/>
                  </w:tcMar>
                  <w:vAlign w:val="center"/>
                </w:tcPr>
                <w:p w14:paraId="2E73C76C">
                  <w:pPr>
                    <w:jc w:val="center"/>
                    <w:rPr>
                      <w:rFonts w:ascii="Times New Roman" w:hAnsi="Times New Roman"/>
                      <w:kern w:val="2"/>
                      <w:sz w:val="21"/>
                      <w:szCs w:val="21"/>
                      <w:lang w:val="en-US" w:eastAsia="zh-CN" w:bidi="ar-SA"/>
                    </w:rPr>
                  </w:pPr>
                  <w:r>
                    <w:rPr>
                      <w:rFonts w:hint="eastAsia"/>
                      <w:szCs w:val="21"/>
                    </w:rPr>
                    <w:t>0.1</w:t>
                  </w:r>
                </w:p>
              </w:tc>
              <w:tc>
                <w:tcPr>
                  <w:tcW w:w="448" w:type="pct"/>
                  <w:shd w:val="clear" w:color="auto" w:fill="auto"/>
                  <w:noWrap w:val="0"/>
                  <w:vAlign w:val="center"/>
                </w:tcPr>
                <w:p w14:paraId="185E9BAA">
                  <w:pPr>
                    <w:jc w:val="center"/>
                    <w:rPr>
                      <w:rFonts w:ascii="Times New Roman" w:hAnsi="Times New Roman"/>
                      <w:kern w:val="2"/>
                      <w:sz w:val="21"/>
                      <w:szCs w:val="21"/>
                      <w:lang w:val="en-US" w:eastAsia="zh-CN" w:bidi="ar-SA"/>
                    </w:rPr>
                  </w:pPr>
                  <w:r>
                    <w:rPr>
                      <w:rFonts w:hint="eastAsia"/>
                      <w:szCs w:val="21"/>
                    </w:rPr>
                    <w:t>T、I</w:t>
                  </w:r>
                </w:p>
              </w:tc>
              <w:tc>
                <w:tcPr>
                  <w:tcW w:w="692" w:type="pct"/>
                  <w:shd w:val="clear" w:color="auto" w:fill="auto"/>
                  <w:noWrap w:val="0"/>
                  <w:vAlign w:val="center"/>
                </w:tcPr>
                <w:p w14:paraId="609FF455">
                  <w:pPr>
                    <w:adjustRightInd w:val="0"/>
                    <w:snapToGrid w:val="0"/>
                    <w:jc w:val="center"/>
                    <w:rPr>
                      <w:szCs w:val="21"/>
                    </w:rPr>
                  </w:pPr>
                  <w:r>
                    <w:rPr>
                      <w:szCs w:val="21"/>
                    </w:rPr>
                    <w:t>满足《中华人民共和国固体废物污染环境防治法》中的有关规定要求。贮存过程应满足相应防渗漏、防雨淋、防扬尘等环境保护要求</w:t>
                  </w:r>
                </w:p>
              </w:tc>
            </w:tr>
          </w:tbl>
          <w:p w14:paraId="266A01C0">
            <w:pPr>
              <w:autoSpaceDE w:val="0"/>
              <w:autoSpaceDN w:val="0"/>
              <w:spacing w:line="500" w:lineRule="exact"/>
              <w:jc w:val="center"/>
              <w:rPr>
                <w:kern w:val="0"/>
                <w:sz w:val="24"/>
              </w:rPr>
            </w:pPr>
            <w:r>
              <w:rPr>
                <w:rFonts w:hint="eastAsia"/>
                <w:kern w:val="0"/>
                <w:sz w:val="24"/>
              </w:rPr>
              <w:t>表4-</w:t>
            </w:r>
            <w:r>
              <w:rPr>
                <w:rFonts w:hint="eastAsia"/>
                <w:kern w:val="0"/>
                <w:sz w:val="24"/>
                <w:lang w:val="en-US" w:eastAsia="zh-CN"/>
              </w:rPr>
              <w:t>20</w:t>
            </w:r>
            <w:r>
              <w:rPr>
                <w:rFonts w:hint="eastAsia"/>
                <w:kern w:val="0"/>
                <w:sz w:val="24"/>
              </w:rPr>
              <w:t xml:space="preserve">  与本项目相关的固体废物产生量变化情况</w:t>
            </w:r>
          </w:p>
          <w:tbl>
            <w:tblPr>
              <w:tblStyle w:val="1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99"/>
              <w:gridCol w:w="1698"/>
              <w:gridCol w:w="1499"/>
              <w:gridCol w:w="1599"/>
              <w:gridCol w:w="1600"/>
            </w:tblGrid>
            <w:tr w14:paraId="01385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pct"/>
                  <w:shd w:val="clear" w:color="auto" w:fill="auto"/>
                  <w:noWrap w:val="0"/>
                  <w:vAlign w:val="center"/>
                </w:tcPr>
                <w:p w14:paraId="5F47D845">
                  <w:pPr>
                    <w:pStyle w:val="10"/>
                    <w:ind w:firstLine="0"/>
                    <w:jc w:val="center"/>
                    <w:rPr>
                      <w:bCs/>
                      <w:sz w:val="21"/>
                      <w:szCs w:val="21"/>
                    </w:rPr>
                  </w:pPr>
                  <w:r>
                    <w:rPr>
                      <w:rFonts w:hint="eastAsia"/>
                      <w:bCs/>
                      <w:sz w:val="21"/>
                      <w:szCs w:val="21"/>
                    </w:rPr>
                    <w:t>工艺环节</w:t>
                  </w:r>
                </w:p>
              </w:tc>
              <w:tc>
                <w:tcPr>
                  <w:tcW w:w="1061" w:type="pct"/>
                  <w:shd w:val="clear" w:color="auto" w:fill="auto"/>
                  <w:noWrap w:val="0"/>
                  <w:vAlign w:val="center"/>
                </w:tcPr>
                <w:p w14:paraId="59AF945F">
                  <w:pPr>
                    <w:pStyle w:val="10"/>
                    <w:ind w:firstLine="0"/>
                    <w:jc w:val="center"/>
                    <w:rPr>
                      <w:bCs/>
                      <w:sz w:val="21"/>
                      <w:szCs w:val="21"/>
                    </w:rPr>
                  </w:pPr>
                  <w:r>
                    <w:rPr>
                      <w:rFonts w:hint="eastAsia"/>
                      <w:bCs/>
                      <w:sz w:val="21"/>
                      <w:szCs w:val="21"/>
                    </w:rPr>
                    <w:t>固废名称</w:t>
                  </w:r>
                </w:p>
              </w:tc>
              <w:tc>
                <w:tcPr>
                  <w:tcW w:w="937" w:type="pct"/>
                  <w:shd w:val="clear" w:color="auto" w:fill="auto"/>
                  <w:noWrap w:val="0"/>
                  <w:vAlign w:val="center"/>
                </w:tcPr>
                <w:p w14:paraId="6A8EDF07">
                  <w:pPr>
                    <w:pStyle w:val="10"/>
                    <w:ind w:firstLine="0"/>
                    <w:jc w:val="center"/>
                    <w:rPr>
                      <w:bCs/>
                      <w:sz w:val="21"/>
                      <w:szCs w:val="21"/>
                    </w:rPr>
                  </w:pPr>
                  <w:r>
                    <w:rPr>
                      <w:rFonts w:hint="eastAsia"/>
                      <w:bCs/>
                      <w:sz w:val="21"/>
                      <w:szCs w:val="21"/>
                    </w:rPr>
                    <w:t>技改前（t/a）</w:t>
                  </w:r>
                </w:p>
              </w:tc>
              <w:tc>
                <w:tcPr>
                  <w:tcW w:w="999" w:type="pct"/>
                  <w:shd w:val="clear" w:color="auto" w:fill="auto"/>
                  <w:noWrap w:val="0"/>
                  <w:vAlign w:val="center"/>
                </w:tcPr>
                <w:p w14:paraId="00037E48">
                  <w:pPr>
                    <w:pStyle w:val="10"/>
                    <w:ind w:firstLine="0"/>
                    <w:jc w:val="center"/>
                    <w:rPr>
                      <w:bCs/>
                      <w:sz w:val="21"/>
                      <w:szCs w:val="21"/>
                    </w:rPr>
                  </w:pPr>
                  <w:r>
                    <w:rPr>
                      <w:rFonts w:hint="eastAsia"/>
                      <w:bCs/>
                      <w:sz w:val="21"/>
                      <w:szCs w:val="21"/>
                    </w:rPr>
                    <w:t>技改后（t/a）</w:t>
                  </w:r>
                </w:p>
              </w:tc>
              <w:tc>
                <w:tcPr>
                  <w:tcW w:w="1000" w:type="pct"/>
                  <w:shd w:val="clear" w:color="auto" w:fill="auto"/>
                  <w:noWrap w:val="0"/>
                  <w:vAlign w:val="center"/>
                </w:tcPr>
                <w:p w14:paraId="76DD4E5D">
                  <w:pPr>
                    <w:pStyle w:val="10"/>
                    <w:ind w:firstLine="0"/>
                    <w:jc w:val="center"/>
                    <w:rPr>
                      <w:bCs/>
                      <w:sz w:val="21"/>
                      <w:szCs w:val="21"/>
                    </w:rPr>
                  </w:pPr>
                  <w:r>
                    <w:rPr>
                      <w:rFonts w:hint="eastAsia"/>
                      <w:bCs/>
                      <w:sz w:val="21"/>
                      <w:szCs w:val="21"/>
                    </w:rPr>
                    <w:t>变化量（t/a）</w:t>
                  </w:r>
                </w:p>
              </w:tc>
            </w:tr>
            <w:tr w14:paraId="0DC6D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9" w:type="pct"/>
                  <w:shd w:val="clear" w:color="auto" w:fill="auto"/>
                  <w:noWrap w:val="0"/>
                  <w:vAlign w:val="center"/>
                </w:tcPr>
                <w:p w14:paraId="739B6987">
                  <w:pPr>
                    <w:pStyle w:val="10"/>
                    <w:ind w:firstLine="0"/>
                    <w:jc w:val="center"/>
                    <w:rPr>
                      <w:sz w:val="21"/>
                      <w:szCs w:val="21"/>
                    </w:rPr>
                  </w:pPr>
                  <w:r>
                    <w:rPr>
                      <w:rFonts w:hint="eastAsia"/>
                      <w:sz w:val="21"/>
                      <w:szCs w:val="21"/>
                    </w:rPr>
                    <w:t>维修保养</w:t>
                  </w:r>
                </w:p>
              </w:tc>
              <w:tc>
                <w:tcPr>
                  <w:tcW w:w="1061" w:type="pct"/>
                  <w:shd w:val="clear" w:color="auto" w:fill="auto"/>
                  <w:noWrap w:val="0"/>
                  <w:vAlign w:val="center"/>
                </w:tcPr>
                <w:p w14:paraId="091F166F">
                  <w:pPr>
                    <w:keepLines/>
                    <w:jc w:val="center"/>
                    <w:rPr>
                      <w:szCs w:val="21"/>
                    </w:rPr>
                  </w:pPr>
                  <w:r>
                    <w:rPr>
                      <w:szCs w:val="21"/>
                    </w:rPr>
                    <w:t>废机油及沾染物</w:t>
                  </w:r>
                </w:p>
              </w:tc>
              <w:tc>
                <w:tcPr>
                  <w:tcW w:w="937" w:type="pct"/>
                  <w:shd w:val="clear" w:color="auto" w:fill="auto"/>
                  <w:noWrap w:val="0"/>
                  <w:vAlign w:val="center"/>
                </w:tcPr>
                <w:p w14:paraId="2E4B429F">
                  <w:pPr>
                    <w:pStyle w:val="10"/>
                    <w:ind w:firstLine="0"/>
                    <w:jc w:val="center"/>
                    <w:rPr>
                      <w:rFonts w:hint="default" w:eastAsia="宋体"/>
                      <w:bCs/>
                      <w:sz w:val="21"/>
                      <w:szCs w:val="21"/>
                      <w:lang w:val="en-US" w:eastAsia="zh-CN"/>
                    </w:rPr>
                  </w:pPr>
                  <w:r>
                    <w:rPr>
                      <w:rFonts w:hint="eastAsia"/>
                      <w:bCs/>
                      <w:sz w:val="21"/>
                      <w:szCs w:val="21"/>
                      <w:lang w:val="en-US" w:eastAsia="zh-CN"/>
                    </w:rPr>
                    <w:t>1.0</w:t>
                  </w:r>
                </w:p>
              </w:tc>
              <w:tc>
                <w:tcPr>
                  <w:tcW w:w="999" w:type="pct"/>
                  <w:shd w:val="clear" w:color="auto" w:fill="auto"/>
                  <w:noWrap w:val="0"/>
                  <w:vAlign w:val="center"/>
                </w:tcPr>
                <w:p w14:paraId="7064B71C">
                  <w:pPr>
                    <w:pStyle w:val="10"/>
                    <w:ind w:firstLine="0"/>
                    <w:jc w:val="center"/>
                    <w:rPr>
                      <w:rFonts w:hint="default" w:eastAsia="宋体"/>
                      <w:bCs/>
                      <w:sz w:val="21"/>
                      <w:szCs w:val="21"/>
                      <w:lang w:val="en-US" w:eastAsia="zh-CN"/>
                    </w:rPr>
                  </w:pPr>
                  <w:r>
                    <w:rPr>
                      <w:rFonts w:hint="eastAsia"/>
                      <w:bCs/>
                      <w:sz w:val="21"/>
                      <w:szCs w:val="21"/>
                      <w:lang w:val="en-US" w:eastAsia="zh-CN"/>
                    </w:rPr>
                    <w:t>1.1</w:t>
                  </w:r>
                </w:p>
              </w:tc>
              <w:tc>
                <w:tcPr>
                  <w:tcW w:w="1000" w:type="pct"/>
                  <w:shd w:val="clear" w:color="auto" w:fill="auto"/>
                  <w:noWrap w:val="0"/>
                  <w:vAlign w:val="center"/>
                </w:tcPr>
                <w:p w14:paraId="116C2B69">
                  <w:pPr>
                    <w:pStyle w:val="10"/>
                    <w:ind w:firstLine="0"/>
                    <w:jc w:val="center"/>
                    <w:rPr>
                      <w:bCs/>
                      <w:sz w:val="21"/>
                      <w:szCs w:val="21"/>
                    </w:rPr>
                  </w:pPr>
                  <w:r>
                    <w:rPr>
                      <w:rFonts w:hint="eastAsia"/>
                      <w:bCs/>
                      <w:sz w:val="21"/>
                      <w:szCs w:val="21"/>
                    </w:rPr>
                    <w:t>+0.1</w:t>
                  </w:r>
                </w:p>
              </w:tc>
            </w:tr>
            <w:tr w14:paraId="43AA2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9" w:type="pct"/>
                  <w:vMerge w:val="restart"/>
                  <w:shd w:val="clear" w:color="auto" w:fill="auto"/>
                  <w:noWrap w:val="0"/>
                  <w:vAlign w:val="center"/>
                </w:tcPr>
                <w:p w14:paraId="025C3939">
                  <w:pPr>
                    <w:pStyle w:val="10"/>
                    <w:ind w:firstLine="0"/>
                    <w:jc w:val="center"/>
                    <w:rPr>
                      <w:rFonts w:hint="eastAsia" w:eastAsia="宋体"/>
                      <w:sz w:val="21"/>
                      <w:szCs w:val="21"/>
                      <w:lang w:eastAsia="zh-CN"/>
                    </w:rPr>
                  </w:pPr>
                  <w:r>
                    <w:rPr>
                      <w:rFonts w:hint="eastAsia"/>
                      <w:sz w:val="21"/>
                      <w:szCs w:val="21"/>
                      <w:lang w:eastAsia="zh-CN"/>
                    </w:rPr>
                    <w:t>热风炉</w:t>
                  </w:r>
                </w:p>
              </w:tc>
              <w:tc>
                <w:tcPr>
                  <w:tcW w:w="1061" w:type="pct"/>
                  <w:tcBorders>
                    <w:bottom w:val="single" w:color="auto" w:sz="4" w:space="0"/>
                  </w:tcBorders>
                  <w:shd w:val="clear" w:color="auto" w:fill="auto"/>
                  <w:noWrap w:val="0"/>
                  <w:vAlign w:val="center"/>
                </w:tcPr>
                <w:p w14:paraId="1101693E">
                  <w:pPr>
                    <w:keepLines/>
                    <w:jc w:val="center"/>
                    <w:rPr>
                      <w:rFonts w:hint="eastAsia" w:eastAsia="宋体"/>
                      <w:szCs w:val="21"/>
                      <w:lang w:eastAsia="zh-CN"/>
                    </w:rPr>
                  </w:pPr>
                  <w:r>
                    <w:rPr>
                      <w:rFonts w:hint="eastAsia"/>
                      <w:szCs w:val="21"/>
                      <w:lang w:eastAsia="zh-CN"/>
                    </w:rPr>
                    <w:t>热风炉炉渣</w:t>
                  </w:r>
                </w:p>
              </w:tc>
              <w:tc>
                <w:tcPr>
                  <w:tcW w:w="937" w:type="pct"/>
                  <w:tcBorders>
                    <w:bottom w:val="single" w:color="auto" w:sz="4" w:space="0"/>
                  </w:tcBorders>
                  <w:shd w:val="clear" w:color="auto" w:fill="auto"/>
                  <w:noWrap w:val="0"/>
                  <w:vAlign w:val="center"/>
                </w:tcPr>
                <w:p w14:paraId="3F5877E8">
                  <w:pPr>
                    <w:pStyle w:val="10"/>
                    <w:ind w:firstLine="0"/>
                    <w:jc w:val="center"/>
                    <w:rPr>
                      <w:rFonts w:hint="default" w:eastAsia="宋体"/>
                      <w:bCs/>
                      <w:sz w:val="21"/>
                      <w:szCs w:val="21"/>
                      <w:lang w:val="en-US" w:eastAsia="zh-CN"/>
                    </w:rPr>
                  </w:pPr>
                  <w:r>
                    <w:rPr>
                      <w:rFonts w:hint="eastAsia"/>
                      <w:bCs/>
                      <w:sz w:val="21"/>
                      <w:szCs w:val="21"/>
                      <w:lang w:val="en-US" w:eastAsia="zh-CN"/>
                    </w:rPr>
                    <w:t>160</w:t>
                  </w:r>
                </w:p>
              </w:tc>
              <w:tc>
                <w:tcPr>
                  <w:tcW w:w="999" w:type="pct"/>
                  <w:tcBorders>
                    <w:bottom w:val="single" w:color="auto" w:sz="4" w:space="0"/>
                  </w:tcBorders>
                  <w:shd w:val="clear" w:color="auto" w:fill="auto"/>
                  <w:noWrap w:val="0"/>
                  <w:vAlign w:val="center"/>
                </w:tcPr>
                <w:p w14:paraId="1A6F4704">
                  <w:pPr>
                    <w:pStyle w:val="10"/>
                    <w:ind w:firstLine="0"/>
                    <w:jc w:val="center"/>
                    <w:rPr>
                      <w:rFonts w:hint="default" w:eastAsia="宋体"/>
                      <w:bCs/>
                      <w:sz w:val="21"/>
                      <w:szCs w:val="21"/>
                      <w:lang w:val="en-US" w:eastAsia="zh-CN"/>
                    </w:rPr>
                  </w:pPr>
                  <w:r>
                    <w:rPr>
                      <w:rFonts w:hint="eastAsia"/>
                      <w:bCs/>
                      <w:sz w:val="21"/>
                      <w:szCs w:val="21"/>
                      <w:lang w:val="en-US" w:eastAsia="zh-CN"/>
                    </w:rPr>
                    <w:t>0.0</w:t>
                  </w:r>
                </w:p>
              </w:tc>
              <w:tc>
                <w:tcPr>
                  <w:tcW w:w="1000" w:type="pct"/>
                  <w:tcBorders>
                    <w:bottom w:val="single" w:color="auto" w:sz="4" w:space="0"/>
                  </w:tcBorders>
                  <w:shd w:val="clear" w:color="auto" w:fill="auto"/>
                  <w:noWrap w:val="0"/>
                  <w:vAlign w:val="center"/>
                </w:tcPr>
                <w:p w14:paraId="63FDABB5">
                  <w:pPr>
                    <w:pStyle w:val="10"/>
                    <w:ind w:firstLine="0"/>
                    <w:jc w:val="center"/>
                    <w:rPr>
                      <w:rFonts w:hint="default" w:eastAsia="宋体"/>
                      <w:bCs/>
                      <w:sz w:val="21"/>
                      <w:szCs w:val="21"/>
                      <w:lang w:val="en-US" w:eastAsia="zh-CN"/>
                    </w:rPr>
                  </w:pPr>
                  <w:r>
                    <w:rPr>
                      <w:rFonts w:hint="eastAsia"/>
                      <w:bCs/>
                      <w:sz w:val="21"/>
                      <w:szCs w:val="21"/>
                      <w:lang w:val="en-US" w:eastAsia="zh-CN"/>
                    </w:rPr>
                    <w:t>-160</w:t>
                  </w:r>
                </w:p>
              </w:tc>
            </w:tr>
            <w:tr w14:paraId="7344F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9" w:type="pct"/>
                  <w:vMerge w:val="continue"/>
                  <w:shd w:val="clear" w:color="auto" w:fill="auto"/>
                  <w:noWrap w:val="0"/>
                  <w:vAlign w:val="center"/>
                </w:tcPr>
                <w:p w14:paraId="67FEAAE9">
                  <w:pPr>
                    <w:pStyle w:val="10"/>
                    <w:ind w:firstLine="0"/>
                    <w:jc w:val="center"/>
                    <w:rPr>
                      <w:rFonts w:hint="eastAsia"/>
                      <w:sz w:val="21"/>
                      <w:szCs w:val="21"/>
                      <w:lang w:eastAsia="zh-CN"/>
                    </w:rPr>
                  </w:pPr>
                </w:p>
              </w:tc>
              <w:tc>
                <w:tcPr>
                  <w:tcW w:w="1061" w:type="pct"/>
                  <w:tcBorders>
                    <w:top w:val="single" w:color="auto" w:sz="4" w:space="0"/>
                  </w:tcBorders>
                  <w:shd w:val="clear" w:color="auto" w:fill="auto"/>
                  <w:noWrap w:val="0"/>
                  <w:vAlign w:val="center"/>
                </w:tcPr>
                <w:p w14:paraId="2879268C">
                  <w:pPr>
                    <w:keepLines/>
                    <w:jc w:val="center"/>
                    <w:rPr>
                      <w:rFonts w:hint="eastAsia"/>
                      <w:szCs w:val="21"/>
                      <w:lang w:eastAsia="zh-CN"/>
                    </w:rPr>
                  </w:pPr>
                  <w:r>
                    <w:rPr>
                      <w:rFonts w:hint="eastAsia"/>
                      <w:szCs w:val="21"/>
                      <w:lang w:eastAsia="zh-CN"/>
                    </w:rPr>
                    <w:t>炉灰</w:t>
                  </w:r>
                </w:p>
              </w:tc>
              <w:tc>
                <w:tcPr>
                  <w:tcW w:w="937" w:type="pct"/>
                  <w:tcBorders>
                    <w:top w:val="single" w:color="auto" w:sz="4" w:space="0"/>
                  </w:tcBorders>
                  <w:shd w:val="clear" w:color="auto" w:fill="auto"/>
                  <w:noWrap w:val="0"/>
                  <w:vAlign w:val="center"/>
                </w:tcPr>
                <w:p w14:paraId="6537897C">
                  <w:pPr>
                    <w:pStyle w:val="10"/>
                    <w:ind w:firstLine="0"/>
                    <w:jc w:val="center"/>
                    <w:rPr>
                      <w:rFonts w:hint="default" w:eastAsia="宋体"/>
                      <w:bCs/>
                      <w:sz w:val="21"/>
                      <w:szCs w:val="21"/>
                      <w:lang w:val="en-US" w:eastAsia="zh-CN"/>
                    </w:rPr>
                  </w:pPr>
                  <w:r>
                    <w:rPr>
                      <w:rFonts w:hint="eastAsia"/>
                      <w:bCs/>
                      <w:sz w:val="21"/>
                      <w:szCs w:val="21"/>
                      <w:lang w:val="en-US" w:eastAsia="zh-CN"/>
                    </w:rPr>
                    <w:t>0.56</w:t>
                  </w:r>
                </w:p>
              </w:tc>
              <w:tc>
                <w:tcPr>
                  <w:tcW w:w="999" w:type="pct"/>
                  <w:tcBorders>
                    <w:top w:val="single" w:color="auto" w:sz="4" w:space="0"/>
                  </w:tcBorders>
                  <w:shd w:val="clear" w:color="auto" w:fill="auto"/>
                  <w:noWrap w:val="0"/>
                  <w:vAlign w:val="center"/>
                </w:tcPr>
                <w:p w14:paraId="2569CD8E">
                  <w:pPr>
                    <w:pStyle w:val="10"/>
                    <w:ind w:firstLine="0"/>
                    <w:jc w:val="center"/>
                    <w:rPr>
                      <w:rFonts w:hint="default" w:eastAsia="宋体"/>
                      <w:bCs/>
                      <w:sz w:val="21"/>
                      <w:szCs w:val="21"/>
                      <w:lang w:val="en-US" w:eastAsia="zh-CN"/>
                    </w:rPr>
                  </w:pPr>
                  <w:r>
                    <w:rPr>
                      <w:rFonts w:hint="eastAsia"/>
                      <w:bCs/>
                      <w:sz w:val="21"/>
                      <w:szCs w:val="21"/>
                      <w:lang w:val="en-US" w:eastAsia="zh-CN"/>
                    </w:rPr>
                    <w:t>0.0</w:t>
                  </w:r>
                </w:p>
              </w:tc>
              <w:tc>
                <w:tcPr>
                  <w:tcW w:w="1000" w:type="pct"/>
                  <w:tcBorders>
                    <w:top w:val="single" w:color="auto" w:sz="4" w:space="0"/>
                  </w:tcBorders>
                  <w:shd w:val="clear" w:color="auto" w:fill="auto"/>
                  <w:noWrap w:val="0"/>
                  <w:vAlign w:val="center"/>
                </w:tcPr>
                <w:p w14:paraId="7AE9F818">
                  <w:pPr>
                    <w:pStyle w:val="10"/>
                    <w:ind w:firstLine="0"/>
                    <w:jc w:val="center"/>
                    <w:rPr>
                      <w:rFonts w:hint="default" w:eastAsia="宋体"/>
                      <w:bCs/>
                      <w:sz w:val="21"/>
                      <w:szCs w:val="21"/>
                      <w:lang w:val="en-US" w:eastAsia="zh-CN"/>
                    </w:rPr>
                  </w:pPr>
                  <w:r>
                    <w:rPr>
                      <w:rFonts w:hint="eastAsia"/>
                      <w:bCs/>
                      <w:sz w:val="21"/>
                      <w:szCs w:val="21"/>
                      <w:lang w:val="en-US" w:eastAsia="zh-CN"/>
                    </w:rPr>
                    <w:t>-0.56</w:t>
                  </w:r>
                </w:p>
              </w:tc>
            </w:tr>
          </w:tbl>
          <w:p w14:paraId="7D22E301">
            <w:pPr>
              <w:pStyle w:val="10"/>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b/>
                <w:bCs/>
                <w:szCs w:val="24"/>
              </w:rPr>
            </w:pPr>
            <w:r>
              <w:rPr>
                <w:b/>
                <w:bCs/>
                <w:szCs w:val="24"/>
              </w:rPr>
              <w:t>2、固体废物暂存设施可行性分析</w:t>
            </w:r>
          </w:p>
          <w:p w14:paraId="530488B5">
            <w:pPr>
              <w:pStyle w:val="1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Cs w:val="24"/>
              </w:rPr>
            </w:pPr>
            <w:r>
              <w:rPr>
                <w:rFonts w:hint="eastAsia" w:ascii="宋体" w:hAnsi="宋体" w:eastAsia="宋体" w:cs="宋体"/>
                <w:szCs w:val="24"/>
              </w:rPr>
              <w:t>⑴</w:t>
            </w:r>
            <w:r>
              <w:rPr>
                <w:rFonts w:hint="eastAsia"/>
                <w:szCs w:val="24"/>
              </w:rPr>
              <w:t>现有危险废物贮存库建设情况</w:t>
            </w:r>
          </w:p>
          <w:p w14:paraId="631F97E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企业在</w:t>
            </w:r>
            <w:r>
              <w:rPr>
                <w:rFonts w:hint="eastAsia"/>
                <w:sz w:val="24"/>
                <w:lang w:eastAsia="zh-CN"/>
              </w:rPr>
              <w:t>厂区西南角</w:t>
            </w:r>
            <w:r>
              <w:rPr>
                <w:rFonts w:hint="eastAsia"/>
                <w:sz w:val="24"/>
                <w:szCs w:val="24"/>
                <w:lang w:eastAsia="zh-CN"/>
              </w:rPr>
              <w:t>建设一间</w:t>
            </w:r>
            <w:r>
              <w:rPr>
                <w:rFonts w:hint="eastAsia"/>
                <w:sz w:val="24"/>
                <w:szCs w:val="24"/>
              </w:rPr>
              <w:t>危险废物贮存库，面积约</w:t>
            </w:r>
            <w:r>
              <w:rPr>
                <w:rFonts w:hint="eastAsia"/>
                <w:sz w:val="24"/>
                <w:szCs w:val="24"/>
                <w:lang w:val="en-US" w:eastAsia="zh-CN"/>
              </w:rPr>
              <w:t>50</w:t>
            </w:r>
            <w:r>
              <w:rPr>
                <w:sz w:val="24"/>
                <w:szCs w:val="24"/>
              </w:rPr>
              <w:t>m</w:t>
            </w:r>
            <w:r>
              <w:rPr>
                <w:sz w:val="24"/>
                <w:szCs w:val="24"/>
                <w:vertAlign w:val="superscript"/>
              </w:rPr>
              <w:t>2</w:t>
            </w:r>
            <w:r>
              <w:rPr>
                <w:rFonts w:hint="eastAsia"/>
                <w:sz w:val="24"/>
                <w:szCs w:val="24"/>
              </w:rPr>
              <w:t>；</w:t>
            </w:r>
            <w:r>
              <w:rPr>
                <w:rFonts w:hint="eastAsia"/>
                <w:sz w:val="24"/>
              </w:rPr>
              <w:t>已按照</w:t>
            </w:r>
            <w:r>
              <w:rPr>
                <w:sz w:val="24"/>
              </w:rPr>
              <w:t>《危险废物贮存污染控制标准》（GB18597-2023）及《危险废物识别标志设置技术规范》（HJ 1276-2022）相关要求建设，包括：</w:t>
            </w:r>
          </w:p>
          <w:p w14:paraId="7768CBF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①</w:t>
            </w:r>
            <w:r>
              <w:rPr>
                <w:sz w:val="24"/>
              </w:rPr>
              <w:t>危险废物贮存库满足防风、防晒、防雨、防漏、防渗、防腐</w:t>
            </w:r>
            <w:r>
              <w:rPr>
                <w:rFonts w:hint="eastAsia"/>
                <w:sz w:val="24"/>
              </w:rPr>
              <w:t>等</w:t>
            </w:r>
            <w:r>
              <w:rPr>
                <w:sz w:val="24"/>
              </w:rPr>
              <w:t>环境污染防治措施。</w:t>
            </w:r>
          </w:p>
          <w:p w14:paraId="1A2FCE6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②</w:t>
            </w:r>
            <w:r>
              <w:rPr>
                <w:sz w:val="24"/>
              </w:rPr>
              <w:t>贮存</w:t>
            </w:r>
            <w:r>
              <w:rPr>
                <w:rFonts w:hint="eastAsia"/>
                <w:sz w:val="24"/>
              </w:rPr>
              <w:t>库</w:t>
            </w:r>
            <w:r>
              <w:rPr>
                <w:sz w:val="24"/>
              </w:rPr>
              <w:t>、容器和包装物按要求设置危险废物贮存设施或场所标志、危险废物贮存分区标志和危险废物标签等危险废物识别标志。</w:t>
            </w:r>
          </w:p>
          <w:p w14:paraId="37A521E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③</w:t>
            </w:r>
            <w:r>
              <w:rPr>
                <w:sz w:val="24"/>
              </w:rPr>
              <w:t>根据危险废物的类别、形态、物理化学性质和污染防治要求进行分类贮存</w:t>
            </w:r>
            <w:r>
              <w:rPr>
                <w:rFonts w:hint="eastAsia"/>
                <w:sz w:val="24"/>
              </w:rPr>
              <w:t>。</w:t>
            </w:r>
          </w:p>
          <w:p w14:paraId="55C6928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④</w:t>
            </w:r>
            <w:r>
              <w:rPr>
                <w:sz w:val="24"/>
              </w:rPr>
              <w:t>贮存</w:t>
            </w:r>
            <w:r>
              <w:rPr>
                <w:rFonts w:hint="eastAsia"/>
                <w:sz w:val="24"/>
              </w:rPr>
              <w:t>库</w:t>
            </w:r>
            <w:r>
              <w:rPr>
                <w:sz w:val="24"/>
              </w:rPr>
              <w:t>及分区内地面、墙面裙脚、堵截泄漏的围堰、接触危险废物的隔板和墙体等表面无裂缝。</w:t>
            </w:r>
          </w:p>
          <w:p w14:paraId="2FC8BBA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⑤</w:t>
            </w:r>
            <w:r>
              <w:rPr>
                <w:sz w:val="24"/>
              </w:rPr>
              <w:t>危险废物标签以醒目的字样标注“危险废物”，标签应包含废物名称、废物类别、废物代码、废物形态、危险特性</w:t>
            </w:r>
            <w:r>
              <w:rPr>
                <w:rFonts w:hint="eastAsia"/>
                <w:sz w:val="24"/>
              </w:rPr>
              <w:t>等</w:t>
            </w:r>
            <w:r>
              <w:rPr>
                <w:sz w:val="24"/>
              </w:rPr>
              <w:t>信息。</w:t>
            </w:r>
          </w:p>
          <w:p w14:paraId="4D1BB6F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⑥</w:t>
            </w:r>
            <w:r>
              <w:rPr>
                <w:sz w:val="24"/>
              </w:rPr>
              <w:t>贮存</w:t>
            </w:r>
            <w:r>
              <w:rPr>
                <w:rFonts w:hint="eastAsia"/>
                <w:sz w:val="24"/>
              </w:rPr>
              <w:t>库</w:t>
            </w:r>
            <w:r>
              <w:rPr>
                <w:sz w:val="24"/>
              </w:rPr>
              <w:t>采取技术和管理措施，防止无关人员进入。</w:t>
            </w:r>
          </w:p>
          <w:p w14:paraId="18CC253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ascii="宋体" w:hAnsi="宋体" w:eastAsia="宋体" w:cs="宋体"/>
                <w:sz w:val="24"/>
              </w:rPr>
              <w:t>⑵</w:t>
            </w:r>
            <w:r>
              <w:rPr>
                <w:rFonts w:hint="eastAsia"/>
                <w:sz w:val="24"/>
              </w:rPr>
              <w:t>本项目依托可行性</w:t>
            </w:r>
          </w:p>
          <w:p w14:paraId="105C291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本项目产生少量的危险废物，危险废物贮存库剩余</w:t>
            </w:r>
            <w:r>
              <w:rPr>
                <w:rFonts w:hint="eastAsia"/>
                <w:sz w:val="24"/>
                <w:lang w:val="en-US" w:eastAsia="zh-CN"/>
              </w:rPr>
              <w:t>5.0</w:t>
            </w:r>
            <w:r>
              <w:rPr>
                <w:rFonts w:hint="eastAsia"/>
                <w:sz w:val="24"/>
              </w:rPr>
              <w:t>m</w:t>
            </w:r>
            <w:r>
              <w:rPr>
                <w:rFonts w:hint="eastAsia"/>
                <w:sz w:val="24"/>
                <w:vertAlign w:val="superscript"/>
              </w:rPr>
              <w:t>2</w:t>
            </w:r>
            <w:r>
              <w:rPr>
                <w:rFonts w:hint="eastAsia"/>
                <w:sz w:val="24"/>
              </w:rPr>
              <w:t>面积满足依托需要；同时危险废物委托处置</w:t>
            </w:r>
            <w:r>
              <w:rPr>
                <w:sz w:val="24"/>
              </w:rPr>
              <w:t>协议已包括HW08，从暂存能力及转运需求上均具有依托可行性</w:t>
            </w:r>
            <w:r>
              <w:rPr>
                <w:rFonts w:hint="eastAsia"/>
                <w:sz w:val="24"/>
              </w:rPr>
              <w:t>，</w:t>
            </w:r>
            <w:r>
              <w:rPr>
                <w:sz w:val="24"/>
              </w:rPr>
              <w:t>针对本项目产生的危险废物，提出以下要求：</w:t>
            </w:r>
          </w:p>
          <w:p w14:paraId="2E5757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sz w:val="24"/>
              </w:rPr>
            </w:pPr>
            <w:r>
              <w:rPr>
                <w:rFonts w:hint="eastAsia"/>
                <w:sz w:val="24"/>
              </w:rPr>
              <w:t>①</w:t>
            </w:r>
            <w:r>
              <w:rPr>
                <w:sz w:val="24"/>
              </w:rPr>
              <w:t>本项目危险废物均为固态，分别设置容器进行分类收集，各危险废物分区贮存，避免不相容的危险废物接触、混合。</w:t>
            </w:r>
          </w:p>
          <w:p w14:paraId="7D58EFB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ascii="宋体" w:hAnsi="宋体" w:cs="宋体"/>
                <w:sz w:val="24"/>
              </w:rPr>
              <w:t>②</w:t>
            </w:r>
            <w:r>
              <w:rPr>
                <w:sz w:val="24"/>
              </w:rPr>
              <w:t>严格按照《危险废物转移管理办法》</w:t>
            </w:r>
            <w:r>
              <w:rPr>
                <w:rFonts w:hint="eastAsia"/>
                <w:sz w:val="24"/>
              </w:rPr>
              <w:t>（2022年1月1日）</w:t>
            </w:r>
            <w:r>
              <w:rPr>
                <w:sz w:val="24"/>
              </w:rPr>
              <w:t>《陕西省危险废物转移电子联单管理办法（试行）》（2013年1月1日），进行危险废物转移。</w:t>
            </w:r>
          </w:p>
          <w:p w14:paraId="04C21C1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③</w:t>
            </w:r>
            <w:r>
              <w:rPr>
                <w:rFonts w:hint="eastAsia" w:ascii="宋体" w:hAnsi="宋体" w:cs="宋体"/>
                <w:sz w:val="24"/>
              </w:rPr>
              <w:t>危险废物贮存库</w:t>
            </w:r>
            <w:r>
              <w:rPr>
                <w:sz w:val="24"/>
              </w:rPr>
              <w:t>退役时，所有者或运营者应依法履行环境保护责任，退役前应妥善处理处置贮存设施内剩余的危险废物，并对贮存设施进行清理，消除污染；还应依据土壤污染防治相关法律法规履行场地环境风险防控责任。</w:t>
            </w:r>
          </w:p>
          <w:p w14:paraId="239EA9E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kern w:val="0"/>
                <w:sz w:val="24"/>
                <w:lang w:eastAsia="zh-CN"/>
              </w:rPr>
            </w:pPr>
            <w:r>
              <w:rPr>
                <w:rFonts w:hint="eastAsia" w:ascii="宋体" w:hAnsi="宋体" w:cs="宋体"/>
                <w:b/>
                <w:kern w:val="0"/>
                <w:sz w:val="24"/>
              </w:rPr>
              <w:t>五、地下水</w:t>
            </w:r>
          </w:p>
          <w:p w14:paraId="5F0FA4C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宋体" w:eastAsia="宋体" w:cs="Times New Roman"/>
                <w:color w:val="auto"/>
                <w:sz w:val="24"/>
                <w:highlight w:val="none"/>
                <w:lang w:eastAsia="zh-CN"/>
              </w:rPr>
            </w:pPr>
            <w:r>
              <w:rPr>
                <w:rFonts w:hint="eastAsia"/>
                <w:sz w:val="24"/>
                <w:lang w:eastAsia="zh-CN"/>
              </w:rPr>
              <w:t>本项目不存在地下水污染途径，项目无生产废水的排放，除尘废水定期经干燥塔蒸发，冷却水在干燥塔顶部，冷却水为新鲜水，循环使用，不外排。</w:t>
            </w:r>
            <w:r>
              <w:rPr>
                <w:rFonts w:hint="eastAsia" w:ascii="Times New Roman" w:hAnsi="宋体" w:eastAsia="宋体" w:cs="Times New Roman"/>
                <w:color w:val="auto"/>
                <w:sz w:val="24"/>
                <w:highlight w:val="none"/>
                <w:lang w:eastAsia="zh-CN"/>
              </w:rPr>
              <w:t>本项目在已建成</w:t>
            </w:r>
            <w:r>
              <w:rPr>
                <w:rFonts w:hint="default" w:ascii="Times New Roman" w:hAnsi="宋体" w:eastAsia="宋体" w:cs="Times New Roman"/>
                <w:color w:val="auto"/>
                <w:sz w:val="24"/>
                <w:highlight w:val="none"/>
                <w:lang w:eastAsia="zh-CN"/>
              </w:rPr>
              <w:t>车间内进行生产，项目生产车间已进行硬化处理</w:t>
            </w:r>
            <w:r>
              <w:rPr>
                <w:rFonts w:hint="default" w:ascii="Times New Roman" w:hAnsi="宋体" w:eastAsia="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项目危险废物</w:t>
            </w:r>
            <w:r>
              <w:rPr>
                <w:rFonts w:hint="eastAsia" w:ascii="Times New Roman" w:hAnsi="宋体" w:eastAsia="宋体" w:cs="Times New Roman"/>
                <w:color w:val="auto"/>
                <w:sz w:val="24"/>
                <w:highlight w:val="none"/>
                <w:lang w:eastAsia="zh-CN"/>
              </w:rPr>
              <w:t>贮存区</w:t>
            </w:r>
            <w:r>
              <w:rPr>
                <w:rFonts w:hint="default" w:ascii="Times New Roman" w:hAnsi="宋体" w:eastAsia="宋体" w:cs="Times New Roman"/>
                <w:color w:val="auto"/>
                <w:sz w:val="24"/>
                <w:highlight w:val="none"/>
                <w:lang w:eastAsia="zh-CN"/>
              </w:rPr>
              <w:t>地面均已</w:t>
            </w:r>
            <w:r>
              <w:rPr>
                <w:rFonts w:hint="eastAsia" w:ascii="Times New Roman" w:hAnsi="宋体" w:eastAsia="宋体" w:cs="Times New Roman"/>
                <w:color w:val="auto"/>
                <w:sz w:val="24"/>
                <w:highlight w:val="none"/>
                <w:lang w:eastAsia="zh-CN"/>
              </w:rPr>
              <w:t>防渗</w:t>
            </w:r>
            <w:r>
              <w:rPr>
                <w:rFonts w:hint="default" w:ascii="Times New Roman" w:hAnsi="宋体" w:eastAsia="宋体" w:cs="Times New Roman"/>
                <w:color w:val="auto"/>
                <w:sz w:val="24"/>
                <w:highlight w:val="none"/>
                <w:lang w:eastAsia="zh-CN"/>
              </w:rPr>
              <w:t>处理</w:t>
            </w:r>
            <w:r>
              <w:rPr>
                <w:rFonts w:hint="eastAsia" w:ascii="Times New Roman" w:hAnsi="宋体" w:eastAsia="宋体" w:cs="Times New Roman"/>
                <w:color w:val="auto"/>
                <w:sz w:val="24"/>
                <w:highlight w:val="none"/>
                <w:lang w:eastAsia="zh-CN"/>
              </w:rPr>
              <w:t>，危险废物放置在托盘上。</w:t>
            </w:r>
            <w:r>
              <w:rPr>
                <w:rFonts w:hint="default" w:ascii="Times New Roman" w:hAnsi="宋体" w:eastAsia="宋体" w:cs="Times New Roman"/>
                <w:color w:val="auto"/>
                <w:sz w:val="24"/>
                <w:highlight w:val="none"/>
                <w:lang w:eastAsia="zh-CN"/>
              </w:rPr>
              <w:t>项目无地下水污染源及污染途径，故不进行地下水环境影响评价。</w:t>
            </w:r>
          </w:p>
          <w:p w14:paraId="4A53E21A">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ascii="宋体" w:hAnsi="宋体" w:cs="宋体"/>
                <w:b/>
                <w:kern w:val="0"/>
                <w:sz w:val="24"/>
              </w:rPr>
            </w:pPr>
            <w:r>
              <w:rPr>
                <w:rFonts w:hint="eastAsia" w:ascii="宋体" w:hAnsi="宋体" w:cs="宋体"/>
                <w:b/>
                <w:kern w:val="0"/>
                <w:sz w:val="24"/>
              </w:rPr>
              <w:t>六、土壤</w:t>
            </w:r>
          </w:p>
          <w:p w14:paraId="7FFC3D1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sz w:val="24"/>
                <w:lang w:eastAsia="zh-CN"/>
              </w:rPr>
            </w:pPr>
            <w:r>
              <w:rPr>
                <w:rFonts w:hint="eastAsia"/>
                <w:sz w:val="24"/>
                <w:lang w:eastAsia="zh-CN"/>
              </w:rPr>
              <w:t>本项目无</w:t>
            </w:r>
            <w:r>
              <w:rPr>
                <w:bCs/>
                <w:sz w:val="24"/>
              </w:rPr>
              <w:t>垂直入渗</w:t>
            </w:r>
            <w:r>
              <w:rPr>
                <w:rFonts w:hint="eastAsia"/>
                <w:sz w:val="24"/>
                <w:lang w:eastAsia="zh-CN"/>
              </w:rPr>
              <w:t>污染土壤的途径，</w:t>
            </w:r>
            <w:r>
              <w:rPr>
                <w:rFonts w:hint="eastAsia"/>
                <w:sz w:val="24"/>
              </w:rPr>
              <w:t>本项目实施后</w:t>
            </w:r>
            <w:r>
              <w:rPr>
                <w:rFonts w:hint="eastAsia"/>
                <w:sz w:val="24"/>
                <w:lang w:eastAsia="zh-CN"/>
              </w:rPr>
              <w:t>生物质燃料</w:t>
            </w:r>
            <w:r>
              <w:rPr>
                <w:rFonts w:hint="eastAsia"/>
                <w:sz w:val="24"/>
              </w:rPr>
              <w:t>用量减少，</w:t>
            </w:r>
            <w:r>
              <w:rPr>
                <w:rFonts w:hint="eastAsia"/>
                <w:sz w:val="24"/>
                <w:lang w:eastAsia="zh-CN"/>
              </w:rPr>
              <w:t>甲醛废气的排放量不变，</w:t>
            </w:r>
            <w:r>
              <w:rPr>
                <w:rFonts w:hint="eastAsia"/>
                <w:sz w:val="24"/>
              </w:rPr>
              <w:t>废气污染物种类不变，污染物排放量减少，大气沉降型土壤影响趋于对环境有利的方向发展，因此</w:t>
            </w:r>
            <w:r>
              <w:rPr>
                <w:rFonts w:hint="eastAsia"/>
                <w:sz w:val="24"/>
                <w:lang w:eastAsia="zh-CN"/>
              </w:rPr>
              <w:t>，本项目技改后不会对加剧对土壤的污染，且原有的甲醛尾气对周边土壤的影响已在</w:t>
            </w:r>
            <w:r>
              <w:rPr>
                <w:rFonts w:hint="eastAsia" w:ascii="Times New Roman" w:hAnsi="Times New Roman" w:eastAsia="宋体" w:cs="Times New Roman"/>
                <w:b w:val="0"/>
                <w:bCs w:val="0"/>
                <w:sz w:val="24"/>
                <w:szCs w:val="24"/>
                <w:lang w:val="en-US" w:eastAsia="zh-CN"/>
              </w:rPr>
              <w:t>《年产10万吨减水剂和5万吨甲醛项目环境影响报告书》中评价，本次不再重复评价。</w:t>
            </w:r>
          </w:p>
          <w:p w14:paraId="678B67B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宋体" w:hAnsi="宋体" w:cs="宋体"/>
                <w:b/>
                <w:kern w:val="0"/>
                <w:sz w:val="24"/>
              </w:rPr>
            </w:pPr>
            <w:r>
              <w:rPr>
                <w:rFonts w:hint="eastAsia" w:ascii="宋体" w:hAnsi="宋体" w:cs="宋体"/>
                <w:b/>
                <w:kern w:val="0"/>
                <w:sz w:val="24"/>
                <w:lang w:eastAsia="zh-CN"/>
              </w:rPr>
              <w:t>七</w:t>
            </w:r>
            <w:r>
              <w:rPr>
                <w:rFonts w:hint="eastAsia" w:ascii="宋体" w:hAnsi="宋体" w:cs="宋体"/>
                <w:b/>
                <w:kern w:val="0"/>
                <w:sz w:val="24"/>
              </w:rPr>
              <w:t>、环境风险</w:t>
            </w:r>
          </w:p>
          <w:p w14:paraId="14A8C2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eastAsia="zh-CN"/>
              </w:rPr>
              <w:t>本项目危险废物</w:t>
            </w:r>
            <w:r>
              <w:rPr>
                <w:rFonts w:hint="eastAsia" w:ascii="Times New Roman" w:hAnsi="Times New Roman" w:eastAsia="宋体" w:cs="Times New Roman"/>
                <w:sz w:val="24"/>
                <w:lang w:val="en-US" w:eastAsia="zh-CN"/>
              </w:rPr>
              <w:t>为机油及废矿物油，靖源科技上报的《新增储罐建设项目重大变动环境影响报告表》及《宝鸡靖源科技发展有限责任公司新增储罐建设项目重大变动环境风险专项评价》中已包含了本项目风险物质的储存量，本次环境风险不再重复评价，</w:t>
            </w:r>
            <w:r>
              <w:rPr>
                <w:color w:val="000000"/>
                <w:sz w:val="24"/>
                <w:szCs w:val="24"/>
              </w:rPr>
              <w:t>根据</w:t>
            </w:r>
            <w:r>
              <w:rPr>
                <w:rFonts w:hint="eastAsia" w:ascii="Times New Roman" w:hAnsi="Times New Roman" w:eastAsia="宋体" w:cs="Times New Roman"/>
                <w:sz w:val="24"/>
                <w:lang w:val="en-US" w:eastAsia="zh-CN"/>
              </w:rPr>
              <w:t>《宝鸡靖源科技发展有限责任公司新增储罐建设项目重大变动环境风险专项评价》分析，靖源科技环评风险评价等级为一级。潜在的风险主要有物料储存、装卸中泄漏、火灾、爆炸及环保治理措施发生故障导致事故排放的环境风险等。</w:t>
            </w:r>
          </w:p>
          <w:p w14:paraId="16FF51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靖源科技应做好各项风险的预防和应急措施，可将其影响范围和程度控制在较小程度之内。同时，企业必须落实防渗漏措施以及应急措施，按要求拟定风险事故应急预案并与宝鸡市、凤翔区的环境应急预案联动。因此，当发生风险事故</w:t>
            </w:r>
            <w:r>
              <w:rPr>
                <w:rFonts w:hint="eastAsia" w:cs="Times New Roman"/>
                <w:sz w:val="24"/>
                <w:lang w:val="en-US" w:eastAsia="zh-CN"/>
              </w:rPr>
              <w:t>时</w:t>
            </w:r>
            <w:r>
              <w:rPr>
                <w:rFonts w:hint="eastAsia" w:ascii="Times New Roman" w:hAnsi="Times New Roman" w:eastAsia="宋体" w:cs="Times New Roman"/>
                <w:sz w:val="24"/>
                <w:lang w:val="en-US" w:eastAsia="zh-CN"/>
              </w:rPr>
              <w:t>启动应急预案并采取相应措施，可以把事故的危害程度降到最低程度，环境风险水平可以接受。</w:t>
            </w:r>
          </w:p>
          <w:p w14:paraId="65ADDE52">
            <w:pPr>
              <w:adjustRightInd w:val="0"/>
              <w:snapToGrid w:val="0"/>
              <w:spacing w:line="360" w:lineRule="auto"/>
              <w:jc w:val="left"/>
              <w:rPr>
                <w:rFonts w:hint="eastAsia" w:ascii="宋体" w:hAnsi="宋体" w:eastAsia="宋体" w:cs="宋体"/>
                <w:bCs/>
                <w:spacing w:val="-10"/>
                <w:szCs w:val="21"/>
                <w:lang w:eastAsia="zh-CN"/>
              </w:rPr>
            </w:pPr>
          </w:p>
        </w:tc>
      </w:tr>
    </w:tbl>
    <w:p w14:paraId="6142E179">
      <w:pPr>
        <w:adjustRightInd w:val="0"/>
        <w:snapToGrid w:val="0"/>
        <w:spacing w:line="360" w:lineRule="auto"/>
        <w:rPr>
          <w:rFonts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2EC88FA">
      <w:pPr>
        <w:pStyle w:val="36"/>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2" w:name="_Hlk54167917"/>
      <w:r>
        <w:rPr>
          <w:rFonts w:hint="eastAsia" w:ascii="黑体" w:hAnsi="黑体" w:eastAsia="黑体"/>
          <w:snapToGrid w:val="0"/>
          <w:sz w:val="30"/>
          <w:szCs w:val="30"/>
        </w:rPr>
        <w:t>环境保护措施监督检查清单</w:t>
      </w:r>
      <w:bookmarkEnd w:id="12"/>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78"/>
        <w:gridCol w:w="1461"/>
        <w:gridCol w:w="1538"/>
        <w:gridCol w:w="1841"/>
        <w:gridCol w:w="2182"/>
      </w:tblGrid>
      <w:tr w14:paraId="539B8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778" w:type="dxa"/>
            <w:tcBorders>
              <w:tl2br w:val="single" w:color="auto" w:sz="4" w:space="0"/>
            </w:tcBorders>
            <w:shd w:val="clear" w:color="auto" w:fill="auto"/>
            <w:noWrap w:val="0"/>
            <w:vAlign w:val="top"/>
          </w:tcPr>
          <w:p w14:paraId="316C7603">
            <w:pPr>
              <w:adjustRightInd w:val="0"/>
              <w:snapToGrid w:val="0"/>
              <w:ind w:firstLine="840"/>
              <w:rPr>
                <w:sz w:val="24"/>
              </w:rPr>
            </w:pPr>
            <w:r>
              <w:rPr>
                <w:rFonts w:hAnsi="宋体"/>
                <w:sz w:val="24"/>
              </w:rPr>
              <w:t>内容</w:t>
            </w:r>
          </w:p>
          <w:p w14:paraId="1FD6A028">
            <w:pPr>
              <w:adjustRightInd w:val="0"/>
              <w:snapToGrid w:val="0"/>
              <w:rPr>
                <w:sz w:val="24"/>
              </w:rPr>
            </w:pPr>
            <w:r>
              <w:rPr>
                <w:rFonts w:hAnsi="宋体"/>
                <w:sz w:val="24"/>
              </w:rPr>
              <w:t>要素</w:t>
            </w:r>
          </w:p>
        </w:tc>
        <w:tc>
          <w:tcPr>
            <w:tcW w:w="1461" w:type="dxa"/>
            <w:shd w:val="clear" w:color="auto" w:fill="auto"/>
            <w:noWrap w:val="0"/>
            <w:vAlign w:val="center"/>
          </w:tcPr>
          <w:p w14:paraId="0BEA8400">
            <w:pPr>
              <w:adjustRightInd w:val="0"/>
              <w:snapToGrid w:val="0"/>
              <w:jc w:val="center"/>
              <w:rPr>
                <w:sz w:val="24"/>
              </w:rPr>
            </w:pPr>
            <w:r>
              <w:rPr>
                <w:rFonts w:hAnsi="宋体"/>
                <w:sz w:val="24"/>
              </w:rPr>
              <w:t>排放口</w:t>
            </w:r>
            <w:r>
              <w:rPr>
                <w:sz w:val="24"/>
              </w:rPr>
              <w:t>(</w:t>
            </w:r>
            <w:r>
              <w:rPr>
                <w:rFonts w:hAnsi="宋体"/>
                <w:sz w:val="24"/>
              </w:rPr>
              <w:t>编号、名称</w:t>
            </w:r>
            <w:r>
              <w:rPr>
                <w:sz w:val="24"/>
              </w:rPr>
              <w:t>)/</w:t>
            </w:r>
            <w:r>
              <w:rPr>
                <w:rFonts w:hAnsi="宋体"/>
                <w:sz w:val="24"/>
              </w:rPr>
              <w:t>污染源</w:t>
            </w:r>
          </w:p>
        </w:tc>
        <w:tc>
          <w:tcPr>
            <w:tcW w:w="1538" w:type="dxa"/>
            <w:shd w:val="clear" w:color="auto" w:fill="auto"/>
            <w:noWrap w:val="0"/>
            <w:vAlign w:val="center"/>
          </w:tcPr>
          <w:p w14:paraId="0CD6B2D0">
            <w:pPr>
              <w:adjustRightInd w:val="0"/>
              <w:snapToGrid w:val="0"/>
              <w:jc w:val="center"/>
              <w:rPr>
                <w:sz w:val="24"/>
              </w:rPr>
            </w:pPr>
            <w:r>
              <w:rPr>
                <w:rFonts w:hAnsi="宋体"/>
                <w:sz w:val="24"/>
              </w:rPr>
              <w:t>污染物项目</w:t>
            </w:r>
          </w:p>
        </w:tc>
        <w:tc>
          <w:tcPr>
            <w:tcW w:w="1841" w:type="dxa"/>
            <w:shd w:val="clear" w:color="auto" w:fill="auto"/>
            <w:noWrap w:val="0"/>
            <w:vAlign w:val="center"/>
          </w:tcPr>
          <w:p w14:paraId="7848B66E">
            <w:pPr>
              <w:adjustRightInd w:val="0"/>
              <w:snapToGrid w:val="0"/>
              <w:jc w:val="center"/>
              <w:rPr>
                <w:sz w:val="24"/>
              </w:rPr>
            </w:pPr>
            <w:r>
              <w:rPr>
                <w:rFonts w:hAnsi="宋体"/>
                <w:sz w:val="24"/>
              </w:rPr>
              <w:t>环境保护措施</w:t>
            </w:r>
          </w:p>
        </w:tc>
        <w:tc>
          <w:tcPr>
            <w:tcW w:w="2182" w:type="dxa"/>
            <w:shd w:val="clear" w:color="auto" w:fill="auto"/>
            <w:noWrap w:val="0"/>
            <w:vAlign w:val="center"/>
          </w:tcPr>
          <w:p w14:paraId="32295377">
            <w:pPr>
              <w:adjustRightInd w:val="0"/>
              <w:snapToGrid w:val="0"/>
              <w:jc w:val="center"/>
              <w:rPr>
                <w:sz w:val="24"/>
              </w:rPr>
            </w:pPr>
            <w:r>
              <w:rPr>
                <w:rFonts w:hAnsi="宋体"/>
                <w:sz w:val="24"/>
              </w:rPr>
              <w:t>执行标准</w:t>
            </w:r>
          </w:p>
        </w:tc>
      </w:tr>
      <w:tr w14:paraId="5CA1A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778" w:type="dxa"/>
            <w:shd w:val="clear" w:color="auto" w:fill="auto"/>
            <w:noWrap w:val="0"/>
            <w:vAlign w:val="center"/>
          </w:tcPr>
          <w:p w14:paraId="184723C1">
            <w:pPr>
              <w:adjustRightInd w:val="0"/>
              <w:snapToGrid w:val="0"/>
              <w:jc w:val="center"/>
              <w:rPr>
                <w:sz w:val="24"/>
              </w:rPr>
            </w:pPr>
            <w:r>
              <w:rPr>
                <w:rFonts w:hAnsi="宋体"/>
                <w:sz w:val="24"/>
              </w:rPr>
              <w:t>大气环境</w:t>
            </w:r>
          </w:p>
        </w:tc>
        <w:tc>
          <w:tcPr>
            <w:tcW w:w="1461" w:type="dxa"/>
            <w:shd w:val="clear" w:color="auto" w:fill="auto"/>
            <w:noWrap w:val="0"/>
            <w:vAlign w:val="center"/>
          </w:tcPr>
          <w:p w14:paraId="6988A714">
            <w:pPr>
              <w:widowControl/>
              <w:jc w:val="center"/>
              <w:rPr>
                <w:rFonts w:hint="eastAsia" w:eastAsia="宋体"/>
                <w:sz w:val="24"/>
                <w:lang w:eastAsia="zh-CN"/>
              </w:rPr>
            </w:pPr>
            <w:r>
              <w:rPr>
                <w:rFonts w:hint="eastAsia"/>
                <w:sz w:val="24"/>
                <w:lang w:eastAsia="zh-CN"/>
              </w:rPr>
              <w:t>热风炉燃烧废气、干燥废气</w:t>
            </w:r>
          </w:p>
        </w:tc>
        <w:tc>
          <w:tcPr>
            <w:tcW w:w="1538" w:type="dxa"/>
            <w:shd w:val="clear" w:color="auto" w:fill="auto"/>
            <w:noWrap w:val="0"/>
            <w:vAlign w:val="center"/>
          </w:tcPr>
          <w:p w14:paraId="38B2A0B2">
            <w:pPr>
              <w:widowControl/>
              <w:jc w:val="center"/>
              <w:rPr>
                <w:rFonts w:hint="eastAsia" w:eastAsia="宋体"/>
                <w:sz w:val="24"/>
                <w:lang w:eastAsia="zh-CN"/>
              </w:rPr>
            </w:pPr>
            <w:r>
              <w:rPr>
                <w:sz w:val="24"/>
              </w:rPr>
              <w:t>颗粒物</w:t>
            </w:r>
            <w:r>
              <w:rPr>
                <w:rFonts w:hint="eastAsia"/>
                <w:sz w:val="24"/>
                <w:lang w:eastAsia="zh-CN"/>
              </w:rPr>
              <w:t>、甲醛、甲醇、氮氧化物、非甲烷总烃</w:t>
            </w:r>
          </w:p>
        </w:tc>
        <w:tc>
          <w:tcPr>
            <w:tcW w:w="1841" w:type="dxa"/>
            <w:tcBorders>
              <w:bottom w:val="single" w:color="auto" w:sz="4" w:space="0"/>
            </w:tcBorders>
            <w:shd w:val="clear" w:color="auto" w:fill="auto"/>
            <w:noWrap w:val="0"/>
            <w:vAlign w:val="center"/>
          </w:tcPr>
          <w:p w14:paraId="694220B0">
            <w:pPr>
              <w:jc w:val="center"/>
              <w:rPr>
                <w:rFonts w:hint="default" w:eastAsia="宋体"/>
                <w:sz w:val="24"/>
                <w:lang w:val="en-US" w:eastAsia="zh-CN"/>
              </w:rPr>
            </w:pPr>
            <w:r>
              <w:rPr>
                <w:rFonts w:hint="eastAsia"/>
                <w:sz w:val="24"/>
                <w:lang w:eastAsia="zh-CN"/>
              </w:rPr>
              <w:t>管道收集</w:t>
            </w:r>
            <w:r>
              <w:rPr>
                <w:rFonts w:hint="eastAsia"/>
                <w:sz w:val="24"/>
                <w:lang w:val="en-US" w:eastAsia="zh-CN"/>
              </w:rPr>
              <w:t>+旋风除尘器+二级水膜除尘+24m排气筒</w:t>
            </w:r>
          </w:p>
        </w:tc>
        <w:tc>
          <w:tcPr>
            <w:tcW w:w="2182" w:type="dxa"/>
            <w:shd w:val="clear" w:color="auto" w:fill="auto"/>
            <w:noWrap w:val="0"/>
            <w:vAlign w:val="center"/>
          </w:tcPr>
          <w:p w14:paraId="1752AF20">
            <w:pPr>
              <w:adjustRightInd w:val="0"/>
              <w:snapToGrid w:val="0"/>
              <w:jc w:val="center"/>
              <w:rPr>
                <w:sz w:val="24"/>
              </w:rPr>
            </w:pPr>
            <w:r>
              <w:rPr>
                <w:rFonts w:hint="eastAsia"/>
                <w:sz w:val="24"/>
                <w:szCs w:val="21"/>
                <w:lang w:eastAsia="zh-CN"/>
              </w:rPr>
              <w:t>《石油化学工业污染物排放标准》（</w:t>
            </w:r>
            <w:r>
              <w:rPr>
                <w:rFonts w:hint="eastAsia"/>
                <w:sz w:val="24"/>
                <w:szCs w:val="21"/>
                <w:lang w:val="en-US" w:eastAsia="zh-CN"/>
              </w:rPr>
              <w:t>GB31571-2015</w:t>
            </w:r>
            <w:r>
              <w:rPr>
                <w:rFonts w:hint="eastAsia"/>
                <w:sz w:val="24"/>
                <w:szCs w:val="21"/>
                <w:lang w:eastAsia="zh-CN"/>
              </w:rPr>
              <w:t>）和《大气污染物综合排放标准》（</w:t>
            </w:r>
            <w:r>
              <w:rPr>
                <w:rFonts w:hint="eastAsia"/>
                <w:sz w:val="24"/>
                <w:szCs w:val="21"/>
                <w:lang w:val="en-US" w:eastAsia="zh-CN"/>
              </w:rPr>
              <w:t>GB16297-1996</w:t>
            </w:r>
            <w:r>
              <w:rPr>
                <w:rFonts w:hint="eastAsia"/>
                <w:sz w:val="24"/>
                <w:szCs w:val="21"/>
                <w:lang w:eastAsia="zh-CN"/>
              </w:rPr>
              <w:t>）</w:t>
            </w:r>
          </w:p>
        </w:tc>
      </w:tr>
      <w:tr w14:paraId="4813F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778" w:type="dxa"/>
            <w:shd w:val="clear" w:color="auto" w:fill="auto"/>
            <w:noWrap w:val="0"/>
            <w:vAlign w:val="center"/>
          </w:tcPr>
          <w:p w14:paraId="42FC3827">
            <w:pPr>
              <w:adjustRightInd w:val="0"/>
              <w:snapToGrid w:val="0"/>
              <w:jc w:val="center"/>
              <w:rPr>
                <w:sz w:val="24"/>
              </w:rPr>
            </w:pPr>
            <w:r>
              <w:rPr>
                <w:rFonts w:hAnsi="宋体"/>
                <w:sz w:val="24"/>
              </w:rPr>
              <w:t>地表水环境</w:t>
            </w:r>
          </w:p>
        </w:tc>
        <w:tc>
          <w:tcPr>
            <w:tcW w:w="7022" w:type="dxa"/>
            <w:gridSpan w:val="4"/>
            <w:shd w:val="clear" w:color="auto" w:fill="auto"/>
            <w:noWrap w:val="0"/>
            <w:vAlign w:val="center"/>
          </w:tcPr>
          <w:p w14:paraId="2CDEEDF8">
            <w:pPr>
              <w:ind w:firstLine="480" w:firstLineChars="200"/>
              <w:jc w:val="left"/>
              <w:rPr>
                <w:rFonts w:hint="eastAsia" w:eastAsia="宋体"/>
                <w:sz w:val="24"/>
                <w:lang w:eastAsia="zh-CN"/>
              </w:rPr>
            </w:pPr>
            <w:r>
              <w:rPr>
                <w:rFonts w:hint="eastAsia"/>
                <w:sz w:val="24"/>
                <w:lang w:eastAsia="zh-CN"/>
              </w:rPr>
              <w:t>生产过程中废水不外排，除尘废水定期经干燥塔蒸发，设备冷却水循环使用，不外排。</w:t>
            </w:r>
          </w:p>
        </w:tc>
      </w:tr>
      <w:tr w14:paraId="4C824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778" w:type="dxa"/>
            <w:shd w:val="clear" w:color="auto" w:fill="auto"/>
            <w:noWrap w:val="0"/>
            <w:vAlign w:val="center"/>
          </w:tcPr>
          <w:p w14:paraId="5A7D81C4">
            <w:pPr>
              <w:adjustRightInd w:val="0"/>
              <w:snapToGrid w:val="0"/>
              <w:jc w:val="center"/>
              <w:rPr>
                <w:sz w:val="24"/>
              </w:rPr>
            </w:pPr>
            <w:r>
              <w:rPr>
                <w:rFonts w:hAnsi="宋体"/>
                <w:sz w:val="24"/>
              </w:rPr>
              <w:t>声环境</w:t>
            </w:r>
          </w:p>
        </w:tc>
        <w:tc>
          <w:tcPr>
            <w:tcW w:w="1461" w:type="dxa"/>
            <w:shd w:val="clear" w:color="auto" w:fill="auto"/>
            <w:noWrap w:val="0"/>
            <w:vAlign w:val="center"/>
          </w:tcPr>
          <w:p w14:paraId="7EE00C99">
            <w:pPr>
              <w:adjustRightInd w:val="0"/>
              <w:snapToGrid w:val="0"/>
              <w:jc w:val="center"/>
              <w:rPr>
                <w:sz w:val="24"/>
              </w:rPr>
            </w:pPr>
            <w:r>
              <w:rPr>
                <w:sz w:val="24"/>
              </w:rPr>
              <w:t>设备运行</w:t>
            </w:r>
          </w:p>
        </w:tc>
        <w:tc>
          <w:tcPr>
            <w:tcW w:w="1538" w:type="dxa"/>
            <w:shd w:val="clear" w:color="auto" w:fill="auto"/>
            <w:noWrap w:val="0"/>
            <w:vAlign w:val="center"/>
          </w:tcPr>
          <w:p w14:paraId="4BD13DAB">
            <w:pPr>
              <w:adjustRightInd w:val="0"/>
              <w:snapToGrid w:val="0"/>
              <w:jc w:val="center"/>
              <w:rPr>
                <w:kern w:val="0"/>
                <w:sz w:val="24"/>
              </w:rPr>
            </w:pPr>
            <w:r>
              <w:rPr>
                <w:kern w:val="0"/>
                <w:sz w:val="24"/>
              </w:rPr>
              <w:t>70-95dB（A）</w:t>
            </w:r>
          </w:p>
        </w:tc>
        <w:tc>
          <w:tcPr>
            <w:tcW w:w="1841" w:type="dxa"/>
            <w:shd w:val="clear" w:color="auto" w:fill="auto"/>
            <w:noWrap w:val="0"/>
            <w:vAlign w:val="center"/>
          </w:tcPr>
          <w:p w14:paraId="5366AE24">
            <w:pPr>
              <w:adjustRightInd w:val="0"/>
              <w:snapToGrid w:val="0"/>
              <w:jc w:val="center"/>
              <w:rPr>
                <w:kern w:val="21"/>
                <w:sz w:val="24"/>
              </w:rPr>
            </w:pPr>
            <w:r>
              <w:rPr>
                <w:rFonts w:hint="eastAsia" w:cs="宋体"/>
                <w:sz w:val="24"/>
              </w:rPr>
              <w:t>设备设置于车间内</w:t>
            </w:r>
            <w:r>
              <w:rPr>
                <w:sz w:val="24"/>
                <w:lang w:val="zh-TW"/>
              </w:rPr>
              <w:t>，</w:t>
            </w:r>
            <w:r>
              <w:rPr>
                <w:rStyle w:val="52"/>
                <w:color w:val="auto"/>
                <w:lang w:eastAsia="zh-CN"/>
              </w:rPr>
              <w:t>安装消声器、设置风机房、阻尼减振</w:t>
            </w:r>
          </w:p>
        </w:tc>
        <w:tc>
          <w:tcPr>
            <w:tcW w:w="2182" w:type="dxa"/>
            <w:shd w:val="clear" w:color="auto" w:fill="auto"/>
            <w:noWrap w:val="0"/>
            <w:vAlign w:val="center"/>
          </w:tcPr>
          <w:p w14:paraId="18E8F9C6">
            <w:pPr>
              <w:adjustRightInd w:val="0"/>
              <w:snapToGrid w:val="0"/>
              <w:jc w:val="center"/>
              <w:rPr>
                <w:sz w:val="24"/>
              </w:rPr>
            </w:pPr>
            <w:r>
              <w:rPr>
                <w:sz w:val="24"/>
                <w:lang w:val="zh-TW" w:eastAsia="zh-TW"/>
              </w:rPr>
              <w:t>《工业企业厂界环境噪声排放标准》</w:t>
            </w:r>
            <w:r>
              <w:rPr>
                <w:sz w:val="24"/>
                <w:lang w:val="zh-TW"/>
              </w:rPr>
              <w:t>（</w:t>
            </w:r>
            <w:r>
              <w:rPr>
                <w:sz w:val="24"/>
              </w:rPr>
              <w:t>GB</w:t>
            </w:r>
            <w:r>
              <w:rPr>
                <w:sz w:val="24"/>
                <w:lang w:val="zh-TW"/>
              </w:rPr>
              <w:t>12348-2008）</w:t>
            </w:r>
            <w:r>
              <w:rPr>
                <w:sz w:val="24"/>
              </w:rPr>
              <w:t>3类标准</w:t>
            </w:r>
          </w:p>
        </w:tc>
      </w:tr>
      <w:tr w14:paraId="4624A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778" w:type="dxa"/>
            <w:shd w:val="clear" w:color="auto" w:fill="auto"/>
            <w:noWrap w:val="0"/>
            <w:vAlign w:val="center"/>
          </w:tcPr>
          <w:p w14:paraId="5ACF5474">
            <w:pPr>
              <w:adjustRightInd w:val="0"/>
              <w:snapToGrid w:val="0"/>
              <w:jc w:val="center"/>
              <w:rPr>
                <w:sz w:val="24"/>
              </w:rPr>
            </w:pPr>
            <w:r>
              <w:rPr>
                <w:rFonts w:hAnsi="宋体"/>
                <w:sz w:val="24"/>
              </w:rPr>
              <w:t>电磁辐射</w:t>
            </w:r>
          </w:p>
        </w:tc>
        <w:tc>
          <w:tcPr>
            <w:tcW w:w="1461" w:type="dxa"/>
            <w:shd w:val="clear" w:color="auto" w:fill="auto"/>
            <w:noWrap w:val="0"/>
            <w:vAlign w:val="center"/>
          </w:tcPr>
          <w:p w14:paraId="71FE2604">
            <w:pPr>
              <w:adjustRightInd w:val="0"/>
              <w:snapToGrid w:val="0"/>
              <w:jc w:val="center"/>
              <w:rPr>
                <w:sz w:val="24"/>
              </w:rPr>
            </w:pPr>
            <w:r>
              <w:rPr>
                <w:sz w:val="24"/>
              </w:rPr>
              <w:t>/</w:t>
            </w:r>
          </w:p>
        </w:tc>
        <w:tc>
          <w:tcPr>
            <w:tcW w:w="1538" w:type="dxa"/>
            <w:shd w:val="clear" w:color="auto" w:fill="auto"/>
            <w:noWrap w:val="0"/>
            <w:vAlign w:val="center"/>
          </w:tcPr>
          <w:p w14:paraId="1484F1A4">
            <w:pPr>
              <w:adjustRightInd w:val="0"/>
              <w:snapToGrid w:val="0"/>
              <w:jc w:val="center"/>
              <w:rPr>
                <w:sz w:val="24"/>
              </w:rPr>
            </w:pPr>
            <w:r>
              <w:rPr>
                <w:sz w:val="24"/>
              </w:rPr>
              <w:t>/</w:t>
            </w:r>
          </w:p>
        </w:tc>
        <w:tc>
          <w:tcPr>
            <w:tcW w:w="1841" w:type="dxa"/>
            <w:shd w:val="clear" w:color="auto" w:fill="auto"/>
            <w:noWrap w:val="0"/>
            <w:vAlign w:val="center"/>
          </w:tcPr>
          <w:p w14:paraId="5D5E88E5">
            <w:pPr>
              <w:adjustRightInd w:val="0"/>
              <w:snapToGrid w:val="0"/>
              <w:jc w:val="center"/>
              <w:rPr>
                <w:sz w:val="24"/>
              </w:rPr>
            </w:pPr>
            <w:r>
              <w:rPr>
                <w:sz w:val="24"/>
              </w:rPr>
              <w:t>/</w:t>
            </w:r>
          </w:p>
        </w:tc>
        <w:tc>
          <w:tcPr>
            <w:tcW w:w="2182" w:type="dxa"/>
            <w:shd w:val="clear" w:color="auto" w:fill="auto"/>
            <w:noWrap w:val="0"/>
            <w:vAlign w:val="center"/>
          </w:tcPr>
          <w:p w14:paraId="6CC23329">
            <w:pPr>
              <w:adjustRightInd w:val="0"/>
              <w:snapToGrid w:val="0"/>
              <w:jc w:val="center"/>
              <w:rPr>
                <w:sz w:val="24"/>
              </w:rPr>
            </w:pPr>
            <w:r>
              <w:rPr>
                <w:sz w:val="24"/>
              </w:rPr>
              <w:t>/</w:t>
            </w:r>
          </w:p>
        </w:tc>
      </w:tr>
      <w:tr w14:paraId="59112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1778" w:type="dxa"/>
            <w:shd w:val="clear" w:color="auto" w:fill="auto"/>
            <w:noWrap w:val="0"/>
            <w:vAlign w:val="center"/>
          </w:tcPr>
          <w:p w14:paraId="3AD1FA42">
            <w:pPr>
              <w:adjustRightInd w:val="0"/>
              <w:snapToGrid w:val="0"/>
              <w:jc w:val="center"/>
              <w:rPr>
                <w:sz w:val="24"/>
              </w:rPr>
            </w:pPr>
            <w:r>
              <w:rPr>
                <w:rFonts w:hAnsi="宋体"/>
                <w:sz w:val="24"/>
              </w:rPr>
              <w:t>固体废物</w:t>
            </w:r>
          </w:p>
        </w:tc>
        <w:tc>
          <w:tcPr>
            <w:tcW w:w="7022" w:type="dxa"/>
            <w:gridSpan w:val="4"/>
            <w:shd w:val="clear" w:color="auto" w:fill="auto"/>
            <w:noWrap w:val="0"/>
            <w:vAlign w:val="center"/>
          </w:tcPr>
          <w:p w14:paraId="5615FCAD">
            <w:pPr>
              <w:spacing w:line="500" w:lineRule="exact"/>
              <w:ind w:firstLine="480" w:firstLineChars="200"/>
              <w:jc w:val="left"/>
              <w:rPr>
                <w:sz w:val="24"/>
              </w:rPr>
            </w:pPr>
            <w:r>
              <w:rPr>
                <w:sz w:val="24"/>
              </w:rPr>
              <w:t>危险废物妥善暂存于危险废物</w:t>
            </w:r>
            <w:r>
              <w:rPr>
                <w:rFonts w:hint="eastAsia"/>
                <w:sz w:val="24"/>
              </w:rPr>
              <w:t>贮存库</w:t>
            </w:r>
            <w:r>
              <w:rPr>
                <w:sz w:val="24"/>
              </w:rPr>
              <w:t>，定期交由有资质单位安全处置。</w:t>
            </w:r>
          </w:p>
        </w:tc>
      </w:tr>
      <w:tr w14:paraId="10D46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1778" w:type="dxa"/>
            <w:shd w:val="clear" w:color="auto" w:fill="auto"/>
            <w:noWrap w:val="0"/>
            <w:vAlign w:val="center"/>
          </w:tcPr>
          <w:p w14:paraId="1C12C602">
            <w:pPr>
              <w:adjustRightInd w:val="0"/>
              <w:snapToGrid w:val="0"/>
              <w:jc w:val="center"/>
              <w:rPr>
                <w:sz w:val="24"/>
              </w:rPr>
            </w:pPr>
            <w:r>
              <w:rPr>
                <w:rFonts w:hAnsi="宋体"/>
                <w:sz w:val="24"/>
              </w:rPr>
              <w:t>土壤及地下水</w:t>
            </w:r>
          </w:p>
          <w:p w14:paraId="22691D03">
            <w:pPr>
              <w:adjustRightInd w:val="0"/>
              <w:snapToGrid w:val="0"/>
              <w:jc w:val="center"/>
              <w:rPr>
                <w:sz w:val="24"/>
              </w:rPr>
            </w:pPr>
            <w:r>
              <w:rPr>
                <w:rFonts w:hAnsi="宋体"/>
                <w:sz w:val="24"/>
              </w:rPr>
              <w:t>污染防治措施</w:t>
            </w:r>
          </w:p>
        </w:tc>
        <w:tc>
          <w:tcPr>
            <w:tcW w:w="7022" w:type="dxa"/>
            <w:gridSpan w:val="4"/>
            <w:shd w:val="clear" w:color="auto" w:fill="auto"/>
            <w:noWrap w:val="0"/>
            <w:vAlign w:val="center"/>
          </w:tcPr>
          <w:p w14:paraId="7459C9A8">
            <w:pPr>
              <w:spacing w:line="500" w:lineRule="exact"/>
              <w:ind w:firstLine="480" w:firstLineChars="200"/>
              <w:jc w:val="left"/>
              <w:rPr>
                <w:sz w:val="24"/>
              </w:rPr>
            </w:pPr>
            <w:r>
              <w:rPr>
                <w:color w:val="auto"/>
                <w:sz w:val="24"/>
              </w:rPr>
              <w:t>项目生产车间</w:t>
            </w:r>
            <w:r>
              <w:rPr>
                <w:rFonts w:hint="eastAsia"/>
                <w:color w:val="auto"/>
                <w:sz w:val="24"/>
              </w:rPr>
              <w:t>及危险废物贮存</w:t>
            </w:r>
            <w:r>
              <w:rPr>
                <w:rFonts w:hint="eastAsia"/>
                <w:color w:val="auto"/>
                <w:sz w:val="24"/>
                <w:lang w:eastAsia="zh-CN"/>
              </w:rPr>
              <w:t>区</w:t>
            </w:r>
            <w:r>
              <w:rPr>
                <w:rFonts w:hint="eastAsia"/>
                <w:color w:val="auto"/>
                <w:sz w:val="24"/>
              </w:rPr>
              <w:t>按照要求进行</w:t>
            </w:r>
            <w:r>
              <w:rPr>
                <w:color w:val="auto"/>
                <w:sz w:val="24"/>
              </w:rPr>
              <w:t>防渗处理</w:t>
            </w:r>
            <w:r>
              <w:rPr>
                <w:rFonts w:hint="eastAsia"/>
                <w:color w:val="auto"/>
                <w:sz w:val="24"/>
                <w:lang w:eastAsia="zh-CN"/>
              </w:rPr>
              <w:t>。</w:t>
            </w:r>
          </w:p>
        </w:tc>
      </w:tr>
      <w:tr w14:paraId="7793E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6" w:hRule="atLeast"/>
          <w:jc w:val="center"/>
        </w:trPr>
        <w:tc>
          <w:tcPr>
            <w:tcW w:w="1778" w:type="dxa"/>
            <w:shd w:val="clear" w:color="auto" w:fill="auto"/>
            <w:noWrap w:val="0"/>
            <w:vAlign w:val="center"/>
          </w:tcPr>
          <w:p w14:paraId="3BD761EC">
            <w:pPr>
              <w:adjustRightInd w:val="0"/>
              <w:snapToGrid w:val="0"/>
              <w:jc w:val="center"/>
              <w:rPr>
                <w:sz w:val="24"/>
              </w:rPr>
            </w:pPr>
            <w:r>
              <w:rPr>
                <w:rFonts w:hAnsi="宋体"/>
                <w:sz w:val="24"/>
              </w:rPr>
              <w:t>生态保护措施</w:t>
            </w:r>
          </w:p>
        </w:tc>
        <w:tc>
          <w:tcPr>
            <w:tcW w:w="7022" w:type="dxa"/>
            <w:gridSpan w:val="4"/>
            <w:shd w:val="clear" w:color="auto" w:fill="auto"/>
            <w:noWrap w:val="0"/>
            <w:vAlign w:val="center"/>
          </w:tcPr>
          <w:p w14:paraId="36C2520A">
            <w:pPr>
              <w:adjustRightInd w:val="0"/>
              <w:snapToGrid w:val="0"/>
              <w:jc w:val="center"/>
              <w:rPr>
                <w:sz w:val="24"/>
              </w:rPr>
            </w:pPr>
            <w:r>
              <w:rPr>
                <w:rFonts w:hint="eastAsia"/>
                <w:sz w:val="24"/>
              </w:rPr>
              <w:t>/</w:t>
            </w:r>
          </w:p>
        </w:tc>
      </w:tr>
      <w:tr w14:paraId="56C49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6" w:hRule="atLeast"/>
          <w:jc w:val="center"/>
        </w:trPr>
        <w:tc>
          <w:tcPr>
            <w:tcW w:w="1778" w:type="dxa"/>
            <w:shd w:val="clear" w:color="auto" w:fill="auto"/>
            <w:noWrap w:val="0"/>
            <w:vAlign w:val="center"/>
          </w:tcPr>
          <w:p w14:paraId="116B76F4">
            <w:pPr>
              <w:adjustRightInd w:val="0"/>
              <w:snapToGrid w:val="0"/>
              <w:jc w:val="center"/>
              <w:rPr>
                <w:spacing w:val="-8"/>
                <w:sz w:val="24"/>
              </w:rPr>
            </w:pPr>
            <w:r>
              <w:rPr>
                <w:rFonts w:hAnsi="宋体"/>
                <w:spacing w:val="-8"/>
                <w:sz w:val="24"/>
              </w:rPr>
              <w:t>环境风险</w:t>
            </w:r>
          </w:p>
          <w:p w14:paraId="7780B5ED">
            <w:pPr>
              <w:adjustRightInd w:val="0"/>
              <w:snapToGrid w:val="0"/>
              <w:jc w:val="center"/>
              <w:rPr>
                <w:spacing w:val="-8"/>
                <w:sz w:val="24"/>
              </w:rPr>
            </w:pPr>
            <w:r>
              <w:rPr>
                <w:rFonts w:hAnsi="宋体"/>
                <w:spacing w:val="-8"/>
                <w:sz w:val="24"/>
              </w:rPr>
              <w:t>防范措施</w:t>
            </w:r>
          </w:p>
        </w:tc>
        <w:tc>
          <w:tcPr>
            <w:tcW w:w="7022" w:type="dxa"/>
            <w:gridSpan w:val="4"/>
            <w:shd w:val="clear" w:color="auto" w:fill="auto"/>
            <w:noWrap w:val="0"/>
            <w:vAlign w:val="center"/>
          </w:tcPr>
          <w:p w14:paraId="681EE677">
            <w:pPr>
              <w:spacing w:line="500" w:lineRule="exact"/>
              <w:ind w:firstLine="480" w:firstLineChars="200"/>
              <w:jc w:val="left"/>
              <w:rPr>
                <w:sz w:val="24"/>
              </w:rPr>
            </w:pPr>
            <w:r>
              <w:rPr>
                <w:sz w:val="24"/>
              </w:rPr>
              <w:t>项目可能发生的环境风险事故主要为</w:t>
            </w:r>
            <w:r>
              <w:rPr>
                <w:rFonts w:hint="eastAsia"/>
                <w:sz w:val="24"/>
              </w:rPr>
              <w:t>机油、废矿物油</w:t>
            </w:r>
            <w:r>
              <w:rPr>
                <w:rFonts w:hint="eastAsia"/>
                <w:sz w:val="24"/>
                <w:lang w:eastAsia="zh-CN"/>
              </w:rPr>
              <w:t>，</w:t>
            </w:r>
            <w:r>
              <w:rPr>
                <w:sz w:val="24"/>
              </w:rPr>
              <w:t>泄漏危害大气、地表水与土壤。环境风险事故一旦发生应尽快找出原因，启动应急预案，尽量减少对周围环境的影响，将影响降至最低。</w:t>
            </w:r>
          </w:p>
        </w:tc>
      </w:tr>
      <w:tr w14:paraId="1312C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2" w:hRule="atLeast"/>
          <w:jc w:val="center"/>
        </w:trPr>
        <w:tc>
          <w:tcPr>
            <w:tcW w:w="1778" w:type="dxa"/>
            <w:shd w:val="clear" w:color="auto" w:fill="auto"/>
            <w:noWrap w:val="0"/>
            <w:vAlign w:val="center"/>
          </w:tcPr>
          <w:p w14:paraId="7298A372">
            <w:pPr>
              <w:adjustRightInd w:val="0"/>
              <w:snapToGrid w:val="0"/>
              <w:jc w:val="center"/>
              <w:rPr>
                <w:spacing w:val="-8"/>
                <w:sz w:val="24"/>
              </w:rPr>
            </w:pPr>
            <w:r>
              <w:rPr>
                <w:rFonts w:hAnsi="宋体"/>
                <w:spacing w:val="-8"/>
                <w:sz w:val="24"/>
              </w:rPr>
              <w:t>其他环境</w:t>
            </w:r>
          </w:p>
          <w:p w14:paraId="352ABC3D">
            <w:pPr>
              <w:adjustRightInd w:val="0"/>
              <w:snapToGrid w:val="0"/>
              <w:jc w:val="center"/>
              <w:rPr>
                <w:spacing w:val="-8"/>
                <w:sz w:val="24"/>
              </w:rPr>
            </w:pPr>
            <w:r>
              <w:rPr>
                <w:rFonts w:hAnsi="宋体"/>
                <w:spacing w:val="-8"/>
                <w:sz w:val="24"/>
              </w:rPr>
              <w:t>管理要求</w:t>
            </w:r>
          </w:p>
        </w:tc>
        <w:tc>
          <w:tcPr>
            <w:tcW w:w="7022" w:type="dxa"/>
            <w:gridSpan w:val="4"/>
            <w:shd w:val="clear" w:color="auto" w:fill="auto"/>
            <w:noWrap w:val="0"/>
            <w:vAlign w:val="center"/>
          </w:tcPr>
          <w:p w14:paraId="13061A57">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b/>
                <w:color w:val="auto"/>
                <w:sz w:val="24"/>
              </w:rPr>
            </w:pPr>
            <w:r>
              <w:rPr>
                <w:rFonts w:hint="eastAsia"/>
                <w:b/>
                <w:color w:val="auto"/>
                <w:sz w:val="24"/>
                <w:lang w:val="en-US" w:eastAsia="zh-CN"/>
              </w:rPr>
              <w:t>一、</w:t>
            </w:r>
            <w:r>
              <w:rPr>
                <w:b/>
                <w:color w:val="auto"/>
                <w:sz w:val="24"/>
              </w:rPr>
              <w:t>环境管理</w:t>
            </w:r>
          </w:p>
          <w:p w14:paraId="344860C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lang w:eastAsia="zh-CN"/>
              </w:rPr>
              <w:t>靖源科技为凤翔</w:t>
            </w:r>
            <w:r>
              <w:rPr>
                <w:rFonts w:hint="eastAsia"/>
                <w:sz w:val="24"/>
              </w:rPr>
              <w:t>较大规模的</w:t>
            </w:r>
            <w:r>
              <w:rPr>
                <w:rFonts w:hint="eastAsia"/>
                <w:sz w:val="24"/>
                <w:lang w:eastAsia="zh-CN"/>
              </w:rPr>
              <w:t>化工</w:t>
            </w:r>
            <w:r>
              <w:rPr>
                <w:rFonts w:hint="eastAsia"/>
                <w:sz w:val="24"/>
              </w:rPr>
              <w:t>企业，已连续生产多年</w:t>
            </w:r>
            <w:r>
              <w:rPr>
                <w:rFonts w:hint="eastAsia"/>
                <w:sz w:val="24"/>
                <w:lang w:eastAsia="zh-CN"/>
              </w:rPr>
              <w:t>。</w:t>
            </w:r>
            <w:r>
              <w:rPr>
                <w:rFonts w:hint="eastAsia"/>
                <w:sz w:val="24"/>
              </w:rPr>
              <w:t>企业目前基本形成较完善的环境管理制度，配备了相关的环境管理负责人，本次环评要求企业及相关负责人继续落实以下环境管理要求。</w:t>
            </w:r>
          </w:p>
          <w:p w14:paraId="431FB7C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b/>
                <w:sz w:val="24"/>
              </w:rPr>
            </w:pPr>
            <w:r>
              <w:rPr>
                <w:rFonts w:hint="eastAsia"/>
                <w:b/>
                <w:sz w:val="24"/>
              </w:rPr>
              <w:t>1、管理内容</w:t>
            </w:r>
          </w:p>
          <w:p w14:paraId="1F85C58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rPr>
            </w:pPr>
            <w:r>
              <w:rPr>
                <w:bCs/>
                <w:sz w:val="24"/>
              </w:rPr>
              <w:t>企业环境保护工作由公司</w:t>
            </w:r>
            <w:r>
              <w:rPr>
                <w:rFonts w:hint="eastAsia"/>
                <w:sz w:val="24"/>
              </w:rPr>
              <w:t>总经理全面</w:t>
            </w:r>
            <w:r>
              <w:rPr>
                <w:bCs/>
                <w:sz w:val="24"/>
              </w:rPr>
              <w:t>负责</w:t>
            </w:r>
            <w:r>
              <w:rPr>
                <w:rFonts w:hint="eastAsia"/>
                <w:bCs/>
                <w:sz w:val="24"/>
              </w:rPr>
              <w:t>，</w:t>
            </w:r>
            <w:r>
              <w:rPr>
                <w:bCs/>
                <w:sz w:val="24"/>
              </w:rPr>
              <w:t>企业已根据《中华人民共和国环境保护法》等相关要求制定环境管理制度。</w:t>
            </w:r>
            <w:r>
              <w:rPr>
                <w:rFonts w:hint="eastAsia"/>
                <w:bCs/>
                <w:sz w:val="24"/>
              </w:rPr>
              <w:t>项目实施后本环评对企业环境管理要求如下：</w:t>
            </w:r>
          </w:p>
          <w:p w14:paraId="0A23252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⑴</w:t>
            </w:r>
            <w:r>
              <w:rPr>
                <w:sz w:val="24"/>
              </w:rPr>
              <w:t>根据环境管理台账记录制度，落实环境管理台账记录的</w:t>
            </w:r>
            <w:r>
              <w:rPr>
                <w:rFonts w:hint="eastAsia"/>
                <w:sz w:val="24"/>
              </w:rPr>
              <w:t>责任</w:t>
            </w:r>
            <w:r>
              <w:rPr>
                <w:sz w:val="24"/>
              </w:rPr>
              <w:t>单位和责任人，明确工作职责，并对环境管理台账的真实性、完整性和规范性负责。包括基本信息、生产设施运行管理信息、污染防治设施运行管理信息、监测记录信息及其他环境管理信息等。</w:t>
            </w:r>
          </w:p>
          <w:p w14:paraId="23D0FBD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⑵</w:t>
            </w:r>
            <w:r>
              <w:rPr>
                <w:sz w:val="24"/>
              </w:rPr>
              <w:t>环境管理台账记录保存</w:t>
            </w:r>
          </w:p>
          <w:p w14:paraId="7C090B9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①</w:t>
            </w:r>
            <w:r>
              <w:rPr>
                <w:sz w:val="24"/>
              </w:rPr>
              <w:t>纸质存储：应将纸质台账存放于保护袋、卷夹或保护盒等保存介质中；由专人签字、定点保存；应采取防光、防热、防潮、防细菌及防污染等措施：如有破损应及时修补，并留存备查；保存时间原则上不</w:t>
            </w:r>
            <w:r>
              <w:rPr>
                <w:rFonts w:hint="eastAsia"/>
                <w:sz w:val="24"/>
              </w:rPr>
              <w:t>少于3</w:t>
            </w:r>
            <w:r>
              <w:rPr>
                <w:sz w:val="24"/>
              </w:rPr>
              <w:t>年。</w:t>
            </w:r>
          </w:p>
          <w:p w14:paraId="101EC1D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②</w:t>
            </w:r>
            <w:r>
              <w:rPr>
                <w:sz w:val="24"/>
              </w:rPr>
              <w:t>电子化存储：应存放于电子存储介质中，并进行数据备份；由专人定期维护管理：保存时间原则上不</w:t>
            </w:r>
            <w:r>
              <w:rPr>
                <w:rFonts w:hint="eastAsia"/>
                <w:sz w:val="24"/>
              </w:rPr>
              <w:t>少于3</w:t>
            </w:r>
            <w:r>
              <w:rPr>
                <w:sz w:val="24"/>
              </w:rPr>
              <w:t>年。</w:t>
            </w:r>
          </w:p>
          <w:p w14:paraId="19DA0F9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⑶</w:t>
            </w:r>
            <w:r>
              <w:rPr>
                <w:sz w:val="24"/>
              </w:rPr>
              <w:t>加强运营期固体废物管理，</w:t>
            </w:r>
            <w:r>
              <w:rPr>
                <w:bCs/>
                <w:sz w:val="24"/>
              </w:rPr>
              <w:t>一般工业固体废物的贮存应满足相应防渗漏、防雨淋、防扬尘等环境保护要求</w:t>
            </w:r>
            <w:r>
              <w:rPr>
                <w:rFonts w:hint="eastAsia"/>
                <w:bCs/>
                <w:sz w:val="24"/>
              </w:rPr>
              <w:t>。</w:t>
            </w:r>
          </w:p>
          <w:p w14:paraId="58F9CF4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⑷</w:t>
            </w:r>
            <w:r>
              <w:rPr>
                <w:sz w:val="24"/>
              </w:rPr>
              <w:t>加强运营期大气污染物环境管理。应当按照相关法律法规、标准和技术规范等要求运行大气污染防治设施并进行维护和管理，及时</w:t>
            </w:r>
            <w:r>
              <w:rPr>
                <w:rFonts w:hint="eastAsia"/>
                <w:sz w:val="24"/>
              </w:rPr>
              <w:t>对除尘系统进行清理，</w:t>
            </w:r>
            <w:r>
              <w:rPr>
                <w:sz w:val="24"/>
              </w:rPr>
              <w:t>保证在生产工艺设备运行波动情况下仍能正常运转，处理、排放大气污染物符合相关国家或地方污染物排放标准的规定。</w:t>
            </w:r>
          </w:p>
          <w:p w14:paraId="3410F2BD">
            <w:pPr>
              <w:pStyle w:val="33"/>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Chars="0" w:firstLine="482" w:firstLineChars="200"/>
              <w:textAlignment w:val="auto"/>
              <w:rPr>
                <w:b/>
                <w:sz w:val="24"/>
              </w:rPr>
            </w:pPr>
            <w:r>
              <w:rPr>
                <w:b/>
                <w:sz w:val="24"/>
              </w:rPr>
              <w:t>2、公开信息内容</w:t>
            </w:r>
          </w:p>
          <w:p w14:paraId="401B9C3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⑴</w:t>
            </w:r>
            <w:r>
              <w:rPr>
                <w:sz w:val="24"/>
              </w:rPr>
              <w:t>环境信息公开方式</w:t>
            </w:r>
          </w:p>
          <w:p w14:paraId="53D06C6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b/>
                <w:sz w:val="24"/>
              </w:rPr>
            </w:pPr>
            <w:r>
              <w:rPr>
                <w:sz w:val="24"/>
              </w:rPr>
              <w:t>建设单位可通过采取以下一种或者几种方式予以公开：</w:t>
            </w:r>
          </w:p>
          <w:p w14:paraId="4DBC780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b/>
                <w:sz w:val="24"/>
              </w:rPr>
            </w:pPr>
            <w:r>
              <w:rPr>
                <w:rFonts w:hint="eastAsia" w:ascii="宋体" w:hAnsi="宋体" w:cs="宋体"/>
                <w:sz w:val="24"/>
              </w:rPr>
              <w:t>①</w:t>
            </w:r>
            <w:r>
              <w:rPr>
                <w:sz w:val="24"/>
              </w:rPr>
              <w:t>公告或者公开发行的信息专刊；</w:t>
            </w:r>
          </w:p>
          <w:p w14:paraId="6EE20E2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b/>
                <w:sz w:val="24"/>
              </w:rPr>
            </w:pPr>
            <w:r>
              <w:rPr>
                <w:rFonts w:hint="eastAsia" w:ascii="宋体" w:hAnsi="宋体" w:cs="宋体"/>
                <w:sz w:val="24"/>
              </w:rPr>
              <w:t>②</w:t>
            </w:r>
            <w:r>
              <w:rPr>
                <w:sz w:val="24"/>
              </w:rPr>
              <w:t>广播、电视、网站等新闻媒体；</w:t>
            </w:r>
          </w:p>
          <w:p w14:paraId="09B8153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③</w:t>
            </w:r>
            <w:r>
              <w:rPr>
                <w:sz w:val="24"/>
              </w:rPr>
              <w:t>信息公开服务、监督热线电话；</w:t>
            </w:r>
          </w:p>
          <w:p w14:paraId="0F0E7FB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④</w:t>
            </w:r>
            <w:r>
              <w:rPr>
                <w:sz w:val="24"/>
              </w:rPr>
              <w:t>单位的资料索取点、信息公开栏、信息亭、电子屏幕等场所或者设施；</w:t>
            </w:r>
          </w:p>
          <w:p w14:paraId="05FD066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⑤</w:t>
            </w:r>
            <w:r>
              <w:rPr>
                <w:sz w:val="24"/>
              </w:rPr>
              <w:t>其他便于公众及时、准确获得信息的方式。</w:t>
            </w:r>
          </w:p>
          <w:p w14:paraId="0D5C6D5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⑵</w:t>
            </w:r>
            <w:r>
              <w:rPr>
                <w:sz w:val="24"/>
              </w:rPr>
              <w:t>环境信息公开内容</w:t>
            </w:r>
          </w:p>
          <w:p w14:paraId="3E7CFB3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①</w:t>
            </w:r>
            <w:r>
              <w:rPr>
                <w:sz w:val="24"/>
              </w:rPr>
              <w:t>基础信息，包括单位名称、组织机构代码、法定代表人、生产地址、联系方式，以及生产经营和管理服务的主要内容、产品及规模；</w:t>
            </w:r>
          </w:p>
          <w:p w14:paraId="21C703D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②</w:t>
            </w:r>
            <w:r>
              <w:rPr>
                <w:sz w:val="24"/>
              </w:rPr>
              <w:t>排污信息，包括主要污染物及特征污染物的名称、排放方式、排放口数量和分布情况、排放浓度和总量、超标情况，以及执行的污染物排放标准、核定的排放总量；</w:t>
            </w:r>
          </w:p>
          <w:p w14:paraId="6D39C17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③</w:t>
            </w:r>
            <w:r>
              <w:rPr>
                <w:sz w:val="24"/>
              </w:rPr>
              <w:t>防治污染设施的建设和运行情况；</w:t>
            </w:r>
          </w:p>
          <w:p w14:paraId="525558D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④</w:t>
            </w:r>
            <w:r>
              <w:rPr>
                <w:sz w:val="24"/>
              </w:rPr>
              <w:t>建设项目环境影响评价及其他环境保护行政许可情况；</w:t>
            </w:r>
          </w:p>
          <w:p w14:paraId="4BEEBED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⑤</w:t>
            </w:r>
            <w:r>
              <w:rPr>
                <w:sz w:val="24"/>
              </w:rPr>
              <w:t>其他应当公开的环境信息。</w:t>
            </w:r>
          </w:p>
          <w:p w14:paraId="4148132D">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b/>
                <w:sz w:val="24"/>
              </w:rPr>
            </w:pPr>
            <w:r>
              <w:rPr>
                <w:b/>
                <w:sz w:val="24"/>
              </w:rPr>
              <w:t>3、日常环境管理要求</w:t>
            </w:r>
          </w:p>
          <w:p w14:paraId="55043BE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⑴</w:t>
            </w:r>
            <w:r>
              <w:rPr>
                <w:sz w:val="24"/>
              </w:rPr>
              <w:t>环境管理机构设置</w:t>
            </w:r>
          </w:p>
          <w:p w14:paraId="5FCA220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环境管理的基本任务是控制污染物的排放量和避免或减轻排出污染物对环境的损害。为了控制污染物的排放，就需要加强计划、生产、技术、质量、设备、劳动等方面的管理，把环境管理渗透到整个企业的管理中，将环境目标与生产目标融合在一起，以减少从生产过程中各环节排出的污染物。</w:t>
            </w:r>
          </w:p>
          <w:p w14:paraId="67086EE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⑵</w:t>
            </w:r>
            <w:r>
              <w:rPr>
                <w:sz w:val="24"/>
              </w:rPr>
              <w:t>环境管理职责</w:t>
            </w:r>
          </w:p>
          <w:p w14:paraId="102D7F0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①</w:t>
            </w:r>
            <w:r>
              <w:rPr>
                <w:sz w:val="24"/>
              </w:rPr>
              <w:t>认真贯彻国家环境保护政策、法规，制定环保规划与环保规章制度，并实施检查和监督。</w:t>
            </w:r>
          </w:p>
          <w:p w14:paraId="658CA58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②</w:t>
            </w:r>
            <w:r>
              <w:rPr>
                <w:sz w:val="24"/>
              </w:rPr>
              <w:t>拟定环保工作计划，配合领导完成环境保护责任目标。</w:t>
            </w:r>
          </w:p>
          <w:p w14:paraId="7D56322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③</w:t>
            </w:r>
            <w:r>
              <w:rPr>
                <w:sz w:val="24"/>
              </w:rPr>
              <w:t>组织、配合环境监测部门开展环境与污染源监测，落实环保工程治理方案。</w:t>
            </w:r>
          </w:p>
          <w:p w14:paraId="6387A13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④</w:t>
            </w:r>
            <w:r>
              <w:rPr>
                <w:sz w:val="24"/>
              </w:rPr>
              <w:t>确保工业固体废物、生活垃圾等能够按照国家规范处置。</w:t>
            </w:r>
          </w:p>
          <w:p w14:paraId="0FFB4E4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⑤</w:t>
            </w:r>
            <w:r>
              <w:rPr>
                <w:sz w:val="24"/>
              </w:rPr>
              <w:t>执行建设项目环境影响评价制度，组织专家和有关管理部门对工程进行竣工验收，配合领导完成环保责任目标，保证污染物达标排放。</w:t>
            </w:r>
          </w:p>
          <w:p w14:paraId="62840DD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⑥</w:t>
            </w:r>
            <w:r>
              <w:rPr>
                <w:sz w:val="24"/>
              </w:rPr>
              <w:t>建立环境保护档案，开展日常环境保护工作。</w:t>
            </w:r>
          </w:p>
          <w:p w14:paraId="61B3CF5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⑦</w:t>
            </w:r>
            <w:r>
              <w:rPr>
                <w:sz w:val="24"/>
              </w:rPr>
              <w:t>明确各层次职责，加强环境保护宣传教育培训和专业培训，普及环保知识，</w:t>
            </w:r>
            <w:r>
              <w:rPr>
                <w:rFonts w:hint="eastAsia"/>
                <w:sz w:val="24"/>
              </w:rPr>
              <w:t>增强</w:t>
            </w:r>
            <w:r>
              <w:rPr>
                <w:sz w:val="24"/>
              </w:rPr>
              <w:t>员工环保意识和能力，确保实现持续改进。</w:t>
            </w:r>
          </w:p>
          <w:p w14:paraId="2E2222E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⑧</w:t>
            </w:r>
            <w:r>
              <w:rPr>
                <w:sz w:val="24"/>
              </w:rPr>
              <w:t>负责厂区环境绿化和环境保护管理，主动接受上级环保行政主管部门工作指导和检查。</w:t>
            </w:r>
          </w:p>
          <w:p w14:paraId="4213F0C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⑶后续</w:t>
            </w:r>
            <w:r>
              <w:rPr>
                <w:sz w:val="24"/>
              </w:rPr>
              <w:t>环保要求</w:t>
            </w:r>
          </w:p>
          <w:p w14:paraId="0313E2A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①本项目</w:t>
            </w:r>
            <w:r>
              <w:rPr>
                <w:sz w:val="24"/>
              </w:rPr>
              <w:t>环保投资必须落实，专款专用</w:t>
            </w:r>
            <w:r>
              <w:rPr>
                <w:rFonts w:hint="eastAsia"/>
                <w:sz w:val="24"/>
              </w:rPr>
              <w:t>。</w:t>
            </w:r>
          </w:p>
          <w:p w14:paraId="3F49107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②</w:t>
            </w:r>
            <w:r>
              <w:rPr>
                <w:sz w:val="24"/>
              </w:rPr>
              <w:t>应合理安排经费，使各项环保措施都能认真得到贯彻执行</w:t>
            </w:r>
            <w:r>
              <w:rPr>
                <w:rFonts w:hint="eastAsia"/>
                <w:sz w:val="24"/>
              </w:rPr>
              <w:t>。</w:t>
            </w:r>
          </w:p>
          <w:p w14:paraId="50D8CDD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ascii="宋体" w:hAnsi="宋体" w:cs="宋体"/>
                <w:sz w:val="24"/>
              </w:rPr>
              <w:t>③本项目</w:t>
            </w:r>
            <w:r>
              <w:rPr>
                <w:sz w:val="24"/>
              </w:rPr>
              <w:t>竣工后，对</w:t>
            </w:r>
            <w:r>
              <w:rPr>
                <w:rFonts w:hint="eastAsia"/>
                <w:sz w:val="24"/>
              </w:rPr>
              <w:t>涉及</w:t>
            </w:r>
            <w:r>
              <w:rPr>
                <w:sz w:val="24"/>
              </w:rPr>
              <w:t>的各项环保设施进行</w:t>
            </w:r>
            <w:r>
              <w:rPr>
                <w:rFonts w:hint="eastAsia"/>
                <w:sz w:val="24"/>
              </w:rPr>
              <w:t>“三同时”环保</w:t>
            </w:r>
            <w:r>
              <w:rPr>
                <w:sz w:val="24"/>
              </w:rPr>
              <w:t>验收，及时变更排污许可证，及时修订突发环境事件应急预案。</w:t>
            </w:r>
          </w:p>
          <w:p w14:paraId="239CACC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④</w:t>
            </w:r>
            <w:r>
              <w:rPr>
                <w:sz w:val="24"/>
              </w:rPr>
              <w:t>运营期保证污染防治措施安全高效运行。</w:t>
            </w:r>
          </w:p>
          <w:p w14:paraId="34ABDF50">
            <w:pPr>
              <w:pStyle w:val="10"/>
              <w:spacing w:line="440" w:lineRule="exact"/>
              <w:ind w:firstLine="480" w:firstLineChars="200"/>
              <w:rPr>
                <w:b/>
                <w:bCs/>
                <w:color w:val="auto"/>
                <w:szCs w:val="24"/>
              </w:rPr>
            </w:pPr>
            <w:r>
              <w:rPr>
                <w:rFonts w:hint="eastAsia"/>
                <w:sz w:val="24"/>
                <w:lang w:eastAsia="zh-CN"/>
              </w:rPr>
              <w:t>二、</w:t>
            </w:r>
            <w:r>
              <w:rPr>
                <w:b/>
                <w:bCs/>
                <w:color w:val="auto"/>
                <w:szCs w:val="24"/>
              </w:rPr>
              <w:t>环保投资</w:t>
            </w:r>
          </w:p>
          <w:p w14:paraId="2D706434">
            <w:pPr>
              <w:spacing w:line="440" w:lineRule="exact"/>
              <w:ind w:firstLine="480" w:firstLineChars="200"/>
              <w:rPr>
                <w:rFonts w:hint="eastAsia" w:eastAsia="宋体"/>
                <w:color w:val="auto"/>
                <w:sz w:val="24"/>
                <w:lang w:val="en-US" w:eastAsia="zh-CN"/>
              </w:rPr>
            </w:pPr>
            <w:r>
              <w:rPr>
                <w:color w:val="auto"/>
                <w:sz w:val="24"/>
              </w:rPr>
              <w:t>建设单位必须落实环保资金，切实用于项目环境污染治理，本项目总投资</w:t>
            </w:r>
            <w:r>
              <w:rPr>
                <w:rFonts w:hint="eastAsia"/>
                <w:color w:val="auto"/>
                <w:sz w:val="24"/>
                <w:lang w:val="en-US" w:eastAsia="zh-CN"/>
              </w:rPr>
              <w:t>5</w:t>
            </w:r>
            <w:r>
              <w:rPr>
                <w:rFonts w:hint="eastAsia"/>
                <w:color w:val="auto"/>
                <w:sz w:val="24"/>
              </w:rPr>
              <w:t>00</w:t>
            </w:r>
            <w:r>
              <w:rPr>
                <w:color w:val="auto"/>
                <w:sz w:val="24"/>
              </w:rPr>
              <w:t>万元，经估算本项目建设用于环保方面的投资</w:t>
            </w:r>
            <w:r>
              <w:rPr>
                <w:rFonts w:hint="eastAsia"/>
                <w:color w:val="auto"/>
                <w:sz w:val="24"/>
                <w:lang w:val="en-US" w:eastAsia="zh-CN"/>
              </w:rPr>
              <w:t>31</w:t>
            </w:r>
            <w:r>
              <w:rPr>
                <w:color w:val="auto"/>
                <w:sz w:val="24"/>
              </w:rPr>
              <w:t>万元，占本项目总投资的</w:t>
            </w:r>
            <w:r>
              <w:rPr>
                <w:rFonts w:hint="eastAsia"/>
                <w:color w:val="auto"/>
                <w:sz w:val="24"/>
                <w:lang w:val="en-US" w:eastAsia="zh-CN"/>
              </w:rPr>
              <w:t>6.2</w:t>
            </w:r>
            <w:r>
              <w:rPr>
                <w:color w:val="auto"/>
                <w:sz w:val="24"/>
              </w:rPr>
              <w:t>%，具体见表5</w:t>
            </w:r>
            <w:r>
              <w:rPr>
                <w:rFonts w:hint="eastAsia"/>
                <w:color w:val="auto"/>
                <w:sz w:val="24"/>
                <w:lang w:eastAsia="zh-CN"/>
              </w:rPr>
              <w:t>-</w:t>
            </w:r>
            <w:r>
              <w:rPr>
                <w:color w:val="auto"/>
                <w:sz w:val="24"/>
              </w:rPr>
              <w:t>1</w:t>
            </w:r>
            <w:r>
              <w:rPr>
                <w:rFonts w:hint="eastAsia"/>
                <w:color w:val="auto"/>
                <w:sz w:val="24"/>
                <w:lang w:val="en-US" w:eastAsia="zh-CN"/>
              </w:rPr>
              <w:t>.</w:t>
            </w:r>
          </w:p>
          <w:p w14:paraId="6A6128A0">
            <w:pPr>
              <w:spacing w:line="440" w:lineRule="exact"/>
              <w:jc w:val="center"/>
              <w:rPr>
                <w:b w:val="0"/>
                <w:bCs w:val="0"/>
                <w:color w:val="auto"/>
                <w:sz w:val="24"/>
              </w:rPr>
            </w:pPr>
            <w:r>
              <w:rPr>
                <w:b w:val="0"/>
                <w:bCs w:val="0"/>
                <w:color w:val="auto"/>
                <w:sz w:val="24"/>
              </w:rPr>
              <w:t>表5</w:t>
            </w:r>
            <w:r>
              <w:rPr>
                <w:rFonts w:hint="eastAsia"/>
                <w:b w:val="0"/>
                <w:bCs w:val="0"/>
                <w:color w:val="auto"/>
                <w:sz w:val="24"/>
                <w:lang w:eastAsia="zh-CN"/>
              </w:rPr>
              <w:t>-</w:t>
            </w:r>
            <w:r>
              <w:rPr>
                <w:b w:val="0"/>
                <w:bCs w:val="0"/>
                <w:color w:val="auto"/>
                <w:sz w:val="24"/>
              </w:rPr>
              <w:t>1  环保投资一览表</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38"/>
              <w:gridCol w:w="652"/>
              <w:gridCol w:w="1744"/>
              <w:gridCol w:w="2812"/>
              <w:gridCol w:w="1246"/>
            </w:tblGrid>
            <w:tr w14:paraId="2F16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28" w:type="pct"/>
                  <w:gridSpan w:val="2"/>
                  <w:shd w:val="clear" w:color="auto" w:fill="auto"/>
                  <w:noWrap w:val="0"/>
                  <w:vAlign w:val="center"/>
                </w:tcPr>
                <w:p w14:paraId="220C3279">
                  <w:pPr>
                    <w:adjustRightInd w:val="0"/>
                    <w:snapToGrid w:val="0"/>
                    <w:jc w:val="center"/>
                    <w:rPr>
                      <w:b w:val="0"/>
                      <w:bCs/>
                      <w:color w:val="auto"/>
                      <w:szCs w:val="21"/>
                    </w:rPr>
                  </w:pPr>
                  <w:r>
                    <w:rPr>
                      <w:b w:val="0"/>
                      <w:bCs/>
                      <w:color w:val="auto"/>
                      <w:szCs w:val="21"/>
                    </w:rPr>
                    <w:t>项目</w:t>
                  </w:r>
                </w:p>
              </w:tc>
              <w:tc>
                <w:tcPr>
                  <w:tcW w:w="1284" w:type="pct"/>
                  <w:shd w:val="clear" w:color="auto" w:fill="auto"/>
                  <w:noWrap w:val="0"/>
                  <w:vAlign w:val="center"/>
                </w:tcPr>
                <w:p w14:paraId="59BEDF17">
                  <w:pPr>
                    <w:adjustRightInd w:val="0"/>
                    <w:snapToGrid w:val="0"/>
                    <w:jc w:val="center"/>
                    <w:rPr>
                      <w:b w:val="0"/>
                      <w:bCs/>
                      <w:color w:val="auto"/>
                      <w:szCs w:val="21"/>
                    </w:rPr>
                  </w:pPr>
                  <w:r>
                    <w:rPr>
                      <w:b w:val="0"/>
                      <w:bCs/>
                      <w:color w:val="auto"/>
                      <w:szCs w:val="21"/>
                    </w:rPr>
                    <w:t>污染物</w:t>
                  </w:r>
                </w:p>
              </w:tc>
              <w:tc>
                <w:tcPr>
                  <w:tcW w:w="2069" w:type="pct"/>
                  <w:shd w:val="clear" w:color="auto" w:fill="auto"/>
                  <w:noWrap w:val="0"/>
                  <w:vAlign w:val="center"/>
                </w:tcPr>
                <w:p w14:paraId="22C36FFB">
                  <w:pPr>
                    <w:adjustRightInd w:val="0"/>
                    <w:snapToGrid w:val="0"/>
                    <w:jc w:val="center"/>
                    <w:rPr>
                      <w:b w:val="0"/>
                      <w:bCs/>
                      <w:color w:val="auto"/>
                      <w:szCs w:val="21"/>
                    </w:rPr>
                  </w:pPr>
                  <w:r>
                    <w:rPr>
                      <w:b w:val="0"/>
                      <w:bCs/>
                      <w:color w:val="auto"/>
                      <w:szCs w:val="21"/>
                    </w:rPr>
                    <w:t>环保措施</w:t>
                  </w:r>
                </w:p>
              </w:tc>
              <w:tc>
                <w:tcPr>
                  <w:tcW w:w="917" w:type="pct"/>
                  <w:shd w:val="clear" w:color="auto" w:fill="auto"/>
                  <w:noWrap w:val="0"/>
                  <w:vAlign w:val="center"/>
                </w:tcPr>
                <w:p w14:paraId="08A7931B">
                  <w:pPr>
                    <w:adjustRightInd w:val="0"/>
                    <w:snapToGrid w:val="0"/>
                    <w:jc w:val="center"/>
                    <w:rPr>
                      <w:b w:val="0"/>
                      <w:bCs/>
                      <w:color w:val="auto"/>
                      <w:szCs w:val="21"/>
                    </w:rPr>
                  </w:pPr>
                  <w:r>
                    <w:rPr>
                      <w:b w:val="0"/>
                      <w:bCs/>
                      <w:color w:val="auto"/>
                      <w:szCs w:val="21"/>
                    </w:rPr>
                    <w:t>投资（万元）</w:t>
                  </w:r>
                </w:p>
              </w:tc>
            </w:tr>
            <w:tr w14:paraId="1B3A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8" w:type="pct"/>
                  <w:vMerge w:val="restart"/>
                  <w:shd w:val="clear" w:color="auto" w:fill="auto"/>
                  <w:noWrap w:val="0"/>
                  <w:vAlign w:val="center"/>
                </w:tcPr>
                <w:p w14:paraId="373D9C36">
                  <w:pPr>
                    <w:adjustRightInd w:val="0"/>
                    <w:snapToGrid w:val="0"/>
                    <w:jc w:val="center"/>
                    <w:rPr>
                      <w:b w:val="0"/>
                      <w:bCs/>
                      <w:color w:val="auto"/>
                      <w:szCs w:val="21"/>
                    </w:rPr>
                  </w:pPr>
                  <w:r>
                    <w:rPr>
                      <w:b w:val="0"/>
                      <w:bCs/>
                      <w:color w:val="auto"/>
                      <w:szCs w:val="21"/>
                    </w:rPr>
                    <w:t>运营期</w:t>
                  </w:r>
                </w:p>
              </w:tc>
              <w:tc>
                <w:tcPr>
                  <w:tcW w:w="479" w:type="pct"/>
                  <w:shd w:val="clear" w:color="auto" w:fill="auto"/>
                  <w:noWrap w:val="0"/>
                  <w:vAlign w:val="center"/>
                </w:tcPr>
                <w:p w14:paraId="3B832E10">
                  <w:pPr>
                    <w:adjustRightInd w:val="0"/>
                    <w:snapToGrid w:val="0"/>
                    <w:jc w:val="center"/>
                    <w:rPr>
                      <w:b w:val="0"/>
                      <w:bCs/>
                      <w:color w:val="auto"/>
                      <w:szCs w:val="21"/>
                    </w:rPr>
                  </w:pPr>
                  <w:r>
                    <w:rPr>
                      <w:b w:val="0"/>
                      <w:bCs/>
                      <w:color w:val="auto"/>
                      <w:szCs w:val="21"/>
                    </w:rPr>
                    <w:t>废气</w:t>
                  </w:r>
                </w:p>
              </w:tc>
              <w:tc>
                <w:tcPr>
                  <w:tcW w:w="1284" w:type="pct"/>
                  <w:shd w:val="clear" w:color="auto" w:fill="auto"/>
                  <w:noWrap w:val="0"/>
                  <w:vAlign w:val="center"/>
                </w:tcPr>
                <w:p w14:paraId="74B00268">
                  <w:pPr>
                    <w:adjustRightInd w:val="0"/>
                    <w:snapToGrid w:val="0"/>
                    <w:jc w:val="center"/>
                    <w:rPr>
                      <w:rFonts w:hint="eastAsia" w:eastAsia="宋体"/>
                      <w:b w:val="0"/>
                      <w:bCs/>
                      <w:color w:val="auto"/>
                      <w:szCs w:val="21"/>
                      <w:lang w:eastAsia="zh-CN"/>
                    </w:rPr>
                  </w:pPr>
                  <w:r>
                    <w:rPr>
                      <w:rFonts w:hint="eastAsia"/>
                      <w:b w:val="0"/>
                      <w:bCs/>
                      <w:color w:val="auto"/>
                      <w:szCs w:val="21"/>
                      <w:lang w:eastAsia="zh-CN"/>
                    </w:rPr>
                    <w:t>热风炉燃烧废气、干燥废气</w:t>
                  </w:r>
                </w:p>
              </w:tc>
              <w:tc>
                <w:tcPr>
                  <w:tcW w:w="2069" w:type="pct"/>
                  <w:shd w:val="clear" w:color="auto" w:fill="auto"/>
                  <w:noWrap w:val="0"/>
                  <w:vAlign w:val="center"/>
                </w:tcPr>
                <w:p w14:paraId="76AE2478">
                  <w:pPr>
                    <w:adjustRightInd w:val="0"/>
                    <w:snapToGrid w:val="0"/>
                    <w:jc w:val="center"/>
                    <w:rPr>
                      <w:rFonts w:hint="default" w:eastAsia="宋体"/>
                      <w:b w:val="0"/>
                      <w:bCs/>
                      <w:color w:val="auto"/>
                      <w:szCs w:val="21"/>
                      <w:lang w:val="en-US" w:eastAsia="zh-CN"/>
                    </w:rPr>
                  </w:pPr>
                  <w:r>
                    <w:rPr>
                      <w:rFonts w:hint="eastAsia"/>
                      <w:b w:val="0"/>
                      <w:bCs/>
                      <w:color w:val="auto"/>
                      <w:szCs w:val="21"/>
                      <w:lang w:val="en-US" w:eastAsia="zh-CN"/>
                    </w:rPr>
                    <w:t>收集管道+旋风除尘器+二级水膜除尘系统+24m排气筒</w:t>
                  </w:r>
                </w:p>
              </w:tc>
              <w:tc>
                <w:tcPr>
                  <w:tcW w:w="917" w:type="pct"/>
                  <w:shd w:val="clear" w:color="auto" w:fill="auto"/>
                  <w:noWrap w:val="0"/>
                  <w:vAlign w:val="center"/>
                </w:tcPr>
                <w:p w14:paraId="1F768E85">
                  <w:pPr>
                    <w:adjustRightInd w:val="0"/>
                    <w:snapToGrid w:val="0"/>
                    <w:jc w:val="center"/>
                    <w:rPr>
                      <w:rFonts w:hint="default" w:eastAsia="宋体"/>
                      <w:b w:val="0"/>
                      <w:bCs/>
                      <w:color w:val="auto"/>
                      <w:szCs w:val="21"/>
                      <w:lang w:val="en-US" w:eastAsia="zh-CN"/>
                    </w:rPr>
                  </w:pPr>
                  <w:r>
                    <w:rPr>
                      <w:rFonts w:hint="eastAsia"/>
                      <w:b w:val="0"/>
                      <w:bCs/>
                      <w:color w:val="auto"/>
                      <w:szCs w:val="21"/>
                      <w:lang w:val="en-US" w:eastAsia="zh-CN"/>
                    </w:rPr>
                    <w:t>30.0</w:t>
                  </w:r>
                </w:p>
              </w:tc>
            </w:tr>
            <w:tr w14:paraId="5F10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48" w:type="pct"/>
                  <w:vMerge w:val="continue"/>
                  <w:shd w:val="clear" w:color="auto" w:fill="auto"/>
                  <w:noWrap w:val="0"/>
                  <w:vAlign w:val="center"/>
                </w:tcPr>
                <w:p w14:paraId="73D6B1DB">
                  <w:pPr>
                    <w:adjustRightInd w:val="0"/>
                    <w:snapToGrid w:val="0"/>
                    <w:jc w:val="center"/>
                    <w:rPr>
                      <w:b w:val="0"/>
                      <w:bCs/>
                      <w:color w:val="auto"/>
                      <w:szCs w:val="21"/>
                    </w:rPr>
                  </w:pPr>
                </w:p>
              </w:tc>
              <w:tc>
                <w:tcPr>
                  <w:tcW w:w="479" w:type="pct"/>
                  <w:shd w:val="clear" w:color="auto" w:fill="auto"/>
                  <w:noWrap w:val="0"/>
                  <w:vAlign w:val="center"/>
                </w:tcPr>
                <w:p w14:paraId="562DFE2E">
                  <w:pPr>
                    <w:adjustRightInd w:val="0"/>
                    <w:snapToGrid w:val="0"/>
                    <w:jc w:val="center"/>
                    <w:rPr>
                      <w:b w:val="0"/>
                      <w:bCs/>
                      <w:color w:val="auto"/>
                      <w:szCs w:val="21"/>
                    </w:rPr>
                  </w:pPr>
                  <w:r>
                    <w:rPr>
                      <w:b w:val="0"/>
                      <w:bCs/>
                      <w:color w:val="auto"/>
                      <w:szCs w:val="21"/>
                    </w:rPr>
                    <w:t>噪声</w:t>
                  </w:r>
                </w:p>
              </w:tc>
              <w:tc>
                <w:tcPr>
                  <w:tcW w:w="1284" w:type="pct"/>
                  <w:shd w:val="clear" w:color="auto" w:fill="auto"/>
                  <w:noWrap w:val="0"/>
                  <w:vAlign w:val="center"/>
                </w:tcPr>
                <w:p w14:paraId="07E17CED">
                  <w:pPr>
                    <w:adjustRightInd w:val="0"/>
                    <w:snapToGrid w:val="0"/>
                    <w:jc w:val="center"/>
                    <w:rPr>
                      <w:b w:val="0"/>
                      <w:bCs/>
                      <w:color w:val="auto"/>
                      <w:szCs w:val="21"/>
                    </w:rPr>
                  </w:pPr>
                  <w:r>
                    <w:rPr>
                      <w:b w:val="0"/>
                      <w:bCs/>
                      <w:color w:val="auto"/>
                      <w:szCs w:val="21"/>
                    </w:rPr>
                    <w:t>设备噪声</w:t>
                  </w:r>
                </w:p>
              </w:tc>
              <w:tc>
                <w:tcPr>
                  <w:tcW w:w="2069" w:type="pct"/>
                  <w:shd w:val="clear" w:color="auto" w:fill="auto"/>
                  <w:noWrap w:val="0"/>
                  <w:vAlign w:val="center"/>
                </w:tcPr>
                <w:p w14:paraId="4AC2988B">
                  <w:pPr>
                    <w:adjustRightInd w:val="0"/>
                    <w:snapToGrid w:val="0"/>
                    <w:jc w:val="center"/>
                    <w:rPr>
                      <w:rFonts w:hint="eastAsia" w:eastAsia="宋体"/>
                      <w:b w:val="0"/>
                      <w:bCs/>
                      <w:color w:val="auto"/>
                      <w:szCs w:val="21"/>
                      <w:lang w:eastAsia="zh-CN"/>
                    </w:rPr>
                  </w:pPr>
                  <w:r>
                    <w:rPr>
                      <w:b w:val="0"/>
                      <w:bCs/>
                      <w:color w:val="auto"/>
                      <w:szCs w:val="21"/>
                    </w:rPr>
                    <w:t>设备均置于生产厂房内，对设备定期进行维护</w:t>
                  </w:r>
                  <w:r>
                    <w:rPr>
                      <w:rFonts w:hint="eastAsia"/>
                      <w:b w:val="0"/>
                      <w:bCs/>
                      <w:color w:val="auto"/>
                      <w:szCs w:val="21"/>
                      <w:lang w:eastAsia="zh-CN"/>
                    </w:rPr>
                    <w:t>、风机房</w:t>
                  </w:r>
                </w:p>
              </w:tc>
              <w:tc>
                <w:tcPr>
                  <w:tcW w:w="917" w:type="pct"/>
                  <w:shd w:val="clear" w:color="auto" w:fill="auto"/>
                  <w:noWrap w:val="0"/>
                  <w:vAlign w:val="center"/>
                </w:tcPr>
                <w:p w14:paraId="49FFCEDB">
                  <w:pPr>
                    <w:adjustRightInd w:val="0"/>
                    <w:snapToGrid w:val="0"/>
                    <w:jc w:val="center"/>
                    <w:rPr>
                      <w:rFonts w:hint="default" w:eastAsia="宋体"/>
                      <w:b w:val="0"/>
                      <w:bCs/>
                      <w:color w:val="auto"/>
                      <w:szCs w:val="21"/>
                      <w:lang w:val="en-US" w:eastAsia="zh-CN"/>
                    </w:rPr>
                  </w:pPr>
                  <w:r>
                    <w:rPr>
                      <w:rFonts w:hint="eastAsia"/>
                      <w:b w:val="0"/>
                      <w:bCs/>
                      <w:color w:val="auto"/>
                      <w:szCs w:val="21"/>
                      <w:lang w:val="en-US" w:eastAsia="zh-CN"/>
                    </w:rPr>
                    <w:t>1.0</w:t>
                  </w:r>
                </w:p>
              </w:tc>
            </w:tr>
            <w:tr w14:paraId="25D6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2" w:type="pct"/>
                  <w:gridSpan w:val="3"/>
                  <w:shd w:val="clear" w:color="auto" w:fill="auto"/>
                  <w:noWrap w:val="0"/>
                  <w:vAlign w:val="center"/>
                </w:tcPr>
                <w:p w14:paraId="4E3D2762">
                  <w:pPr>
                    <w:adjustRightInd w:val="0"/>
                    <w:snapToGrid w:val="0"/>
                    <w:jc w:val="center"/>
                    <w:rPr>
                      <w:b w:val="0"/>
                      <w:bCs/>
                      <w:color w:val="auto"/>
                      <w:szCs w:val="21"/>
                    </w:rPr>
                  </w:pPr>
                  <w:r>
                    <w:rPr>
                      <w:b w:val="0"/>
                      <w:bCs/>
                      <w:color w:val="auto"/>
                      <w:szCs w:val="21"/>
                    </w:rPr>
                    <w:t>合    计</w:t>
                  </w:r>
                </w:p>
              </w:tc>
              <w:tc>
                <w:tcPr>
                  <w:tcW w:w="2069" w:type="pct"/>
                  <w:shd w:val="clear" w:color="auto" w:fill="auto"/>
                  <w:noWrap w:val="0"/>
                  <w:vAlign w:val="center"/>
                </w:tcPr>
                <w:p w14:paraId="451B5E56">
                  <w:pPr>
                    <w:adjustRightInd w:val="0"/>
                    <w:snapToGrid w:val="0"/>
                    <w:jc w:val="center"/>
                    <w:rPr>
                      <w:rFonts w:hint="eastAsia" w:eastAsia="宋体"/>
                      <w:b w:val="0"/>
                      <w:bCs/>
                      <w:color w:val="auto"/>
                      <w:szCs w:val="21"/>
                      <w:lang w:eastAsia="zh-CN"/>
                    </w:rPr>
                  </w:pPr>
                  <w:r>
                    <w:rPr>
                      <w:rFonts w:hint="eastAsia"/>
                      <w:b w:val="0"/>
                      <w:bCs/>
                      <w:color w:val="auto"/>
                      <w:szCs w:val="21"/>
                      <w:lang w:eastAsia="zh-CN"/>
                    </w:rPr>
                    <w:t>--</w:t>
                  </w:r>
                </w:p>
              </w:tc>
              <w:tc>
                <w:tcPr>
                  <w:tcW w:w="917" w:type="pct"/>
                  <w:shd w:val="clear" w:color="auto" w:fill="auto"/>
                  <w:noWrap w:val="0"/>
                  <w:vAlign w:val="center"/>
                </w:tcPr>
                <w:p w14:paraId="0DE9B319">
                  <w:pPr>
                    <w:adjustRightInd w:val="0"/>
                    <w:snapToGrid w:val="0"/>
                    <w:jc w:val="center"/>
                    <w:rPr>
                      <w:rFonts w:hint="default" w:eastAsia="宋体"/>
                      <w:b w:val="0"/>
                      <w:bCs/>
                      <w:color w:val="auto"/>
                      <w:szCs w:val="21"/>
                      <w:lang w:val="en-US" w:eastAsia="zh-CN"/>
                    </w:rPr>
                  </w:pPr>
                  <w:r>
                    <w:rPr>
                      <w:rFonts w:hint="eastAsia" w:eastAsia="宋体"/>
                      <w:b w:val="0"/>
                      <w:bCs/>
                      <w:color w:val="auto"/>
                      <w:szCs w:val="21"/>
                      <w:lang w:val="en-US" w:eastAsia="zh-CN"/>
                    </w:rPr>
                    <w:t>31.0</w:t>
                  </w:r>
                </w:p>
              </w:tc>
            </w:tr>
          </w:tbl>
          <w:p w14:paraId="68C62088">
            <w:pPr>
              <w:spacing w:line="500" w:lineRule="exact"/>
              <w:ind w:firstLine="480" w:firstLineChars="200"/>
              <w:rPr>
                <w:rFonts w:hint="eastAsia" w:eastAsia="宋体"/>
                <w:sz w:val="24"/>
                <w:lang w:eastAsia="zh-CN"/>
              </w:rPr>
            </w:pPr>
          </w:p>
          <w:p w14:paraId="3C14AE04">
            <w:pPr>
              <w:spacing w:line="500" w:lineRule="exact"/>
              <w:ind w:firstLine="480" w:firstLineChars="200"/>
              <w:rPr>
                <w:sz w:val="24"/>
              </w:rPr>
            </w:pPr>
          </w:p>
          <w:p w14:paraId="3B92A4E5">
            <w:pPr>
              <w:spacing w:line="500" w:lineRule="exact"/>
              <w:rPr>
                <w:sz w:val="24"/>
              </w:rPr>
            </w:pPr>
          </w:p>
        </w:tc>
      </w:tr>
    </w:tbl>
    <w:p w14:paraId="033744DD">
      <w:pPr>
        <w:pStyle w:val="36"/>
        <w:jc w:val="center"/>
        <w:outlineLvl w:val="0"/>
        <w:rPr>
          <w:rFonts w:ascii="黑体" w:hAnsi="黑体" w:eastAsia="黑体"/>
          <w:snapToGrid w:val="0"/>
          <w:sz w:val="30"/>
          <w:szCs w:val="30"/>
        </w:rPr>
      </w:pPr>
      <w:r>
        <w:br w:type="page"/>
      </w:r>
      <w:r>
        <w:rPr>
          <w:rFonts w:hint="eastAsia" w:ascii="黑体" w:hAnsi="黑体" w:eastAsia="黑体"/>
          <w:snapToGrid w:val="0"/>
          <w:sz w:val="30"/>
          <w:szCs w:val="30"/>
        </w:rPr>
        <w:t>六、结论</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65"/>
      </w:tblGrid>
      <w:tr w14:paraId="3EA57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91" w:hRule="atLeast"/>
          <w:jc w:val="center"/>
        </w:trPr>
        <w:tc>
          <w:tcPr>
            <w:tcW w:w="8865" w:type="dxa"/>
            <w:shd w:val="clear" w:color="auto" w:fill="auto"/>
            <w:noWrap w:val="0"/>
            <w:vAlign w:val="center"/>
          </w:tcPr>
          <w:p w14:paraId="3D2F529E">
            <w:pPr>
              <w:spacing w:line="420" w:lineRule="exact"/>
              <w:ind w:firstLine="482" w:firstLineChars="200"/>
              <w:rPr>
                <w:b/>
                <w:bCs/>
                <w:color w:val="auto"/>
                <w:sz w:val="24"/>
              </w:rPr>
            </w:pPr>
            <w:r>
              <w:rPr>
                <w:b/>
                <w:bCs/>
                <w:color w:val="auto"/>
                <w:sz w:val="24"/>
              </w:rPr>
              <w:t>本项目的建设符合国家的产业发展政策，具有良好的社会效益和经济效益，在满足环评提出的各项要求、严格落实污染防治措施，项目运营期污染物可做到</w:t>
            </w:r>
            <w:r>
              <w:rPr>
                <w:rFonts w:hint="eastAsia"/>
                <w:b/>
                <w:bCs/>
                <w:color w:val="auto"/>
                <w:sz w:val="24"/>
                <w:lang w:eastAsia="zh-CN"/>
              </w:rPr>
              <w:t>“</w:t>
            </w:r>
            <w:r>
              <w:rPr>
                <w:b/>
                <w:bCs/>
                <w:color w:val="auto"/>
                <w:sz w:val="24"/>
              </w:rPr>
              <w:t>达标排放</w:t>
            </w:r>
            <w:r>
              <w:rPr>
                <w:rFonts w:hint="eastAsia"/>
                <w:b/>
                <w:bCs/>
                <w:color w:val="auto"/>
                <w:sz w:val="24"/>
                <w:lang w:eastAsia="zh-CN"/>
              </w:rPr>
              <w:t>”</w:t>
            </w:r>
            <w:r>
              <w:rPr>
                <w:b/>
                <w:bCs/>
                <w:color w:val="auto"/>
                <w:sz w:val="24"/>
              </w:rPr>
              <w:t>，不会改变区域环境质量功能，对环境影响较小</w:t>
            </w:r>
            <w:r>
              <w:rPr>
                <w:rFonts w:hint="eastAsia"/>
                <w:b/>
                <w:bCs/>
                <w:color w:val="auto"/>
                <w:sz w:val="24"/>
                <w:lang w:eastAsia="zh-CN"/>
              </w:rPr>
              <w:t>，</w:t>
            </w:r>
            <w:r>
              <w:rPr>
                <w:b/>
                <w:bCs/>
                <w:color w:val="auto"/>
                <w:sz w:val="24"/>
              </w:rPr>
              <w:t>从环境影响的角度分析，项目建设是可行的。</w:t>
            </w:r>
          </w:p>
          <w:p w14:paraId="37E6D486">
            <w:pPr>
              <w:adjustRightInd w:val="0"/>
              <w:snapToGrid w:val="0"/>
              <w:spacing w:line="360" w:lineRule="auto"/>
              <w:ind w:firstLine="480" w:firstLineChars="200"/>
              <w:jc w:val="left"/>
              <w:rPr>
                <w:rFonts w:ascii="宋体" w:hAnsi="宋体" w:cs="宋体"/>
                <w:kern w:val="0"/>
                <w:sz w:val="24"/>
              </w:rPr>
            </w:pPr>
          </w:p>
          <w:p w14:paraId="6AE3572E">
            <w:pPr>
              <w:adjustRightInd w:val="0"/>
              <w:snapToGrid w:val="0"/>
              <w:spacing w:line="360" w:lineRule="auto"/>
              <w:ind w:firstLine="480" w:firstLineChars="200"/>
              <w:jc w:val="left"/>
              <w:rPr>
                <w:rFonts w:ascii="宋体" w:hAnsi="宋体" w:cs="宋体"/>
                <w:kern w:val="0"/>
                <w:sz w:val="24"/>
              </w:rPr>
            </w:pPr>
          </w:p>
          <w:p w14:paraId="7F7E9294">
            <w:pPr>
              <w:adjustRightInd w:val="0"/>
              <w:snapToGrid w:val="0"/>
              <w:spacing w:line="360" w:lineRule="auto"/>
              <w:ind w:firstLine="480" w:firstLineChars="200"/>
              <w:jc w:val="left"/>
              <w:rPr>
                <w:rFonts w:ascii="宋体" w:hAnsi="宋体" w:cs="宋体"/>
                <w:kern w:val="0"/>
                <w:sz w:val="24"/>
              </w:rPr>
            </w:pPr>
          </w:p>
          <w:p w14:paraId="3B052A40">
            <w:pPr>
              <w:adjustRightInd w:val="0"/>
              <w:snapToGrid w:val="0"/>
              <w:spacing w:line="360" w:lineRule="auto"/>
              <w:ind w:firstLine="480" w:firstLineChars="200"/>
              <w:jc w:val="left"/>
              <w:rPr>
                <w:rFonts w:ascii="宋体" w:hAnsi="宋体" w:cs="宋体"/>
                <w:kern w:val="0"/>
                <w:sz w:val="24"/>
              </w:rPr>
            </w:pPr>
          </w:p>
          <w:p w14:paraId="684EFEBE">
            <w:pPr>
              <w:adjustRightInd w:val="0"/>
              <w:snapToGrid w:val="0"/>
              <w:spacing w:line="360" w:lineRule="auto"/>
              <w:ind w:firstLine="480" w:firstLineChars="200"/>
              <w:jc w:val="left"/>
              <w:rPr>
                <w:rFonts w:ascii="宋体" w:hAnsi="宋体" w:cs="宋体"/>
                <w:kern w:val="0"/>
                <w:sz w:val="24"/>
              </w:rPr>
            </w:pPr>
          </w:p>
          <w:p w14:paraId="1097F440">
            <w:pPr>
              <w:adjustRightInd w:val="0"/>
              <w:snapToGrid w:val="0"/>
              <w:spacing w:line="360" w:lineRule="auto"/>
              <w:ind w:firstLine="480" w:firstLineChars="200"/>
              <w:jc w:val="left"/>
              <w:rPr>
                <w:rFonts w:ascii="宋体" w:hAnsi="宋体" w:cs="宋体"/>
                <w:kern w:val="0"/>
                <w:sz w:val="24"/>
              </w:rPr>
            </w:pPr>
          </w:p>
          <w:p w14:paraId="67E74F0D">
            <w:pPr>
              <w:adjustRightInd w:val="0"/>
              <w:snapToGrid w:val="0"/>
              <w:spacing w:line="360" w:lineRule="auto"/>
              <w:ind w:firstLine="480" w:firstLineChars="200"/>
              <w:jc w:val="left"/>
              <w:rPr>
                <w:rFonts w:ascii="宋体" w:cs="宋体"/>
                <w:sz w:val="24"/>
              </w:rPr>
            </w:pPr>
          </w:p>
        </w:tc>
      </w:tr>
    </w:tbl>
    <w:p w14:paraId="2E6C2F83">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59D55C1">
      <w:pPr>
        <w:pStyle w:val="36"/>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6DDF3BFE">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83"/>
        <w:gridCol w:w="1002"/>
      </w:tblGrid>
      <w:tr w14:paraId="2FFEF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noWrap w:val="0"/>
            <w:tcMar>
              <w:left w:w="28" w:type="dxa"/>
              <w:right w:w="28" w:type="dxa"/>
            </w:tcMar>
            <w:vAlign w:val="center"/>
          </w:tcPr>
          <w:p w14:paraId="014C6788">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jc w:val="right"/>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项目</w:t>
            </w:r>
          </w:p>
          <w:p w14:paraId="5760C02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jc w:val="left"/>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分类</w:t>
            </w:r>
          </w:p>
        </w:tc>
        <w:tc>
          <w:tcPr>
            <w:tcW w:w="1417" w:type="dxa"/>
            <w:noWrap w:val="0"/>
            <w:tcMar>
              <w:left w:w="28" w:type="dxa"/>
              <w:right w:w="28" w:type="dxa"/>
            </w:tcMar>
            <w:vAlign w:val="center"/>
          </w:tcPr>
          <w:p w14:paraId="13BEB0F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污染物名称</w:t>
            </w:r>
          </w:p>
        </w:tc>
        <w:tc>
          <w:tcPr>
            <w:tcW w:w="1701" w:type="dxa"/>
            <w:noWrap w:val="0"/>
            <w:tcMar>
              <w:left w:w="28" w:type="dxa"/>
              <w:right w:w="28" w:type="dxa"/>
            </w:tcMar>
            <w:vAlign w:val="center"/>
          </w:tcPr>
          <w:p w14:paraId="77E4D48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现有工程</w:t>
            </w:r>
          </w:p>
          <w:p w14:paraId="715ABA5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排放量（固体废物产生量）</w:t>
            </w:r>
            <w:r>
              <w:rPr>
                <w:rFonts w:hint="default" w:ascii="Times New Roman" w:hAnsi="Times New Roman" w:cs="Times New Roman"/>
                <w:snapToGrid w:val="0"/>
                <w:spacing w:val="0"/>
                <w:kern w:val="21"/>
                <w:sz w:val="21"/>
                <w:szCs w:val="21"/>
                <w:lang w:val="en-US" w:eastAsia="zh-CN"/>
              </w:rPr>
              <w:fldChar w:fldCharType="begin"/>
            </w:r>
            <w:r>
              <w:rPr>
                <w:rFonts w:hint="default" w:ascii="Times New Roman" w:hAnsi="Times New Roman" w:cs="Times New Roman"/>
                <w:snapToGrid w:val="0"/>
                <w:spacing w:val="0"/>
                <w:kern w:val="21"/>
                <w:sz w:val="21"/>
                <w:szCs w:val="21"/>
                <w:lang w:val="en-US" w:eastAsia="zh-CN"/>
              </w:rPr>
              <w:instrText xml:space="preserve"> = 1 \* GB3 \* MERGEFORMAT </w:instrText>
            </w:r>
            <w:r>
              <w:rPr>
                <w:rFonts w:hint="default" w:ascii="Times New Roman" w:hAnsi="Times New Roman" w:cs="Times New Roman"/>
                <w:snapToGrid w:val="0"/>
                <w:spacing w:val="0"/>
                <w:kern w:val="21"/>
                <w:sz w:val="21"/>
                <w:szCs w:val="21"/>
                <w:lang w:val="en-US" w:eastAsia="zh-CN"/>
              </w:rPr>
              <w:fldChar w:fldCharType="separate"/>
            </w:r>
            <w:r>
              <w:rPr>
                <w:rFonts w:hint="default" w:ascii="Times New Roman" w:hAnsi="Times New Roman" w:cs="Times New Roman"/>
                <w:spacing w:val="0"/>
                <w:kern w:val="2"/>
                <w:sz w:val="21"/>
                <w:szCs w:val="21"/>
                <w:lang w:val="en-US" w:eastAsia="zh-CN"/>
              </w:rPr>
              <w:t>①</w:t>
            </w:r>
            <w:r>
              <w:rPr>
                <w:rFonts w:hint="default" w:ascii="Times New Roman" w:hAnsi="Times New Roman" w:cs="Times New Roman"/>
                <w:snapToGrid w:val="0"/>
                <w:spacing w:val="0"/>
                <w:kern w:val="21"/>
                <w:sz w:val="21"/>
                <w:szCs w:val="21"/>
                <w:lang w:val="en-US" w:eastAsia="zh-CN"/>
              </w:rPr>
              <w:fldChar w:fldCharType="end"/>
            </w:r>
          </w:p>
        </w:tc>
        <w:tc>
          <w:tcPr>
            <w:tcW w:w="1276" w:type="dxa"/>
            <w:noWrap w:val="0"/>
            <w:tcMar>
              <w:left w:w="28" w:type="dxa"/>
              <w:right w:w="28" w:type="dxa"/>
            </w:tcMar>
            <w:vAlign w:val="center"/>
          </w:tcPr>
          <w:p w14:paraId="71EDCE9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现有工程</w:t>
            </w:r>
          </w:p>
          <w:p w14:paraId="7C4D72C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许可排放量</w:t>
            </w:r>
          </w:p>
          <w:p w14:paraId="51E687A4">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fldChar w:fldCharType="begin"/>
            </w:r>
            <w:r>
              <w:rPr>
                <w:rFonts w:hint="default" w:ascii="Times New Roman" w:hAnsi="Times New Roman" w:cs="Times New Roman"/>
                <w:snapToGrid w:val="0"/>
                <w:spacing w:val="0"/>
                <w:kern w:val="21"/>
                <w:sz w:val="21"/>
                <w:szCs w:val="21"/>
                <w:lang w:val="en-US" w:eastAsia="zh-CN"/>
              </w:rPr>
              <w:instrText xml:space="preserve"> = 2 \* GB3 \* MERGEFORMAT </w:instrText>
            </w:r>
            <w:r>
              <w:rPr>
                <w:rFonts w:hint="default" w:ascii="Times New Roman" w:hAnsi="Times New Roman" w:cs="Times New Roman"/>
                <w:snapToGrid w:val="0"/>
                <w:spacing w:val="0"/>
                <w:kern w:val="21"/>
                <w:sz w:val="21"/>
                <w:szCs w:val="21"/>
                <w:lang w:val="en-US" w:eastAsia="zh-CN"/>
              </w:rPr>
              <w:fldChar w:fldCharType="separate"/>
            </w:r>
            <w:r>
              <w:rPr>
                <w:rFonts w:hint="default" w:ascii="Times New Roman" w:hAnsi="Times New Roman" w:cs="Times New Roman"/>
                <w:snapToGrid w:val="0"/>
                <w:spacing w:val="0"/>
                <w:kern w:val="21"/>
                <w:sz w:val="21"/>
                <w:szCs w:val="21"/>
                <w:lang w:val="en-US" w:eastAsia="zh-CN"/>
              </w:rPr>
              <w:t>②</w:t>
            </w:r>
            <w:r>
              <w:rPr>
                <w:rFonts w:hint="default" w:ascii="Times New Roman" w:hAnsi="Times New Roman" w:cs="Times New Roman"/>
                <w:snapToGrid w:val="0"/>
                <w:spacing w:val="0"/>
                <w:kern w:val="21"/>
                <w:sz w:val="21"/>
                <w:szCs w:val="21"/>
                <w:lang w:val="en-US" w:eastAsia="zh-CN"/>
              </w:rPr>
              <w:fldChar w:fldCharType="end"/>
            </w:r>
          </w:p>
        </w:tc>
        <w:tc>
          <w:tcPr>
            <w:tcW w:w="1701" w:type="dxa"/>
            <w:noWrap w:val="0"/>
            <w:tcMar>
              <w:left w:w="28" w:type="dxa"/>
              <w:right w:w="28" w:type="dxa"/>
            </w:tcMar>
            <w:vAlign w:val="center"/>
          </w:tcPr>
          <w:p w14:paraId="48EBCFA6">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在建工程</w:t>
            </w:r>
          </w:p>
          <w:p w14:paraId="5779CA9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排放量（固体废物产生量）</w:t>
            </w:r>
            <w:r>
              <w:rPr>
                <w:rFonts w:hint="default" w:ascii="Times New Roman" w:hAnsi="Times New Roman" w:cs="Times New Roman"/>
                <w:snapToGrid w:val="0"/>
                <w:spacing w:val="0"/>
                <w:kern w:val="21"/>
                <w:sz w:val="21"/>
                <w:szCs w:val="21"/>
                <w:lang w:val="en-US" w:eastAsia="zh-CN"/>
              </w:rPr>
              <w:fldChar w:fldCharType="begin"/>
            </w:r>
            <w:r>
              <w:rPr>
                <w:rFonts w:hint="default" w:ascii="Times New Roman" w:hAnsi="Times New Roman" w:cs="Times New Roman"/>
                <w:snapToGrid w:val="0"/>
                <w:spacing w:val="0"/>
                <w:kern w:val="21"/>
                <w:sz w:val="21"/>
                <w:szCs w:val="21"/>
                <w:lang w:val="en-US" w:eastAsia="zh-CN"/>
              </w:rPr>
              <w:instrText xml:space="preserve"> = 3 \* GB3 \* MERGEFORMAT </w:instrText>
            </w:r>
            <w:r>
              <w:rPr>
                <w:rFonts w:hint="default" w:ascii="Times New Roman" w:hAnsi="Times New Roman" w:cs="Times New Roman"/>
                <w:snapToGrid w:val="0"/>
                <w:spacing w:val="0"/>
                <w:kern w:val="21"/>
                <w:sz w:val="21"/>
                <w:szCs w:val="21"/>
                <w:lang w:val="en-US" w:eastAsia="zh-CN"/>
              </w:rPr>
              <w:fldChar w:fldCharType="separate"/>
            </w:r>
            <w:r>
              <w:rPr>
                <w:rFonts w:hint="default" w:ascii="Times New Roman" w:hAnsi="Times New Roman" w:cs="Times New Roman"/>
                <w:spacing w:val="0"/>
                <w:kern w:val="2"/>
                <w:sz w:val="21"/>
                <w:szCs w:val="21"/>
                <w:lang w:val="en-US" w:eastAsia="zh-CN"/>
              </w:rPr>
              <w:t>③</w:t>
            </w:r>
            <w:r>
              <w:rPr>
                <w:rFonts w:hint="default" w:ascii="Times New Roman" w:hAnsi="Times New Roman" w:cs="Times New Roman"/>
                <w:snapToGrid w:val="0"/>
                <w:spacing w:val="0"/>
                <w:kern w:val="21"/>
                <w:sz w:val="21"/>
                <w:szCs w:val="21"/>
                <w:lang w:val="en-US" w:eastAsia="zh-CN"/>
              </w:rPr>
              <w:fldChar w:fldCharType="end"/>
            </w:r>
          </w:p>
        </w:tc>
        <w:tc>
          <w:tcPr>
            <w:tcW w:w="1559" w:type="dxa"/>
            <w:noWrap w:val="0"/>
            <w:tcMar>
              <w:left w:w="28" w:type="dxa"/>
              <w:right w:w="28" w:type="dxa"/>
            </w:tcMar>
            <w:vAlign w:val="center"/>
          </w:tcPr>
          <w:p w14:paraId="0F6C67C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本项目</w:t>
            </w:r>
          </w:p>
          <w:p w14:paraId="70E3CE8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排放量（固体废物产生量）</w:t>
            </w:r>
            <w:r>
              <w:rPr>
                <w:rFonts w:hint="default" w:ascii="Times New Roman" w:hAnsi="Times New Roman" w:cs="Times New Roman"/>
                <w:snapToGrid w:val="0"/>
                <w:spacing w:val="0"/>
                <w:kern w:val="21"/>
                <w:sz w:val="21"/>
                <w:szCs w:val="21"/>
                <w:lang w:val="en-US" w:eastAsia="zh-CN"/>
              </w:rPr>
              <w:fldChar w:fldCharType="begin"/>
            </w:r>
            <w:r>
              <w:rPr>
                <w:rFonts w:hint="default" w:ascii="Times New Roman" w:hAnsi="Times New Roman" w:cs="Times New Roman"/>
                <w:snapToGrid w:val="0"/>
                <w:spacing w:val="0"/>
                <w:kern w:val="21"/>
                <w:sz w:val="21"/>
                <w:szCs w:val="21"/>
                <w:lang w:val="en-US" w:eastAsia="zh-CN"/>
              </w:rPr>
              <w:instrText xml:space="preserve"> = 4 \* GB3 \* MERGEFORMAT </w:instrText>
            </w:r>
            <w:r>
              <w:rPr>
                <w:rFonts w:hint="default" w:ascii="Times New Roman" w:hAnsi="Times New Roman" w:cs="Times New Roman"/>
                <w:snapToGrid w:val="0"/>
                <w:spacing w:val="0"/>
                <w:kern w:val="21"/>
                <w:sz w:val="21"/>
                <w:szCs w:val="21"/>
                <w:lang w:val="en-US" w:eastAsia="zh-CN"/>
              </w:rPr>
              <w:fldChar w:fldCharType="separate"/>
            </w:r>
            <w:r>
              <w:rPr>
                <w:rFonts w:hint="default" w:ascii="Times New Roman" w:hAnsi="Times New Roman" w:cs="Times New Roman"/>
                <w:spacing w:val="0"/>
                <w:kern w:val="2"/>
                <w:sz w:val="21"/>
                <w:szCs w:val="21"/>
                <w:lang w:val="en-US" w:eastAsia="zh-CN"/>
              </w:rPr>
              <w:t>④</w:t>
            </w:r>
            <w:r>
              <w:rPr>
                <w:rFonts w:hint="default" w:ascii="Times New Roman" w:hAnsi="Times New Roman" w:cs="Times New Roman"/>
                <w:snapToGrid w:val="0"/>
                <w:spacing w:val="0"/>
                <w:kern w:val="21"/>
                <w:sz w:val="21"/>
                <w:szCs w:val="21"/>
                <w:lang w:val="en-US" w:eastAsia="zh-CN"/>
              </w:rPr>
              <w:fldChar w:fldCharType="end"/>
            </w:r>
          </w:p>
        </w:tc>
        <w:tc>
          <w:tcPr>
            <w:tcW w:w="1761" w:type="dxa"/>
            <w:noWrap w:val="0"/>
            <w:tcMar>
              <w:left w:w="28" w:type="dxa"/>
              <w:right w:w="28" w:type="dxa"/>
            </w:tcMar>
            <w:vAlign w:val="center"/>
          </w:tcPr>
          <w:p w14:paraId="15960E1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以新带老削减量</w:t>
            </w:r>
          </w:p>
          <w:p w14:paraId="39B20F9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（新建项目不填）</w:t>
            </w:r>
            <w:r>
              <w:rPr>
                <w:rFonts w:hint="default" w:ascii="Times New Roman" w:hAnsi="Times New Roman" w:cs="Times New Roman"/>
                <w:snapToGrid w:val="0"/>
                <w:spacing w:val="0"/>
                <w:kern w:val="21"/>
                <w:sz w:val="21"/>
                <w:szCs w:val="21"/>
                <w:lang w:val="en-US" w:eastAsia="zh-CN"/>
              </w:rPr>
              <w:fldChar w:fldCharType="begin"/>
            </w:r>
            <w:r>
              <w:rPr>
                <w:rFonts w:hint="default" w:ascii="Times New Roman" w:hAnsi="Times New Roman" w:cs="Times New Roman"/>
                <w:snapToGrid w:val="0"/>
                <w:spacing w:val="0"/>
                <w:kern w:val="21"/>
                <w:sz w:val="21"/>
                <w:szCs w:val="21"/>
                <w:lang w:val="en-US" w:eastAsia="zh-CN"/>
              </w:rPr>
              <w:instrText xml:space="preserve"> = 5 \* GB3 \* MERGEFORMAT </w:instrText>
            </w:r>
            <w:r>
              <w:rPr>
                <w:rFonts w:hint="default" w:ascii="Times New Roman" w:hAnsi="Times New Roman" w:cs="Times New Roman"/>
                <w:snapToGrid w:val="0"/>
                <w:spacing w:val="0"/>
                <w:kern w:val="21"/>
                <w:sz w:val="21"/>
                <w:szCs w:val="21"/>
                <w:lang w:val="en-US" w:eastAsia="zh-CN"/>
              </w:rPr>
              <w:fldChar w:fldCharType="separate"/>
            </w:r>
            <w:r>
              <w:rPr>
                <w:rFonts w:hint="default" w:ascii="Times New Roman" w:hAnsi="Times New Roman" w:cs="Times New Roman"/>
                <w:spacing w:val="0"/>
                <w:kern w:val="2"/>
                <w:sz w:val="21"/>
                <w:szCs w:val="21"/>
                <w:lang w:val="en-US" w:eastAsia="zh-CN"/>
              </w:rPr>
              <w:t>⑤</w:t>
            </w:r>
            <w:r>
              <w:rPr>
                <w:rFonts w:hint="default" w:ascii="Times New Roman" w:hAnsi="Times New Roman" w:cs="Times New Roman"/>
                <w:snapToGrid w:val="0"/>
                <w:spacing w:val="0"/>
                <w:kern w:val="21"/>
                <w:sz w:val="21"/>
                <w:szCs w:val="21"/>
                <w:lang w:val="en-US" w:eastAsia="zh-CN"/>
              </w:rPr>
              <w:fldChar w:fldCharType="end"/>
            </w:r>
          </w:p>
        </w:tc>
        <w:tc>
          <w:tcPr>
            <w:tcW w:w="1783" w:type="dxa"/>
            <w:noWrap w:val="0"/>
            <w:tcMar>
              <w:left w:w="28" w:type="dxa"/>
              <w:right w:w="28" w:type="dxa"/>
            </w:tcMar>
            <w:vAlign w:val="center"/>
          </w:tcPr>
          <w:p w14:paraId="786F262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本项目建成后</w:t>
            </w:r>
          </w:p>
          <w:p w14:paraId="25CE284E">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全厂排放量（固体废物产生量）</w:t>
            </w:r>
            <w:r>
              <w:rPr>
                <w:rFonts w:hint="default" w:ascii="Times New Roman" w:hAnsi="Times New Roman" w:cs="Times New Roman"/>
                <w:snapToGrid w:val="0"/>
                <w:spacing w:val="0"/>
                <w:kern w:val="21"/>
                <w:sz w:val="21"/>
                <w:szCs w:val="21"/>
                <w:lang w:val="en-US" w:eastAsia="zh-CN"/>
              </w:rPr>
              <w:fldChar w:fldCharType="begin"/>
            </w:r>
            <w:r>
              <w:rPr>
                <w:rFonts w:hint="default" w:ascii="Times New Roman" w:hAnsi="Times New Roman" w:cs="Times New Roman"/>
                <w:snapToGrid w:val="0"/>
                <w:spacing w:val="0"/>
                <w:kern w:val="21"/>
                <w:sz w:val="21"/>
                <w:szCs w:val="21"/>
                <w:lang w:val="en-US" w:eastAsia="zh-CN"/>
              </w:rPr>
              <w:instrText xml:space="preserve"> = 6 \* GB3 \* MERGEFORMAT </w:instrText>
            </w:r>
            <w:r>
              <w:rPr>
                <w:rFonts w:hint="default" w:ascii="Times New Roman" w:hAnsi="Times New Roman" w:cs="Times New Roman"/>
                <w:snapToGrid w:val="0"/>
                <w:spacing w:val="0"/>
                <w:kern w:val="21"/>
                <w:sz w:val="21"/>
                <w:szCs w:val="21"/>
                <w:lang w:val="en-US" w:eastAsia="zh-CN"/>
              </w:rPr>
              <w:fldChar w:fldCharType="separate"/>
            </w:r>
            <w:r>
              <w:rPr>
                <w:rFonts w:hint="default" w:ascii="Times New Roman" w:hAnsi="Times New Roman" w:cs="Times New Roman"/>
                <w:spacing w:val="0"/>
                <w:kern w:val="2"/>
                <w:sz w:val="21"/>
                <w:szCs w:val="21"/>
                <w:lang w:val="en-US" w:eastAsia="zh-CN"/>
              </w:rPr>
              <w:t>⑥</w:t>
            </w:r>
            <w:r>
              <w:rPr>
                <w:rFonts w:hint="default" w:ascii="Times New Roman" w:hAnsi="Times New Roman" w:cs="Times New Roman"/>
                <w:snapToGrid w:val="0"/>
                <w:spacing w:val="0"/>
                <w:kern w:val="21"/>
                <w:sz w:val="21"/>
                <w:szCs w:val="21"/>
                <w:lang w:val="en-US" w:eastAsia="zh-CN"/>
              </w:rPr>
              <w:fldChar w:fldCharType="end"/>
            </w:r>
          </w:p>
        </w:tc>
        <w:tc>
          <w:tcPr>
            <w:tcW w:w="1002" w:type="dxa"/>
            <w:noWrap w:val="0"/>
            <w:tcMar>
              <w:left w:w="28" w:type="dxa"/>
              <w:right w:w="28" w:type="dxa"/>
            </w:tcMar>
            <w:vAlign w:val="center"/>
          </w:tcPr>
          <w:p w14:paraId="17DF8397">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变化量</w:t>
            </w:r>
          </w:p>
          <w:p w14:paraId="4FB2D53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fldChar w:fldCharType="begin"/>
            </w:r>
            <w:r>
              <w:rPr>
                <w:rFonts w:hint="default" w:ascii="Times New Roman" w:hAnsi="Times New Roman" w:cs="Times New Roman"/>
                <w:snapToGrid w:val="0"/>
                <w:spacing w:val="0"/>
                <w:kern w:val="21"/>
                <w:sz w:val="21"/>
                <w:szCs w:val="21"/>
                <w:lang w:val="en-US" w:eastAsia="zh-CN"/>
              </w:rPr>
              <w:instrText xml:space="preserve"> = 7 \* GB3 \* MERGEFORMAT </w:instrText>
            </w:r>
            <w:r>
              <w:rPr>
                <w:rFonts w:hint="default" w:ascii="Times New Roman" w:hAnsi="Times New Roman" w:cs="Times New Roman"/>
                <w:snapToGrid w:val="0"/>
                <w:spacing w:val="0"/>
                <w:kern w:val="21"/>
                <w:sz w:val="21"/>
                <w:szCs w:val="21"/>
                <w:lang w:val="en-US" w:eastAsia="zh-CN"/>
              </w:rPr>
              <w:fldChar w:fldCharType="separate"/>
            </w:r>
            <w:r>
              <w:rPr>
                <w:rFonts w:hint="default" w:ascii="Times New Roman" w:hAnsi="Times New Roman" w:cs="Times New Roman"/>
                <w:spacing w:val="0"/>
                <w:kern w:val="2"/>
                <w:sz w:val="21"/>
                <w:szCs w:val="21"/>
                <w:lang w:val="en-US" w:eastAsia="zh-CN"/>
              </w:rPr>
              <w:t>⑦</w:t>
            </w:r>
            <w:r>
              <w:rPr>
                <w:rFonts w:hint="default" w:ascii="Times New Roman" w:hAnsi="Times New Roman" w:cs="Times New Roman"/>
                <w:snapToGrid w:val="0"/>
                <w:spacing w:val="0"/>
                <w:kern w:val="21"/>
                <w:sz w:val="21"/>
                <w:szCs w:val="21"/>
                <w:lang w:val="en-US" w:eastAsia="zh-CN"/>
              </w:rPr>
              <w:fldChar w:fldCharType="end"/>
            </w:r>
          </w:p>
        </w:tc>
      </w:tr>
      <w:tr w14:paraId="77A91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786BD92B">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废气</w:t>
            </w:r>
          </w:p>
        </w:tc>
        <w:tc>
          <w:tcPr>
            <w:tcW w:w="1417" w:type="dxa"/>
            <w:noWrap w:val="0"/>
            <w:vAlign w:val="center"/>
          </w:tcPr>
          <w:p w14:paraId="7AD1346A">
            <w:pPr>
              <w:jc w:val="center"/>
              <w:rPr>
                <w:rFonts w:hint="default" w:ascii="Times New Roman" w:hAnsi="Times New Roman" w:cs="Times New Roman"/>
                <w:spacing w:val="0"/>
                <w:sz w:val="21"/>
                <w:szCs w:val="21"/>
              </w:rPr>
            </w:pPr>
            <w:r>
              <w:rPr>
                <w:rFonts w:hint="eastAsia" w:ascii="Times New Roman" w:hAnsi="Times New Roman"/>
                <w:color w:val="000000"/>
                <w:spacing w:val="0"/>
                <w:sz w:val="21"/>
                <w:szCs w:val="21"/>
                <w:lang w:val="en-US" w:eastAsia="zh-CN"/>
              </w:rPr>
              <w:t>甲醇</w:t>
            </w:r>
          </w:p>
        </w:tc>
        <w:tc>
          <w:tcPr>
            <w:tcW w:w="1701" w:type="dxa"/>
            <w:noWrap w:val="0"/>
            <w:vAlign w:val="center"/>
          </w:tcPr>
          <w:p w14:paraId="37117DA9">
            <w:pPr>
              <w:jc w:val="center"/>
              <w:rPr>
                <w:rFonts w:hint="default" w:ascii="Times New Roman" w:hAnsi="Times New Roman" w:cs="Times New Roman"/>
                <w:spacing w:val="0"/>
                <w:sz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0.8234</w:t>
            </w:r>
          </w:p>
        </w:tc>
        <w:tc>
          <w:tcPr>
            <w:tcW w:w="1276" w:type="dxa"/>
            <w:noWrap w:val="0"/>
            <w:vAlign w:val="center"/>
          </w:tcPr>
          <w:p w14:paraId="14864FDE">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701" w:type="dxa"/>
            <w:noWrap w:val="0"/>
            <w:vAlign w:val="center"/>
          </w:tcPr>
          <w:p w14:paraId="0B09F9C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559" w:type="dxa"/>
            <w:noWrap w:val="0"/>
            <w:vAlign w:val="center"/>
          </w:tcPr>
          <w:p w14:paraId="3617DB03">
            <w:pPr>
              <w:jc w:val="center"/>
              <w:rPr>
                <w:rFonts w:hint="default" w:ascii="Times New Roman" w:hAnsi="Times New Roman" w:cs="Times New Roman"/>
                <w:snapToGrid w:val="0"/>
                <w:spacing w:val="0"/>
                <w:kern w:val="21"/>
                <w:sz w:val="21"/>
                <w:szCs w:val="21"/>
                <w:highlight w:val="yellow"/>
                <w:lang w:val="en-US" w:eastAsia="zh-CN"/>
              </w:rPr>
            </w:pPr>
            <w:r>
              <w:rPr>
                <w:rFonts w:hint="eastAsia" w:ascii="Times New Roman" w:hAnsi="Times New Roman" w:eastAsia="宋体" w:cs="Times New Roman"/>
                <w:i w:val="0"/>
                <w:iCs w:val="0"/>
                <w:color w:val="000000"/>
                <w:spacing w:val="0"/>
                <w:kern w:val="0"/>
                <w:sz w:val="21"/>
                <w:szCs w:val="21"/>
                <w:highlight w:val="none"/>
                <w:u w:val="none"/>
                <w:lang w:val="en-US" w:eastAsia="zh-CN" w:bidi="ar"/>
              </w:rPr>
              <w:t>0.0</w:t>
            </w:r>
          </w:p>
        </w:tc>
        <w:tc>
          <w:tcPr>
            <w:tcW w:w="1761" w:type="dxa"/>
            <w:noWrap w:val="0"/>
            <w:vAlign w:val="center"/>
          </w:tcPr>
          <w:p w14:paraId="5FE696A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highlight w:val="yellow"/>
                <w:lang w:val="en-US" w:eastAsia="zh-CN"/>
              </w:rPr>
            </w:pPr>
            <w:r>
              <w:rPr>
                <w:rFonts w:hint="eastAsia" w:ascii="Times New Roman" w:hAnsi="Times New Roman"/>
                <w:snapToGrid w:val="0"/>
                <w:spacing w:val="0"/>
                <w:kern w:val="21"/>
                <w:sz w:val="21"/>
                <w:szCs w:val="21"/>
                <w:highlight w:val="none"/>
                <w:lang w:val="en-US" w:eastAsia="zh-CN"/>
              </w:rPr>
              <w:t>0.0</w:t>
            </w:r>
          </w:p>
        </w:tc>
        <w:tc>
          <w:tcPr>
            <w:tcW w:w="1783" w:type="dxa"/>
            <w:noWrap w:val="0"/>
            <w:vAlign w:val="center"/>
          </w:tcPr>
          <w:p w14:paraId="65E62CA9">
            <w:pPr>
              <w:jc w:val="center"/>
              <w:rPr>
                <w:rFonts w:hint="default" w:ascii="Times New Roman" w:hAnsi="Times New Roman" w:cs="Times New Roman"/>
                <w:spacing w:val="0"/>
                <w:sz w:val="21"/>
                <w:szCs w:val="21"/>
                <w:highlight w:val="yellow"/>
              </w:rPr>
            </w:pPr>
            <w:r>
              <w:rPr>
                <w:rFonts w:hint="eastAsia" w:ascii="Times New Roman" w:hAnsi="Times New Roman" w:eastAsia="宋体" w:cs="Times New Roman"/>
                <w:i w:val="0"/>
                <w:iCs w:val="0"/>
                <w:color w:val="000000"/>
                <w:spacing w:val="0"/>
                <w:kern w:val="0"/>
                <w:sz w:val="21"/>
                <w:szCs w:val="21"/>
                <w:highlight w:val="none"/>
                <w:u w:val="none"/>
                <w:lang w:val="en-US" w:eastAsia="zh-CN" w:bidi="ar"/>
              </w:rPr>
              <w:t>0.8234</w:t>
            </w:r>
          </w:p>
        </w:tc>
        <w:tc>
          <w:tcPr>
            <w:tcW w:w="1002" w:type="dxa"/>
            <w:noWrap w:val="0"/>
            <w:vAlign w:val="center"/>
          </w:tcPr>
          <w:p w14:paraId="1DB306E8">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highlight w:val="yellow"/>
                <w:lang w:val="en-US" w:eastAsia="zh-CN"/>
              </w:rPr>
            </w:pPr>
            <w:r>
              <w:rPr>
                <w:rFonts w:hint="eastAsia" w:ascii="Times New Roman" w:hAnsi="Times New Roman"/>
                <w:snapToGrid w:val="0"/>
                <w:spacing w:val="0"/>
                <w:kern w:val="21"/>
                <w:sz w:val="21"/>
                <w:szCs w:val="21"/>
                <w:highlight w:val="none"/>
                <w:lang w:val="en-US" w:eastAsia="zh-CN"/>
              </w:rPr>
              <w:t>+0.0</w:t>
            </w:r>
          </w:p>
        </w:tc>
      </w:tr>
      <w:tr w14:paraId="41E09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58C4523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20F2095F">
            <w:pPr>
              <w:jc w:val="center"/>
              <w:rPr>
                <w:rFonts w:hint="default" w:ascii="Times New Roman" w:hAnsi="Times New Roman" w:cs="Times New Roman"/>
                <w:spacing w:val="0"/>
                <w:kern w:val="2"/>
                <w:sz w:val="21"/>
                <w:szCs w:val="21"/>
                <w:lang w:val="en-US" w:eastAsia="zh-CN" w:bidi="ar-SA"/>
              </w:rPr>
            </w:pPr>
            <w:r>
              <w:rPr>
                <w:rFonts w:hint="eastAsia" w:ascii="Times New Roman" w:hAnsi="Times New Roman"/>
                <w:color w:val="000000"/>
                <w:spacing w:val="0"/>
                <w:sz w:val="21"/>
                <w:szCs w:val="21"/>
                <w:lang w:val="en-US" w:eastAsia="zh-CN"/>
              </w:rPr>
              <w:t>甲醛</w:t>
            </w:r>
          </w:p>
        </w:tc>
        <w:tc>
          <w:tcPr>
            <w:tcW w:w="1701" w:type="dxa"/>
            <w:noWrap w:val="0"/>
            <w:vAlign w:val="center"/>
          </w:tcPr>
          <w:p w14:paraId="2A77AED1">
            <w:pPr>
              <w:jc w:val="center"/>
              <w:rPr>
                <w:rFonts w:hint="default" w:ascii="Times New Roman" w:hAnsi="Times New Roman" w:cs="Times New Roman"/>
                <w:spacing w:val="0"/>
                <w:sz w:val="21"/>
                <w:szCs w:val="21"/>
              </w:rPr>
            </w:pPr>
            <w:r>
              <w:rPr>
                <w:rFonts w:hint="eastAsia" w:ascii="Times New Roman" w:hAnsi="Times New Roman" w:eastAsia="宋体" w:cs="Times New Roman"/>
                <w:i w:val="0"/>
                <w:iCs w:val="0"/>
                <w:color w:val="000000"/>
                <w:kern w:val="0"/>
                <w:sz w:val="21"/>
                <w:szCs w:val="21"/>
                <w:highlight w:val="none"/>
                <w:u w:val="none"/>
                <w:lang w:val="en-US" w:eastAsia="zh-CN" w:bidi="ar"/>
              </w:rPr>
              <w:t>0.8554</w:t>
            </w:r>
          </w:p>
        </w:tc>
        <w:tc>
          <w:tcPr>
            <w:tcW w:w="1276" w:type="dxa"/>
            <w:noWrap w:val="0"/>
            <w:vAlign w:val="center"/>
          </w:tcPr>
          <w:p w14:paraId="652DB6D2">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701" w:type="dxa"/>
            <w:noWrap w:val="0"/>
            <w:vAlign w:val="center"/>
          </w:tcPr>
          <w:p w14:paraId="3F1FC5A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559" w:type="dxa"/>
            <w:noWrap w:val="0"/>
            <w:vAlign w:val="center"/>
          </w:tcPr>
          <w:p w14:paraId="32ED05E7">
            <w:pPr>
              <w:jc w:val="center"/>
              <w:rPr>
                <w:rFonts w:hint="default" w:ascii="Times New Roman" w:hAnsi="Times New Roman" w:cs="Times New Roman"/>
                <w:snapToGrid w:val="0"/>
                <w:spacing w:val="0"/>
                <w:kern w:val="21"/>
                <w:sz w:val="21"/>
                <w:szCs w:val="21"/>
                <w:lang w:val="en-US" w:eastAsia="zh-CN"/>
              </w:rPr>
            </w:pPr>
            <w:r>
              <w:rPr>
                <w:rFonts w:hint="eastAsia"/>
                <w:spacing w:val="0"/>
                <w:kern w:val="2"/>
                <w:sz w:val="21"/>
                <w:szCs w:val="21"/>
                <w:highlight w:val="none"/>
                <w:lang w:val="en-US" w:eastAsia="zh-CN" w:bidi="ar-SA"/>
              </w:rPr>
              <w:t>0.363</w:t>
            </w:r>
          </w:p>
        </w:tc>
        <w:tc>
          <w:tcPr>
            <w:tcW w:w="1761" w:type="dxa"/>
            <w:noWrap w:val="0"/>
            <w:vAlign w:val="center"/>
          </w:tcPr>
          <w:p w14:paraId="48E2A04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highlight w:val="none"/>
                <w:lang w:val="en-US" w:eastAsia="zh-CN"/>
              </w:rPr>
              <w:t>0.0</w:t>
            </w:r>
          </w:p>
        </w:tc>
        <w:tc>
          <w:tcPr>
            <w:tcW w:w="1783" w:type="dxa"/>
            <w:noWrap w:val="0"/>
            <w:vAlign w:val="center"/>
          </w:tcPr>
          <w:p w14:paraId="77507B5E">
            <w:pPr>
              <w:jc w:val="center"/>
              <w:rPr>
                <w:rFonts w:hint="default" w:ascii="Times New Roman" w:hAnsi="Times New Roman" w:cs="Times New Roman"/>
                <w:spacing w:val="0"/>
                <w:sz w:val="21"/>
                <w:szCs w:val="21"/>
              </w:rPr>
            </w:pPr>
            <w:r>
              <w:rPr>
                <w:rFonts w:hint="eastAsia"/>
                <w:spacing w:val="0"/>
                <w:kern w:val="2"/>
                <w:sz w:val="21"/>
                <w:szCs w:val="21"/>
                <w:highlight w:val="none"/>
                <w:lang w:val="en-US" w:eastAsia="zh-CN" w:bidi="ar-SA"/>
              </w:rPr>
              <w:t>1.218</w:t>
            </w:r>
          </w:p>
        </w:tc>
        <w:tc>
          <w:tcPr>
            <w:tcW w:w="1002" w:type="dxa"/>
            <w:noWrap w:val="0"/>
            <w:vAlign w:val="center"/>
          </w:tcPr>
          <w:p w14:paraId="47EC9E4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highlight w:val="none"/>
                <w:lang w:val="en-US" w:eastAsia="zh-CN"/>
              </w:rPr>
              <w:t>+0.363</w:t>
            </w:r>
          </w:p>
        </w:tc>
      </w:tr>
      <w:tr w14:paraId="0C3B8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B6CBDE0">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2C3C5703">
            <w:pPr>
              <w:jc w:val="center"/>
              <w:rPr>
                <w:rFonts w:hint="default" w:ascii="Times New Roman" w:hAnsi="Times New Roman" w:cs="Times New Roman"/>
                <w:spacing w:val="0"/>
                <w:kern w:val="2"/>
                <w:sz w:val="21"/>
                <w:szCs w:val="21"/>
                <w:lang w:val="en-US" w:eastAsia="zh-CN" w:bidi="ar-SA"/>
              </w:rPr>
            </w:pPr>
            <w:r>
              <w:rPr>
                <w:rFonts w:hint="eastAsia" w:ascii="Times New Roman" w:hAnsi="Times New Roman"/>
                <w:color w:val="000000"/>
                <w:spacing w:val="0"/>
                <w:sz w:val="21"/>
                <w:szCs w:val="21"/>
                <w:lang w:val="en-US" w:eastAsia="zh-CN"/>
              </w:rPr>
              <w:t>氮氧化物</w:t>
            </w:r>
          </w:p>
        </w:tc>
        <w:tc>
          <w:tcPr>
            <w:tcW w:w="1701" w:type="dxa"/>
            <w:noWrap w:val="0"/>
            <w:vAlign w:val="center"/>
          </w:tcPr>
          <w:p w14:paraId="0EB34E7B">
            <w:pPr>
              <w:jc w:val="center"/>
              <w:rPr>
                <w:rFonts w:hint="default" w:ascii="Times New Roman" w:hAnsi="Times New Roman" w:cs="Times New Roman"/>
                <w:spacing w:val="0"/>
                <w:sz w:val="21"/>
                <w:szCs w:val="21"/>
              </w:rPr>
            </w:pPr>
            <w:r>
              <w:rPr>
                <w:rFonts w:hint="eastAsia" w:ascii="Times New Roman" w:hAnsi="Times New Roman" w:eastAsia="宋体" w:cs="Times New Roman"/>
                <w:i w:val="0"/>
                <w:iCs w:val="0"/>
                <w:color w:val="000000"/>
                <w:kern w:val="0"/>
                <w:sz w:val="21"/>
                <w:szCs w:val="21"/>
                <w:highlight w:val="none"/>
                <w:u w:val="none"/>
                <w:lang w:val="en-US" w:eastAsia="zh-CN" w:bidi="ar"/>
              </w:rPr>
              <w:t>16.09</w:t>
            </w:r>
          </w:p>
        </w:tc>
        <w:tc>
          <w:tcPr>
            <w:tcW w:w="1276" w:type="dxa"/>
            <w:noWrap w:val="0"/>
            <w:vAlign w:val="center"/>
          </w:tcPr>
          <w:p w14:paraId="66C25030">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3.0</w:t>
            </w:r>
          </w:p>
        </w:tc>
        <w:tc>
          <w:tcPr>
            <w:tcW w:w="1701" w:type="dxa"/>
            <w:noWrap w:val="0"/>
            <w:vAlign w:val="center"/>
          </w:tcPr>
          <w:p w14:paraId="76584EF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559" w:type="dxa"/>
            <w:noWrap w:val="0"/>
            <w:vAlign w:val="center"/>
          </w:tcPr>
          <w:p w14:paraId="5652C3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spacing w:val="0"/>
                <w:kern w:val="2"/>
                <w:sz w:val="21"/>
                <w:szCs w:val="21"/>
                <w:lang w:val="en-US" w:eastAsia="zh-CN" w:bidi="ar-SA"/>
              </w:rPr>
              <w:t>0.0</w:t>
            </w:r>
          </w:p>
        </w:tc>
        <w:tc>
          <w:tcPr>
            <w:tcW w:w="1761" w:type="dxa"/>
            <w:noWrap w:val="0"/>
            <w:vAlign w:val="center"/>
          </w:tcPr>
          <w:p w14:paraId="56DC2D64">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15.88</w:t>
            </w:r>
          </w:p>
        </w:tc>
        <w:tc>
          <w:tcPr>
            <w:tcW w:w="1783" w:type="dxa"/>
            <w:noWrap w:val="0"/>
            <w:vAlign w:val="center"/>
          </w:tcPr>
          <w:p w14:paraId="011CF0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pacing w:val="0"/>
                <w:sz w:val="21"/>
                <w:szCs w:val="21"/>
              </w:rPr>
            </w:pPr>
            <w:r>
              <w:rPr>
                <w:rFonts w:hint="eastAsia"/>
                <w:spacing w:val="0"/>
                <w:kern w:val="2"/>
                <w:sz w:val="21"/>
                <w:szCs w:val="21"/>
                <w:lang w:val="en-US" w:eastAsia="zh-CN" w:bidi="ar-SA"/>
              </w:rPr>
              <w:t>0.21</w:t>
            </w:r>
          </w:p>
        </w:tc>
        <w:tc>
          <w:tcPr>
            <w:tcW w:w="1002" w:type="dxa"/>
            <w:noWrap w:val="0"/>
            <w:vAlign w:val="center"/>
          </w:tcPr>
          <w:p w14:paraId="2343DA6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-15.88</w:t>
            </w:r>
          </w:p>
        </w:tc>
      </w:tr>
      <w:tr w14:paraId="0FAEF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0F9E5A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4E3D71D0">
            <w:pPr>
              <w:jc w:val="center"/>
              <w:rPr>
                <w:rFonts w:hint="default" w:ascii="Times New Roman" w:hAnsi="Times New Roman" w:cs="Times New Roman"/>
                <w:spacing w:val="0"/>
                <w:kern w:val="0"/>
                <w:sz w:val="21"/>
                <w:szCs w:val="21"/>
                <w:lang w:bidi="ar"/>
              </w:rPr>
            </w:pPr>
            <w:r>
              <w:rPr>
                <w:rFonts w:hint="eastAsia" w:ascii="Times New Roman" w:hAnsi="Times New Roman"/>
                <w:color w:val="000000"/>
                <w:spacing w:val="0"/>
                <w:sz w:val="21"/>
                <w:szCs w:val="21"/>
                <w:lang w:val="en-US" w:eastAsia="zh-CN"/>
              </w:rPr>
              <w:t>非甲烷总烃</w:t>
            </w:r>
          </w:p>
        </w:tc>
        <w:tc>
          <w:tcPr>
            <w:tcW w:w="1701" w:type="dxa"/>
            <w:noWrap w:val="0"/>
            <w:vAlign w:val="center"/>
          </w:tcPr>
          <w:p w14:paraId="3F0C4CDC">
            <w:pPr>
              <w:jc w:val="center"/>
              <w:rPr>
                <w:rFonts w:hint="default" w:ascii="Times New Roman" w:hAnsi="Times New Roman" w:cs="Times New Roman"/>
                <w:spacing w:val="0"/>
                <w:sz w:val="21"/>
                <w:szCs w:val="21"/>
              </w:rPr>
            </w:pPr>
            <w:r>
              <w:rPr>
                <w:rFonts w:hint="eastAsia" w:ascii="Times New Roman" w:hAnsi="Times New Roman" w:eastAsia="宋体" w:cs="Times New Roman"/>
                <w:i w:val="0"/>
                <w:iCs w:val="0"/>
                <w:color w:val="000000"/>
                <w:kern w:val="0"/>
                <w:sz w:val="21"/>
                <w:szCs w:val="21"/>
                <w:highlight w:val="none"/>
                <w:u w:val="none"/>
                <w:lang w:val="en-US" w:eastAsia="zh-CN" w:bidi="ar"/>
              </w:rPr>
              <w:t>7.18</w:t>
            </w:r>
          </w:p>
        </w:tc>
        <w:tc>
          <w:tcPr>
            <w:tcW w:w="1276" w:type="dxa"/>
            <w:noWrap w:val="0"/>
            <w:vAlign w:val="center"/>
          </w:tcPr>
          <w:p w14:paraId="7B965247">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4.062</w:t>
            </w:r>
          </w:p>
        </w:tc>
        <w:tc>
          <w:tcPr>
            <w:tcW w:w="1701" w:type="dxa"/>
            <w:noWrap w:val="0"/>
            <w:vAlign w:val="center"/>
          </w:tcPr>
          <w:p w14:paraId="6B027F7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559" w:type="dxa"/>
            <w:noWrap w:val="0"/>
            <w:vAlign w:val="center"/>
          </w:tcPr>
          <w:p w14:paraId="38228A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spacing w:val="0"/>
                <w:sz w:val="21"/>
                <w:szCs w:val="21"/>
                <w:lang w:val="en-US" w:eastAsia="zh-CN"/>
              </w:rPr>
              <w:t>1.94</w:t>
            </w:r>
          </w:p>
        </w:tc>
        <w:tc>
          <w:tcPr>
            <w:tcW w:w="1761" w:type="dxa"/>
            <w:noWrap w:val="0"/>
            <w:vAlign w:val="center"/>
          </w:tcPr>
          <w:p w14:paraId="4153195E">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1.84</w:t>
            </w:r>
          </w:p>
        </w:tc>
        <w:tc>
          <w:tcPr>
            <w:tcW w:w="1783" w:type="dxa"/>
            <w:noWrap w:val="0"/>
            <w:vAlign w:val="center"/>
          </w:tcPr>
          <w:p w14:paraId="1BB0E8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pacing w:val="0"/>
                <w:sz w:val="21"/>
                <w:szCs w:val="21"/>
              </w:rPr>
            </w:pPr>
            <w:r>
              <w:rPr>
                <w:rFonts w:hint="eastAsia"/>
                <w:spacing w:val="0"/>
                <w:sz w:val="21"/>
                <w:szCs w:val="21"/>
                <w:lang w:val="en-US" w:eastAsia="zh-CN"/>
              </w:rPr>
              <w:t>7.28</w:t>
            </w:r>
          </w:p>
        </w:tc>
        <w:tc>
          <w:tcPr>
            <w:tcW w:w="1002" w:type="dxa"/>
            <w:noWrap w:val="0"/>
            <w:vAlign w:val="center"/>
          </w:tcPr>
          <w:p w14:paraId="7069BB26">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+0.1</w:t>
            </w:r>
          </w:p>
        </w:tc>
      </w:tr>
      <w:tr w14:paraId="7C893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03EDCEA4">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7B8FFC0D">
            <w:pPr>
              <w:jc w:val="center"/>
              <w:rPr>
                <w:rFonts w:hint="default" w:ascii="Times New Roman" w:hAnsi="Times New Roman" w:cs="Times New Roman"/>
                <w:bCs/>
                <w:spacing w:val="0"/>
                <w:kern w:val="2"/>
                <w:sz w:val="21"/>
                <w:szCs w:val="21"/>
                <w:lang w:val="en-US" w:eastAsia="zh-CN" w:bidi="ar-SA"/>
              </w:rPr>
            </w:pPr>
            <w:r>
              <w:rPr>
                <w:rFonts w:hint="eastAsia" w:ascii="Times New Roman" w:hAnsi="Times New Roman"/>
                <w:color w:val="000000"/>
                <w:spacing w:val="0"/>
                <w:sz w:val="21"/>
                <w:szCs w:val="21"/>
                <w:lang w:val="en-US" w:eastAsia="zh-CN"/>
              </w:rPr>
              <w:t>颗粒物</w:t>
            </w:r>
          </w:p>
        </w:tc>
        <w:tc>
          <w:tcPr>
            <w:tcW w:w="1701" w:type="dxa"/>
            <w:noWrap w:val="0"/>
            <w:vAlign w:val="center"/>
          </w:tcPr>
          <w:p w14:paraId="1B4CA3EB">
            <w:pPr>
              <w:jc w:val="center"/>
              <w:rPr>
                <w:rFonts w:hint="default" w:ascii="Times New Roman" w:hAnsi="Times New Roman" w:cs="Times New Roman"/>
                <w:spacing w:val="0"/>
                <w:sz w:val="21"/>
                <w:szCs w:val="21"/>
              </w:rPr>
            </w:pPr>
            <w:r>
              <w:rPr>
                <w:rFonts w:hint="eastAsia" w:ascii="Times New Roman" w:hAnsi="Times New Roman" w:eastAsia="宋体" w:cs="Times New Roman"/>
                <w:i w:val="0"/>
                <w:iCs w:val="0"/>
                <w:color w:val="000000"/>
                <w:kern w:val="0"/>
                <w:sz w:val="21"/>
                <w:szCs w:val="21"/>
                <w:highlight w:val="none"/>
                <w:u w:val="none"/>
                <w:lang w:val="en-US" w:eastAsia="zh-CN" w:bidi="ar"/>
              </w:rPr>
              <w:t>27.27</w:t>
            </w:r>
          </w:p>
        </w:tc>
        <w:tc>
          <w:tcPr>
            <w:tcW w:w="1276" w:type="dxa"/>
            <w:noWrap w:val="0"/>
            <w:vAlign w:val="center"/>
          </w:tcPr>
          <w:p w14:paraId="1AAFB102">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0.96</w:t>
            </w:r>
          </w:p>
        </w:tc>
        <w:tc>
          <w:tcPr>
            <w:tcW w:w="1701" w:type="dxa"/>
            <w:noWrap w:val="0"/>
            <w:vAlign w:val="center"/>
          </w:tcPr>
          <w:p w14:paraId="0E877BB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559" w:type="dxa"/>
            <w:noWrap w:val="0"/>
            <w:vAlign w:val="center"/>
          </w:tcPr>
          <w:p w14:paraId="5702DF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spacing w:val="0"/>
                <w:sz w:val="21"/>
                <w:szCs w:val="21"/>
                <w:lang w:val="en-US" w:eastAsia="zh-CN"/>
              </w:rPr>
              <w:t>1.35</w:t>
            </w:r>
          </w:p>
        </w:tc>
        <w:tc>
          <w:tcPr>
            <w:tcW w:w="1761" w:type="dxa"/>
            <w:noWrap w:val="0"/>
            <w:vAlign w:val="center"/>
          </w:tcPr>
          <w:p w14:paraId="2C483FE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27.17</w:t>
            </w:r>
          </w:p>
        </w:tc>
        <w:tc>
          <w:tcPr>
            <w:tcW w:w="1783" w:type="dxa"/>
            <w:noWrap w:val="0"/>
            <w:vAlign w:val="center"/>
          </w:tcPr>
          <w:p w14:paraId="126BA9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pacing w:val="0"/>
                <w:sz w:val="21"/>
                <w:szCs w:val="21"/>
              </w:rPr>
            </w:pPr>
            <w:r>
              <w:rPr>
                <w:rFonts w:hint="eastAsia"/>
                <w:spacing w:val="0"/>
                <w:sz w:val="21"/>
                <w:szCs w:val="21"/>
                <w:lang w:val="en-US" w:eastAsia="zh-CN"/>
              </w:rPr>
              <w:t>1.45</w:t>
            </w:r>
          </w:p>
        </w:tc>
        <w:tc>
          <w:tcPr>
            <w:tcW w:w="1002" w:type="dxa"/>
            <w:noWrap w:val="0"/>
            <w:vAlign w:val="center"/>
          </w:tcPr>
          <w:p w14:paraId="4F4AF96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-25.82</w:t>
            </w:r>
          </w:p>
        </w:tc>
      </w:tr>
      <w:tr w14:paraId="6AB23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24034AF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4B09DBC6">
            <w:pPr>
              <w:spacing w:line="0" w:lineRule="atLeast"/>
              <w:jc w:val="center"/>
              <w:rPr>
                <w:rFonts w:hint="default" w:ascii="Times New Roman" w:hAnsi="Times New Roman" w:cs="Times New Roman"/>
                <w:bCs/>
                <w:spacing w:val="0"/>
                <w:kern w:val="2"/>
                <w:sz w:val="21"/>
                <w:szCs w:val="21"/>
                <w:lang w:val="en-US" w:eastAsia="zh-CN" w:bidi="ar-SA"/>
              </w:rPr>
            </w:pPr>
            <w:r>
              <w:rPr>
                <w:rFonts w:hint="eastAsia"/>
                <w:bCs/>
                <w:spacing w:val="0"/>
                <w:sz w:val="21"/>
                <w:szCs w:val="21"/>
              </w:rPr>
              <w:t>氨</w:t>
            </w:r>
          </w:p>
        </w:tc>
        <w:tc>
          <w:tcPr>
            <w:tcW w:w="1701" w:type="dxa"/>
            <w:noWrap w:val="0"/>
            <w:vAlign w:val="center"/>
          </w:tcPr>
          <w:p w14:paraId="5C2FA856">
            <w:pPr>
              <w:keepNext w:val="0"/>
              <w:keepLines w:val="0"/>
              <w:widowControl/>
              <w:suppressLineNumbers w:val="0"/>
              <w:jc w:val="center"/>
              <w:textAlignment w:val="center"/>
              <w:rPr>
                <w:rFonts w:hint="default" w:ascii="Times New Roman" w:hAnsi="Times New Roman" w:cs="Times New Roman"/>
                <w:spacing w:val="0"/>
                <w:sz w:val="21"/>
                <w:szCs w:val="21"/>
              </w:rPr>
            </w:pPr>
            <w:r>
              <w:rPr>
                <w:rFonts w:hint="eastAsia" w:ascii="Times New Roman" w:hAnsi="Times New Roman" w:eastAsia="宋体" w:cs="Times New Roman"/>
                <w:i w:val="0"/>
                <w:iCs w:val="0"/>
                <w:color w:val="000000"/>
                <w:kern w:val="0"/>
                <w:sz w:val="21"/>
                <w:szCs w:val="21"/>
                <w:highlight w:val="none"/>
                <w:u w:val="none"/>
                <w:lang w:val="en-US" w:eastAsia="zh-CN" w:bidi="ar"/>
              </w:rPr>
              <w:t>0.2375</w:t>
            </w:r>
          </w:p>
        </w:tc>
        <w:tc>
          <w:tcPr>
            <w:tcW w:w="1276" w:type="dxa"/>
            <w:noWrap w:val="0"/>
            <w:vAlign w:val="center"/>
          </w:tcPr>
          <w:p w14:paraId="0D9F964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701" w:type="dxa"/>
            <w:noWrap w:val="0"/>
            <w:vAlign w:val="center"/>
          </w:tcPr>
          <w:p w14:paraId="35C9D8B4">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559" w:type="dxa"/>
            <w:noWrap w:val="0"/>
            <w:vAlign w:val="center"/>
          </w:tcPr>
          <w:p w14:paraId="0A5875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spacing w:val="0"/>
                <w:sz w:val="21"/>
                <w:szCs w:val="21"/>
                <w:lang w:val="en-US" w:eastAsia="zh-CN"/>
              </w:rPr>
              <w:t>0.0</w:t>
            </w:r>
          </w:p>
        </w:tc>
        <w:tc>
          <w:tcPr>
            <w:tcW w:w="1761" w:type="dxa"/>
            <w:noWrap w:val="0"/>
            <w:vAlign w:val="center"/>
          </w:tcPr>
          <w:p w14:paraId="2530763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c>
          <w:tcPr>
            <w:tcW w:w="1783" w:type="dxa"/>
            <w:noWrap w:val="0"/>
            <w:vAlign w:val="center"/>
          </w:tcPr>
          <w:p w14:paraId="6237D5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pacing w:val="0"/>
                <w:sz w:val="21"/>
                <w:szCs w:val="21"/>
              </w:rPr>
            </w:pPr>
            <w:r>
              <w:rPr>
                <w:rFonts w:hint="eastAsia"/>
                <w:spacing w:val="0"/>
                <w:sz w:val="21"/>
                <w:szCs w:val="21"/>
                <w:lang w:val="en-US" w:eastAsia="zh-CN"/>
              </w:rPr>
              <w:t>0.2375</w:t>
            </w:r>
          </w:p>
        </w:tc>
        <w:tc>
          <w:tcPr>
            <w:tcW w:w="1002" w:type="dxa"/>
            <w:noWrap w:val="0"/>
            <w:vAlign w:val="center"/>
          </w:tcPr>
          <w:p w14:paraId="664FBF3B">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r>
      <w:tr w14:paraId="08577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436FA014">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58AD2A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bCs/>
                <w:spacing w:val="0"/>
                <w:kern w:val="2"/>
                <w:sz w:val="21"/>
                <w:szCs w:val="21"/>
                <w:lang w:val="en-US" w:eastAsia="zh-CN" w:bidi="ar-SA"/>
              </w:rPr>
            </w:pPr>
            <w:r>
              <w:rPr>
                <w:rFonts w:hint="default" w:ascii="Times New Roman" w:hAnsi="Times New Roman" w:eastAsia="宋体" w:cs="Times New Roman"/>
                <w:color w:val="auto"/>
                <w:spacing w:val="0"/>
                <w:sz w:val="21"/>
                <w:szCs w:val="21"/>
                <w:highlight w:val="none"/>
                <w:lang w:val="en-US" w:eastAsia="zh-CN"/>
              </w:rPr>
              <w:t>酚类化合物</w:t>
            </w:r>
          </w:p>
        </w:tc>
        <w:tc>
          <w:tcPr>
            <w:tcW w:w="1701" w:type="dxa"/>
            <w:noWrap w:val="0"/>
            <w:vAlign w:val="center"/>
          </w:tcPr>
          <w:p w14:paraId="30121238">
            <w:pPr>
              <w:keepNext w:val="0"/>
              <w:keepLines w:val="0"/>
              <w:widowControl/>
              <w:suppressLineNumbers w:val="0"/>
              <w:jc w:val="center"/>
              <w:textAlignment w:val="center"/>
              <w:rPr>
                <w:rFonts w:hint="default" w:ascii="Times New Roman" w:hAnsi="Times New Roman" w:cs="Times New Roman"/>
                <w:spacing w:val="0"/>
                <w:sz w:val="21"/>
                <w:szCs w:val="21"/>
              </w:rPr>
            </w:pPr>
            <w:r>
              <w:rPr>
                <w:rFonts w:hint="eastAsia" w:ascii="Times New Roman" w:hAnsi="Times New Roman" w:eastAsia="宋体" w:cs="Times New Roman"/>
                <w:i w:val="0"/>
                <w:iCs w:val="0"/>
                <w:color w:val="000000"/>
                <w:kern w:val="0"/>
                <w:sz w:val="21"/>
                <w:szCs w:val="21"/>
                <w:highlight w:val="none"/>
                <w:u w:val="none"/>
                <w:lang w:val="en-US" w:eastAsia="zh-CN" w:bidi="ar"/>
              </w:rPr>
              <w:t>1.2875</w:t>
            </w:r>
          </w:p>
        </w:tc>
        <w:tc>
          <w:tcPr>
            <w:tcW w:w="1276" w:type="dxa"/>
            <w:noWrap w:val="0"/>
            <w:vAlign w:val="center"/>
          </w:tcPr>
          <w:p w14:paraId="4CFB0DA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701" w:type="dxa"/>
            <w:noWrap w:val="0"/>
            <w:vAlign w:val="center"/>
          </w:tcPr>
          <w:p w14:paraId="389AB3EB">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559" w:type="dxa"/>
            <w:noWrap w:val="0"/>
            <w:vAlign w:val="center"/>
          </w:tcPr>
          <w:p w14:paraId="78F063F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spacing w:val="0"/>
                <w:sz w:val="21"/>
                <w:szCs w:val="21"/>
                <w:lang w:val="en-US" w:eastAsia="zh-CN"/>
              </w:rPr>
              <w:t>0.0</w:t>
            </w:r>
          </w:p>
        </w:tc>
        <w:tc>
          <w:tcPr>
            <w:tcW w:w="1761" w:type="dxa"/>
            <w:noWrap w:val="0"/>
            <w:vAlign w:val="center"/>
          </w:tcPr>
          <w:p w14:paraId="77098938">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c>
          <w:tcPr>
            <w:tcW w:w="1783" w:type="dxa"/>
            <w:noWrap w:val="0"/>
            <w:vAlign w:val="center"/>
          </w:tcPr>
          <w:p w14:paraId="4FB99EB8">
            <w:pPr>
              <w:keepNext w:val="0"/>
              <w:keepLines w:val="0"/>
              <w:widowControl/>
              <w:suppressLineNumbers w:val="0"/>
              <w:jc w:val="center"/>
              <w:textAlignment w:val="center"/>
              <w:rPr>
                <w:rFonts w:hint="default" w:ascii="Times New Roman" w:hAnsi="Times New Roman" w:cs="Times New Roman"/>
                <w:spacing w:val="0"/>
                <w:sz w:val="21"/>
                <w:szCs w:val="21"/>
              </w:rPr>
            </w:pPr>
            <w:r>
              <w:rPr>
                <w:rFonts w:hint="eastAsia" w:ascii="Times New Roman" w:hAnsi="Times New Roman" w:eastAsia="宋体" w:cs="Times New Roman"/>
                <w:i w:val="0"/>
                <w:iCs w:val="0"/>
                <w:color w:val="000000"/>
                <w:spacing w:val="0"/>
                <w:kern w:val="0"/>
                <w:sz w:val="21"/>
                <w:szCs w:val="21"/>
                <w:u w:val="none"/>
                <w:lang w:val="en-US" w:eastAsia="zh-CN" w:bidi="ar"/>
              </w:rPr>
              <w:t>1.2875</w:t>
            </w:r>
          </w:p>
        </w:tc>
        <w:tc>
          <w:tcPr>
            <w:tcW w:w="1002" w:type="dxa"/>
            <w:noWrap w:val="0"/>
            <w:vAlign w:val="center"/>
          </w:tcPr>
          <w:p w14:paraId="6B56010C">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r>
      <w:tr w14:paraId="1A87C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7156880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573E442F">
            <w:pPr>
              <w:jc w:val="center"/>
              <w:rPr>
                <w:rFonts w:hint="eastAsia" w:ascii="Times New Roman" w:hAnsi="Times New Roman" w:cs="Times New Roman"/>
                <w:bCs/>
                <w:spacing w:val="0"/>
                <w:kern w:val="2"/>
                <w:sz w:val="21"/>
                <w:szCs w:val="21"/>
                <w:lang w:val="en-US" w:eastAsia="zh-CN" w:bidi="ar-SA"/>
              </w:rPr>
            </w:pPr>
            <w:r>
              <w:rPr>
                <w:rFonts w:hint="eastAsia" w:ascii="Times New Roman" w:hAnsi="Times New Roman"/>
                <w:color w:val="000000"/>
                <w:spacing w:val="0"/>
                <w:sz w:val="21"/>
                <w:szCs w:val="21"/>
                <w:lang w:val="en-US" w:eastAsia="zh-CN"/>
              </w:rPr>
              <w:t>硫酸雾</w:t>
            </w:r>
          </w:p>
        </w:tc>
        <w:tc>
          <w:tcPr>
            <w:tcW w:w="1701" w:type="dxa"/>
            <w:noWrap w:val="0"/>
            <w:vAlign w:val="center"/>
          </w:tcPr>
          <w:p w14:paraId="64413CD8">
            <w:pPr>
              <w:jc w:val="center"/>
              <w:rPr>
                <w:rFonts w:hint="eastAsia" w:ascii="Times New Roman" w:hAnsi="Times New Roman" w:cs="Times New Roman"/>
                <w:spacing w:val="0"/>
                <w:kern w:val="2"/>
                <w:sz w:val="21"/>
                <w:szCs w:val="21"/>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0.1131</w:t>
            </w:r>
          </w:p>
        </w:tc>
        <w:tc>
          <w:tcPr>
            <w:tcW w:w="1276" w:type="dxa"/>
            <w:noWrap w:val="0"/>
            <w:vAlign w:val="center"/>
          </w:tcPr>
          <w:p w14:paraId="250A12F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eastAsia" w:ascii="Times New Roman" w:hAnsi="Times New Roman" w:cs="Times New Roman"/>
                <w:snapToGrid w:val="0"/>
                <w:spacing w:val="0"/>
                <w:kern w:val="21"/>
                <w:sz w:val="21"/>
                <w:szCs w:val="21"/>
                <w:lang w:val="en-US" w:eastAsia="zh-CN" w:bidi="ar-SA"/>
              </w:rPr>
            </w:pPr>
            <w:r>
              <w:rPr>
                <w:rFonts w:hint="eastAsia" w:ascii="Times New Roman" w:hAnsi="Times New Roman" w:cs="Times New Roman"/>
                <w:snapToGrid w:val="0"/>
                <w:spacing w:val="0"/>
                <w:kern w:val="21"/>
                <w:sz w:val="21"/>
                <w:szCs w:val="21"/>
                <w:lang w:val="en-US" w:eastAsia="zh-CN"/>
              </w:rPr>
              <w:t>/</w:t>
            </w:r>
          </w:p>
        </w:tc>
        <w:tc>
          <w:tcPr>
            <w:tcW w:w="1701" w:type="dxa"/>
            <w:noWrap w:val="0"/>
            <w:vAlign w:val="center"/>
          </w:tcPr>
          <w:p w14:paraId="53A9391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eastAsia" w:ascii="Times New Roman" w:hAnsi="Times New Roman" w:cs="Times New Roman"/>
                <w:snapToGrid w:val="0"/>
                <w:spacing w:val="0"/>
                <w:kern w:val="21"/>
                <w:sz w:val="21"/>
                <w:szCs w:val="21"/>
                <w:lang w:val="en-US" w:eastAsia="zh-CN" w:bidi="ar-SA"/>
              </w:rPr>
            </w:pPr>
            <w:r>
              <w:rPr>
                <w:rFonts w:hint="eastAsia" w:ascii="Times New Roman" w:hAnsi="Times New Roman" w:cs="Times New Roman"/>
                <w:snapToGrid w:val="0"/>
                <w:spacing w:val="0"/>
                <w:kern w:val="21"/>
                <w:sz w:val="21"/>
                <w:szCs w:val="21"/>
                <w:lang w:val="en-US" w:eastAsia="zh-CN"/>
              </w:rPr>
              <w:t>/</w:t>
            </w:r>
          </w:p>
        </w:tc>
        <w:tc>
          <w:tcPr>
            <w:tcW w:w="1559" w:type="dxa"/>
            <w:noWrap w:val="0"/>
            <w:vAlign w:val="center"/>
          </w:tcPr>
          <w:p w14:paraId="7F68F0F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0.0</w:t>
            </w:r>
          </w:p>
        </w:tc>
        <w:tc>
          <w:tcPr>
            <w:tcW w:w="1761" w:type="dxa"/>
            <w:noWrap w:val="0"/>
            <w:vAlign w:val="center"/>
          </w:tcPr>
          <w:p w14:paraId="1BE0E06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eastAsia" w:ascii="Times New Roman" w:hAnsi="Times New Roman" w:cs="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0.0</w:t>
            </w:r>
          </w:p>
        </w:tc>
        <w:tc>
          <w:tcPr>
            <w:tcW w:w="1783" w:type="dxa"/>
            <w:noWrap w:val="0"/>
            <w:vAlign w:val="center"/>
          </w:tcPr>
          <w:p w14:paraId="52379DAF">
            <w:pPr>
              <w:jc w:val="center"/>
              <w:rPr>
                <w:rFonts w:hint="eastAsia" w:ascii="Times New Roman" w:hAnsi="Times New Roman" w:cs="Times New Roman"/>
                <w:spacing w:val="0"/>
                <w:kern w:val="2"/>
                <w:sz w:val="21"/>
                <w:szCs w:val="21"/>
                <w:lang w:val="en-US" w:eastAsia="zh-CN" w:bidi="ar-SA"/>
              </w:rPr>
            </w:pPr>
            <w:r>
              <w:rPr>
                <w:rFonts w:hint="eastAsia" w:ascii="Times New Roman" w:hAnsi="Times New Roman" w:eastAsia="宋体" w:cs="Times New Roman"/>
                <w:i w:val="0"/>
                <w:iCs w:val="0"/>
                <w:color w:val="000000"/>
                <w:spacing w:val="0"/>
                <w:kern w:val="0"/>
                <w:sz w:val="21"/>
                <w:szCs w:val="21"/>
                <w:u w:val="none"/>
                <w:lang w:val="en-US" w:eastAsia="zh-CN" w:bidi="ar"/>
              </w:rPr>
              <w:t>0.1131</w:t>
            </w:r>
          </w:p>
        </w:tc>
        <w:tc>
          <w:tcPr>
            <w:tcW w:w="1002" w:type="dxa"/>
            <w:noWrap w:val="0"/>
            <w:vAlign w:val="center"/>
          </w:tcPr>
          <w:p w14:paraId="722A7F63">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eastAsia" w:ascii="Times New Roman" w:hAnsi="Times New Roman" w:cs="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0.0</w:t>
            </w:r>
          </w:p>
        </w:tc>
      </w:tr>
      <w:tr w14:paraId="7FB61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214035E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52B86AA7">
            <w:pPr>
              <w:jc w:val="center"/>
              <w:rPr>
                <w:rFonts w:hint="default" w:ascii="Times New Roman" w:hAnsi="Times New Roman" w:cs="Times New Roman"/>
                <w:bCs/>
                <w:spacing w:val="0"/>
                <w:kern w:val="2"/>
                <w:sz w:val="21"/>
                <w:szCs w:val="21"/>
                <w:lang w:val="en-US" w:eastAsia="zh-CN" w:bidi="ar-SA"/>
              </w:rPr>
            </w:pPr>
            <w:r>
              <w:rPr>
                <w:rFonts w:hint="eastAsia" w:cs="Times New Roman"/>
                <w:bCs/>
                <w:spacing w:val="0"/>
                <w:kern w:val="2"/>
                <w:sz w:val="21"/>
                <w:szCs w:val="21"/>
                <w:lang w:val="en-US" w:eastAsia="zh-CN" w:bidi="ar-SA"/>
              </w:rPr>
              <w:t>二氧化硫</w:t>
            </w:r>
          </w:p>
        </w:tc>
        <w:tc>
          <w:tcPr>
            <w:tcW w:w="1701" w:type="dxa"/>
            <w:noWrap w:val="0"/>
            <w:vAlign w:val="center"/>
          </w:tcPr>
          <w:p w14:paraId="15365512">
            <w:pPr>
              <w:keepNext w:val="0"/>
              <w:keepLines w:val="0"/>
              <w:widowControl/>
              <w:suppressLineNumbers w:val="0"/>
              <w:jc w:val="center"/>
              <w:textAlignment w:val="center"/>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26.47</w:t>
            </w:r>
          </w:p>
        </w:tc>
        <w:tc>
          <w:tcPr>
            <w:tcW w:w="1276" w:type="dxa"/>
            <w:noWrap w:val="0"/>
            <w:vAlign w:val="center"/>
          </w:tcPr>
          <w:p w14:paraId="3F15D44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701" w:type="dxa"/>
            <w:noWrap w:val="0"/>
            <w:vAlign w:val="center"/>
          </w:tcPr>
          <w:p w14:paraId="3CC6570B">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559" w:type="dxa"/>
            <w:noWrap w:val="0"/>
            <w:vAlign w:val="center"/>
          </w:tcPr>
          <w:p w14:paraId="0F27FC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0.0</w:t>
            </w:r>
          </w:p>
        </w:tc>
        <w:tc>
          <w:tcPr>
            <w:tcW w:w="1761" w:type="dxa"/>
            <w:noWrap w:val="0"/>
            <w:vAlign w:val="center"/>
          </w:tcPr>
          <w:p w14:paraId="1E514EB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26.47</w:t>
            </w:r>
          </w:p>
        </w:tc>
        <w:tc>
          <w:tcPr>
            <w:tcW w:w="1783" w:type="dxa"/>
            <w:noWrap w:val="0"/>
            <w:vAlign w:val="center"/>
          </w:tcPr>
          <w:p w14:paraId="6207C3E8">
            <w:pPr>
              <w:jc w:val="center"/>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i w:val="0"/>
                <w:iCs w:val="0"/>
                <w:color w:val="000000"/>
                <w:spacing w:val="0"/>
                <w:kern w:val="0"/>
                <w:sz w:val="21"/>
                <w:szCs w:val="21"/>
                <w:u w:val="none"/>
                <w:lang w:val="en-US" w:eastAsia="zh-CN" w:bidi="ar"/>
              </w:rPr>
              <w:t>0.0</w:t>
            </w:r>
          </w:p>
        </w:tc>
        <w:tc>
          <w:tcPr>
            <w:tcW w:w="1002" w:type="dxa"/>
            <w:noWrap w:val="0"/>
            <w:vAlign w:val="center"/>
          </w:tcPr>
          <w:p w14:paraId="1D8E391B">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lang w:val="en-US" w:eastAsia="zh-CN"/>
              </w:rPr>
              <w:t>-26.47</w:t>
            </w:r>
          </w:p>
        </w:tc>
      </w:tr>
      <w:tr w14:paraId="5875C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230F821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废水</w:t>
            </w:r>
          </w:p>
        </w:tc>
        <w:tc>
          <w:tcPr>
            <w:tcW w:w="1417" w:type="dxa"/>
            <w:noWrap w:val="0"/>
            <w:vAlign w:val="center"/>
          </w:tcPr>
          <w:p w14:paraId="4F26A158">
            <w:pPr>
              <w:pStyle w:val="3"/>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pacing w:val="0"/>
                <w:sz w:val="21"/>
                <w:szCs w:val="21"/>
                <w:lang w:val="en-US" w:eastAsia="zh-CN"/>
              </w:rPr>
              <w:t>COD</w:t>
            </w:r>
          </w:p>
        </w:tc>
        <w:tc>
          <w:tcPr>
            <w:tcW w:w="1701" w:type="dxa"/>
            <w:noWrap w:val="0"/>
            <w:vAlign w:val="center"/>
          </w:tcPr>
          <w:p w14:paraId="159051CE">
            <w:pPr>
              <w:pStyle w:val="3"/>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pacing w:val="0"/>
                <w:sz w:val="21"/>
                <w:szCs w:val="21"/>
                <w:lang w:val="en-US" w:eastAsia="zh-CN"/>
              </w:rPr>
              <w:t>1.15</w:t>
            </w:r>
          </w:p>
        </w:tc>
        <w:tc>
          <w:tcPr>
            <w:tcW w:w="1276" w:type="dxa"/>
            <w:noWrap w:val="0"/>
            <w:vAlign w:val="center"/>
          </w:tcPr>
          <w:p w14:paraId="74A96A9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701" w:type="dxa"/>
            <w:noWrap w:val="0"/>
            <w:vAlign w:val="center"/>
          </w:tcPr>
          <w:p w14:paraId="73F7BF50">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559" w:type="dxa"/>
            <w:noWrap w:val="0"/>
            <w:vAlign w:val="center"/>
          </w:tcPr>
          <w:p w14:paraId="3C46C405">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highlight w:val="none"/>
                <w:lang w:val="en-US" w:eastAsia="zh-CN"/>
              </w:rPr>
              <w:t>0.0</w:t>
            </w:r>
          </w:p>
        </w:tc>
        <w:tc>
          <w:tcPr>
            <w:tcW w:w="1761" w:type="dxa"/>
            <w:noWrap w:val="0"/>
            <w:vAlign w:val="center"/>
          </w:tcPr>
          <w:p w14:paraId="28ED47E4">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783" w:type="dxa"/>
            <w:noWrap w:val="0"/>
            <w:vAlign w:val="center"/>
          </w:tcPr>
          <w:p w14:paraId="60D80497">
            <w:pPr>
              <w:pStyle w:val="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pacing w:val="0"/>
                <w:sz w:val="21"/>
                <w:szCs w:val="21"/>
                <w:lang w:val="en-US" w:eastAsia="zh-CN"/>
              </w:rPr>
              <w:t>1.15</w:t>
            </w:r>
          </w:p>
        </w:tc>
        <w:tc>
          <w:tcPr>
            <w:tcW w:w="1002" w:type="dxa"/>
            <w:noWrap w:val="0"/>
            <w:vAlign w:val="center"/>
          </w:tcPr>
          <w:p w14:paraId="12BFF6A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0</w:t>
            </w:r>
            <w:r>
              <w:rPr>
                <w:rFonts w:hint="eastAsia" w:ascii="Times New Roman" w:hAnsi="Times New Roman" w:cs="Times New Roman"/>
                <w:snapToGrid w:val="0"/>
                <w:spacing w:val="0"/>
                <w:kern w:val="21"/>
                <w:sz w:val="21"/>
                <w:szCs w:val="21"/>
                <w:lang w:val="en-US" w:eastAsia="zh-CN"/>
              </w:rPr>
              <w:t>.0</w:t>
            </w:r>
          </w:p>
        </w:tc>
      </w:tr>
      <w:tr w14:paraId="73E2F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5A016268">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p>
        </w:tc>
        <w:tc>
          <w:tcPr>
            <w:tcW w:w="1417" w:type="dxa"/>
            <w:noWrap w:val="0"/>
            <w:vAlign w:val="center"/>
          </w:tcPr>
          <w:p w14:paraId="620C77AF">
            <w:pPr>
              <w:pStyle w:val="3"/>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pacing w:val="0"/>
                <w:sz w:val="21"/>
                <w:szCs w:val="21"/>
                <w:lang w:val="en-US" w:eastAsia="zh-CN"/>
              </w:rPr>
              <w:t>NH</w:t>
            </w:r>
            <w:r>
              <w:rPr>
                <w:rFonts w:hint="default" w:ascii="Times New Roman" w:hAnsi="Times New Roman" w:cs="Times New Roman"/>
                <w:spacing w:val="0"/>
                <w:sz w:val="21"/>
                <w:szCs w:val="21"/>
                <w:vertAlign w:val="subscript"/>
                <w:lang w:val="en-US" w:eastAsia="zh-CN"/>
              </w:rPr>
              <w:t>3</w:t>
            </w:r>
            <w:r>
              <w:rPr>
                <w:rFonts w:hint="default" w:ascii="Times New Roman" w:hAnsi="Times New Roman" w:cs="Times New Roman"/>
                <w:spacing w:val="0"/>
                <w:sz w:val="21"/>
                <w:szCs w:val="21"/>
                <w:lang w:val="en-US" w:eastAsia="zh-CN"/>
              </w:rPr>
              <w:t>-N</w:t>
            </w:r>
          </w:p>
        </w:tc>
        <w:tc>
          <w:tcPr>
            <w:tcW w:w="1701" w:type="dxa"/>
            <w:noWrap w:val="0"/>
            <w:vAlign w:val="center"/>
          </w:tcPr>
          <w:p w14:paraId="7B65C981">
            <w:pPr>
              <w:pStyle w:val="3"/>
              <w:keepNext w:val="0"/>
              <w:keepLines w:val="0"/>
              <w:pageBreakBefore w:val="0"/>
              <w:kinsoku/>
              <w:wordWrap/>
              <w:overflowPunct/>
              <w:topLinePunct w:val="0"/>
              <w:autoSpaceDE/>
              <w:autoSpaceDN/>
              <w:bidi w:val="0"/>
              <w:adjustRightInd w:val="0"/>
              <w:snapToGrid w:val="0"/>
              <w:spacing w:line="240" w:lineRule="auto"/>
              <w:ind w:firstLine="0"/>
              <w:jc w:val="center"/>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pacing w:val="0"/>
                <w:sz w:val="21"/>
                <w:szCs w:val="21"/>
                <w:lang w:val="en-US" w:eastAsia="zh-CN"/>
              </w:rPr>
              <w:t>0.08</w:t>
            </w:r>
          </w:p>
        </w:tc>
        <w:tc>
          <w:tcPr>
            <w:tcW w:w="1276" w:type="dxa"/>
            <w:noWrap w:val="0"/>
            <w:vAlign w:val="center"/>
          </w:tcPr>
          <w:p w14:paraId="35C22E77">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701" w:type="dxa"/>
            <w:noWrap w:val="0"/>
            <w:vAlign w:val="center"/>
          </w:tcPr>
          <w:p w14:paraId="6A4D34A2">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w:t>
            </w:r>
          </w:p>
        </w:tc>
        <w:tc>
          <w:tcPr>
            <w:tcW w:w="1559" w:type="dxa"/>
            <w:noWrap w:val="0"/>
            <w:vAlign w:val="center"/>
          </w:tcPr>
          <w:p w14:paraId="7DD8A757">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rPr>
            </w:pPr>
            <w:r>
              <w:rPr>
                <w:rFonts w:hint="eastAsia" w:ascii="Times New Roman" w:hAnsi="Times New Roman"/>
                <w:snapToGrid w:val="0"/>
                <w:spacing w:val="0"/>
                <w:kern w:val="21"/>
                <w:sz w:val="21"/>
                <w:szCs w:val="21"/>
                <w:highlight w:val="none"/>
                <w:lang w:val="en-US" w:eastAsia="zh-CN"/>
              </w:rPr>
              <w:t>0.643</w:t>
            </w:r>
          </w:p>
        </w:tc>
        <w:tc>
          <w:tcPr>
            <w:tcW w:w="1761" w:type="dxa"/>
            <w:noWrap w:val="0"/>
            <w:vAlign w:val="center"/>
          </w:tcPr>
          <w:p w14:paraId="49C6545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w:t>
            </w:r>
          </w:p>
        </w:tc>
        <w:tc>
          <w:tcPr>
            <w:tcW w:w="1783" w:type="dxa"/>
            <w:noWrap w:val="0"/>
            <w:vAlign w:val="center"/>
          </w:tcPr>
          <w:p w14:paraId="3A69042A">
            <w:pPr>
              <w:pStyle w:val="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pacing w:val="0"/>
                <w:sz w:val="21"/>
                <w:szCs w:val="21"/>
                <w:lang w:val="en-US" w:eastAsia="zh-CN"/>
              </w:rPr>
              <w:t>0.08</w:t>
            </w:r>
          </w:p>
        </w:tc>
        <w:tc>
          <w:tcPr>
            <w:tcW w:w="1002" w:type="dxa"/>
            <w:noWrap w:val="0"/>
            <w:vAlign w:val="center"/>
          </w:tcPr>
          <w:p w14:paraId="499EA140">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eastAsia" w:ascii="Times New Roman" w:hAnsi="Times New Roman" w:cs="Times New Roman"/>
                <w:snapToGrid w:val="0"/>
                <w:spacing w:val="0"/>
                <w:kern w:val="21"/>
                <w:sz w:val="21"/>
                <w:szCs w:val="21"/>
                <w:lang w:val="en-US" w:eastAsia="zh-CN"/>
              </w:rPr>
              <w:t>0.0</w:t>
            </w:r>
          </w:p>
        </w:tc>
      </w:tr>
      <w:tr w14:paraId="4633E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noWrap w:val="0"/>
            <w:vAlign w:val="center"/>
          </w:tcPr>
          <w:p w14:paraId="4B63A1DF">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rPr>
            </w:pPr>
            <w:r>
              <w:rPr>
                <w:rFonts w:hint="default" w:ascii="Times New Roman" w:hAnsi="Times New Roman" w:cs="Times New Roman"/>
                <w:snapToGrid w:val="0"/>
                <w:spacing w:val="0"/>
                <w:kern w:val="21"/>
                <w:sz w:val="21"/>
                <w:szCs w:val="21"/>
                <w:lang w:val="en-US" w:eastAsia="zh-CN"/>
              </w:rPr>
              <w:t>危险废物</w:t>
            </w:r>
          </w:p>
        </w:tc>
        <w:tc>
          <w:tcPr>
            <w:tcW w:w="1417" w:type="dxa"/>
            <w:noWrap w:val="0"/>
            <w:vAlign w:val="center"/>
          </w:tcPr>
          <w:p w14:paraId="7A1C9EE1">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bidi="ar-SA"/>
              </w:rPr>
            </w:pPr>
            <w:r>
              <w:rPr>
                <w:rFonts w:hint="default" w:ascii="Times New Roman" w:hAnsi="Times New Roman" w:cs="Times New Roman"/>
                <w:snapToGrid w:val="0"/>
                <w:spacing w:val="0"/>
                <w:kern w:val="21"/>
                <w:sz w:val="21"/>
                <w:szCs w:val="21"/>
                <w:lang w:val="en-US" w:eastAsia="zh-CN"/>
              </w:rPr>
              <w:t>废机油</w:t>
            </w:r>
          </w:p>
        </w:tc>
        <w:tc>
          <w:tcPr>
            <w:tcW w:w="1701" w:type="dxa"/>
            <w:noWrap w:val="0"/>
            <w:vAlign w:val="center"/>
          </w:tcPr>
          <w:p w14:paraId="6714D8C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bidi="ar-SA"/>
              </w:rPr>
            </w:pPr>
            <w:r>
              <w:rPr>
                <w:rFonts w:hint="eastAsia" w:ascii="Times New Roman" w:hAnsi="Times New Roman" w:cs="Times New Roman"/>
                <w:snapToGrid w:val="0"/>
                <w:spacing w:val="0"/>
                <w:kern w:val="21"/>
                <w:sz w:val="21"/>
                <w:szCs w:val="21"/>
                <w:lang w:val="en-US" w:eastAsia="zh-CN"/>
              </w:rPr>
              <w:t>1.0</w:t>
            </w:r>
          </w:p>
        </w:tc>
        <w:tc>
          <w:tcPr>
            <w:tcW w:w="1276" w:type="dxa"/>
            <w:noWrap w:val="0"/>
            <w:vAlign w:val="center"/>
          </w:tcPr>
          <w:p w14:paraId="460A285D">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bidi="ar-SA"/>
              </w:rPr>
            </w:pPr>
            <w:r>
              <w:rPr>
                <w:rFonts w:hint="eastAsia" w:ascii="Times New Roman" w:hAnsi="Times New Roman" w:cs="Times New Roman"/>
                <w:snapToGrid w:val="0"/>
                <w:spacing w:val="0"/>
                <w:kern w:val="21"/>
                <w:sz w:val="21"/>
                <w:szCs w:val="21"/>
                <w:lang w:val="en-US" w:eastAsia="zh-CN"/>
              </w:rPr>
              <w:t>/</w:t>
            </w:r>
          </w:p>
        </w:tc>
        <w:tc>
          <w:tcPr>
            <w:tcW w:w="1701" w:type="dxa"/>
            <w:noWrap w:val="0"/>
            <w:vAlign w:val="center"/>
          </w:tcPr>
          <w:p w14:paraId="6329AE2A">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bidi="ar-SA"/>
              </w:rPr>
            </w:pPr>
            <w:r>
              <w:rPr>
                <w:rFonts w:hint="eastAsia" w:ascii="Times New Roman" w:hAnsi="Times New Roman" w:cs="Times New Roman"/>
                <w:snapToGrid w:val="0"/>
                <w:spacing w:val="0"/>
                <w:kern w:val="21"/>
                <w:sz w:val="21"/>
                <w:szCs w:val="21"/>
                <w:lang w:val="en-US" w:eastAsia="zh-CN"/>
              </w:rPr>
              <w:t>/</w:t>
            </w:r>
          </w:p>
        </w:tc>
        <w:tc>
          <w:tcPr>
            <w:tcW w:w="1559" w:type="dxa"/>
            <w:noWrap w:val="0"/>
            <w:vAlign w:val="center"/>
          </w:tcPr>
          <w:p w14:paraId="154F8ACB">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rPr>
                <w:rFonts w:hint="default" w:ascii="Times New Roman" w:hAnsi="Times New Roman" w:cs="Times New Roman"/>
                <w:snapToGrid w:val="0"/>
                <w:spacing w:val="0"/>
                <w:kern w:val="21"/>
                <w:sz w:val="21"/>
                <w:szCs w:val="21"/>
                <w:lang w:val="en-US" w:eastAsia="zh-CN" w:bidi="ar-SA"/>
              </w:rPr>
            </w:pPr>
            <w:r>
              <w:rPr>
                <w:rFonts w:hint="eastAsia" w:ascii="Times New Roman" w:hAnsi="Times New Roman"/>
                <w:snapToGrid w:val="0"/>
                <w:spacing w:val="0"/>
                <w:kern w:val="21"/>
                <w:sz w:val="21"/>
                <w:szCs w:val="21"/>
                <w:lang w:val="en-US" w:eastAsia="zh-CN"/>
              </w:rPr>
              <w:t>0.043</w:t>
            </w:r>
          </w:p>
        </w:tc>
        <w:tc>
          <w:tcPr>
            <w:tcW w:w="1761" w:type="dxa"/>
            <w:noWrap w:val="0"/>
            <w:vAlign w:val="center"/>
          </w:tcPr>
          <w:p w14:paraId="7B7646E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bidi="ar-SA"/>
              </w:rPr>
            </w:pPr>
            <w:r>
              <w:rPr>
                <w:rFonts w:hint="default" w:ascii="Times New Roman" w:hAnsi="Times New Roman" w:cs="Times New Roman"/>
                <w:snapToGrid w:val="0"/>
                <w:spacing w:val="0"/>
                <w:kern w:val="21"/>
                <w:sz w:val="21"/>
                <w:szCs w:val="21"/>
                <w:lang w:val="en-US" w:eastAsia="zh-CN"/>
              </w:rPr>
              <w:t>/</w:t>
            </w:r>
          </w:p>
        </w:tc>
        <w:tc>
          <w:tcPr>
            <w:tcW w:w="1783" w:type="dxa"/>
            <w:noWrap w:val="0"/>
            <w:vAlign w:val="center"/>
          </w:tcPr>
          <w:p w14:paraId="45629B6E">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bidi="ar-SA"/>
              </w:rPr>
            </w:pPr>
            <w:r>
              <w:rPr>
                <w:rFonts w:hint="eastAsia" w:ascii="Times New Roman" w:hAnsi="Times New Roman" w:cs="Times New Roman"/>
                <w:snapToGrid w:val="0"/>
                <w:spacing w:val="0"/>
                <w:kern w:val="21"/>
                <w:sz w:val="21"/>
                <w:szCs w:val="21"/>
                <w:lang w:val="en-US" w:eastAsia="zh-CN"/>
              </w:rPr>
              <w:t>1.1</w:t>
            </w:r>
          </w:p>
        </w:tc>
        <w:tc>
          <w:tcPr>
            <w:tcW w:w="1002" w:type="dxa"/>
            <w:noWrap w:val="0"/>
            <w:vAlign w:val="center"/>
          </w:tcPr>
          <w:p w14:paraId="12964009">
            <w:pPr>
              <w:pStyle w:val="50"/>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default" w:ascii="Times New Roman" w:hAnsi="Times New Roman" w:cs="Times New Roman"/>
                <w:snapToGrid w:val="0"/>
                <w:spacing w:val="0"/>
                <w:kern w:val="21"/>
                <w:sz w:val="21"/>
                <w:szCs w:val="21"/>
                <w:lang w:val="en-US" w:eastAsia="zh-CN" w:bidi="ar-SA"/>
              </w:rPr>
            </w:pPr>
            <w:r>
              <w:rPr>
                <w:rFonts w:hint="default" w:ascii="Times New Roman" w:hAnsi="Times New Roman" w:cs="Times New Roman"/>
                <w:snapToGrid w:val="0"/>
                <w:spacing w:val="0"/>
                <w:kern w:val="21"/>
                <w:sz w:val="21"/>
                <w:szCs w:val="21"/>
                <w:lang w:val="en-US" w:eastAsia="zh-CN"/>
              </w:rPr>
              <w:t>+0.1</w:t>
            </w:r>
          </w:p>
        </w:tc>
      </w:tr>
    </w:tbl>
    <w:p w14:paraId="73E9AB02">
      <w:pPr>
        <w:pStyle w:val="50"/>
        <w:spacing w:before="192" w:beforeLines="80" w:after="24"/>
        <w:jc w:val="left"/>
        <w:rPr>
          <w:rFonts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3B5955F7"/>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MingLiU">
    <w:panose1 w:val="02020509000000000000"/>
    <w:charset w:val="88"/>
    <w:family w:val="auto"/>
    <w:pitch w:val="default"/>
    <w:sig w:usb0="A00002FF" w:usb1="28CFFCFA" w:usb2="00000016" w:usb3="00000000" w:csb0="00100001" w:csb1="00000000"/>
  </w:font>
  <w:font w:name="仿宋_GB2312">
    <w:altName w:val="仿宋"/>
    <w:panose1 w:val="02010609030101010101"/>
    <w:charset w:val="86"/>
    <w:family w:val="auto"/>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 w:name="方正小标宋_GBK">
    <w:altName w:val="Arial Unicode MS"/>
    <w:panose1 w:val="02000000000000000000"/>
    <w:charset w:val="86"/>
    <w:family w:val="auto"/>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MS Mincho">
    <w:panose1 w:val="02020609040205080304"/>
    <w:charset w:val="80"/>
    <w:family w:val="auto"/>
    <w:pitch w:val="default"/>
    <w:sig w:usb0="E00002FF" w:usb1="6AC7FDFB" w:usb2="00000012" w:usb3="00000000" w:csb0="4002009F" w:csb1="DFD70000"/>
  </w:font>
  <w:font w:name="Wingdings 2">
    <w:panose1 w:val="05020102010507070707"/>
    <w:charset w:val="02"/>
    <w:family w:val="auto"/>
    <w:pitch w:val="default"/>
    <w:sig w:usb0="00000000" w:usb1="00000000" w:usb2="00000000" w:usb3="00000000" w:csb0="80000000" w:csb1="00000000"/>
  </w:font>
  <w:font w:name="TimesNewRomanPS-BoldMT">
    <w:altName w:val="宋体"/>
    <w:panose1 w:val="00000000000000000000"/>
    <w:charset w:val="86"/>
    <w:family w:val="auto"/>
    <w:pitch w:val="default"/>
    <w:sig w:usb0="00000000" w:usb1="00000000" w:usb2="00000010" w:usb3="00000000" w:csb0="00040001" w:csb1="00000000"/>
  </w:font>
  <w:font w:name="TimesNewRomanPSMT">
    <w:altName w:val="Times New Roman"/>
    <w:panose1 w:val="00000000000000000000"/>
    <w:charset w:val="00"/>
    <w:family w:val="auto"/>
    <w:pitch w:val="default"/>
    <w:sig w:usb0="00000000" w:usb1="00000000" w:usb2="00000010" w:usb3="00000000" w:csb0="0004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5EDB2">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EF4F4">
    <w:pPr>
      <w:pStyle w:val="28"/>
      <w:framePr w:wrap="around" w:vAnchor="text" w:hAnchor="margin" w:xAlign="center" w:y="1"/>
      <w:rPr>
        <w:rStyle w:val="44"/>
      </w:rPr>
    </w:pPr>
    <w:r>
      <w:fldChar w:fldCharType="begin"/>
    </w:r>
    <w:r>
      <w:instrText xml:space="preserve">PAGE  </w:instrText>
    </w:r>
    <w:r>
      <w:fldChar w:fldCharType="separate"/>
    </w:r>
    <w:r>
      <w:fldChar w:fldCharType="end"/>
    </w:r>
  </w:p>
  <w:p w14:paraId="36C805F8">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8EEA4">
    <w:pPr>
      <w:pStyle w:val="28"/>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22</w:t>
    </w:r>
    <w:r>
      <w:rPr>
        <w:rFonts w:hint="default" w:ascii="Times New Roman" w:hAnsi="Times New Roman" w:cs="Times New Roman"/>
      </w:rPr>
      <w:fldChar w:fldCharType="end"/>
    </w:r>
  </w:p>
  <w:p w14:paraId="7C44695A">
    <w:pPr>
      <w:pStyle w:val="2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F3D2B">
    <w:pPr>
      <w:pStyle w:val="2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bullet"/>
      <w:pStyle w:val="18"/>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000000"/>
    <w:rsid w:val="07FB5623"/>
    <w:rsid w:val="2F25260C"/>
    <w:rsid w:val="62E15898"/>
    <w:rsid w:val="701A7C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iPriority="99" w:semiHidden="0" w:name="Body Text First Indent 2"/>
    <w:lsdException w:uiPriority="99" w:name="Note Heading"/>
    <w:lsdException w:uiPriority="99" w:semiHidden="0" w:name="Body Text 2"/>
    <w:lsdException w:uiPriority="99" w:name="Body Text 3"/>
    <w:lsdException w:qFormat="1" w:uiPriority="99" w:semiHidden="0" w:name="Body Text Indent 2"/>
    <w:lsdException w:uiPriority="99" w:name="Body Text Indent 3"/>
    <w:lsdException w:qFormat="1" w:uiPriority="99"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qFormat="1"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rPr>
      <w:sz w:val="24"/>
      <w:szCs w:val="20"/>
    </w:rPr>
  </w:style>
  <w:style w:type="paragraph" w:styleId="3">
    <w:name w:val="Plain Text"/>
    <w:basedOn w:val="1"/>
    <w:unhideWhenUsed/>
    <w:qFormat/>
    <w:uiPriority w:val="0"/>
    <w:rPr>
      <w:rFonts w:ascii="宋体" w:hAnsi="Courier New"/>
      <w:kern w:val="0"/>
      <w:sz w:val="20"/>
      <w:szCs w:val="21"/>
    </w:rPr>
  </w:style>
  <w:style w:type="table" w:styleId="5">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
    <w:name w:val="Table Normal"/>
    <w:unhideWhenUsed/>
    <w:qFormat/>
    <w:uiPriority w:val="0"/>
    <w:tblPr>
      <w:tblCellMar>
        <w:top w:w="0" w:type="dxa"/>
        <w:left w:w="0" w:type="dxa"/>
        <w:bottom w:w="0" w:type="dxa"/>
        <w:right w:w="0" w:type="dxa"/>
      </w:tblCellMar>
    </w:tblPr>
  </w:style>
  <w:style w:type="paragraph" w:customStyle="1" w:styleId="8">
    <w:name w:val="标题 11"/>
    <w:basedOn w:val="1"/>
    <w:next w:val="1"/>
    <w:link w:val="12"/>
    <w:qFormat/>
    <w:uiPriority w:val="9"/>
    <w:pPr>
      <w:keepNext/>
      <w:keepLines/>
      <w:spacing w:before="340" w:after="330" w:line="578" w:lineRule="auto"/>
      <w:outlineLvl w:val="0"/>
    </w:pPr>
    <w:rPr>
      <w:b/>
      <w:bCs/>
      <w:kern w:val="44"/>
      <w:sz w:val="44"/>
      <w:szCs w:val="44"/>
    </w:rPr>
  </w:style>
  <w:style w:type="paragraph" w:customStyle="1" w:styleId="9">
    <w:name w:val="标题 21"/>
    <w:basedOn w:val="1"/>
    <w:next w:val="10"/>
    <w:link w:val="13"/>
    <w:qFormat/>
    <w:uiPriority w:val="0"/>
    <w:pPr>
      <w:keepNext/>
      <w:spacing w:line="360" w:lineRule="auto"/>
      <w:outlineLvl w:val="1"/>
    </w:pPr>
    <w:rPr>
      <w:sz w:val="28"/>
    </w:rPr>
  </w:style>
  <w:style w:type="paragraph" w:customStyle="1" w:styleId="10">
    <w:name w:val="正文缩进1"/>
    <w:basedOn w:val="1"/>
    <w:qFormat/>
    <w:uiPriority w:val="99"/>
    <w:pPr>
      <w:ind w:firstLine="420"/>
    </w:pPr>
    <w:rPr>
      <w:sz w:val="24"/>
      <w:szCs w:val="20"/>
    </w:rPr>
  </w:style>
  <w:style w:type="table" w:customStyle="1" w:styleId="11">
    <w:name w:val="普通表格1"/>
    <w:unhideWhenUsed/>
    <w:qFormat/>
    <w:uiPriority w:val="99"/>
    <w:tblPr>
      <w:tblCellMar>
        <w:top w:w="0" w:type="dxa"/>
        <w:left w:w="108" w:type="dxa"/>
        <w:bottom w:w="0" w:type="dxa"/>
        <w:right w:w="108" w:type="dxa"/>
      </w:tblCellMar>
    </w:tblPr>
  </w:style>
  <w:style w:type="character" w:customStyle="1" w:styleId="12">
    <w:name w:val="标题 1 Char"/>
    <w:basedOn w:val="7"/>
    <w:link w:val="8"/>
    <w:qFormat/>
    <w:uiPriority w:val="9"/>
    <w:rPr>
      <w:rFonts w:ascii="Times New Roman" w:hAnsi="Times New Roman"/>
      <w:b/>
      <w:bCs/>
      <w:kern w:val="44"/>
      <w:sz w:val="44"/>
      <w:szCs w:val="44"/>
    </w:rPr>
  </w:style>
  <w:style w:type="character" w:customStyle="1" w:styleId="13">
    <w:name w:val="标题 2 Char"/>
    <w:basedOn w:val="7"/>
    <w:link w:val="9"/>
    <w:qFormat/>
    <w:uiPriority w:val="0"/>
    <w:rPr>
      <w:rFonts w:ascii="Times New Roman" w:hAnsi="Times New Roman" w:eastAsia="宋体" w:cs="Times New Roman"/>
      <w:sz w:val="28"/>
      <w:szCs w:val="24"/>
    </w:rPr>
  </w:style>
  <w:style w:type="paragraph" w:customStyle="1" w:styleId="14">
    <w:name w:val="文档结构图1"/>
    <w:basedOn w:val="1"/>
    <w:link w:val="15"/>
    <w:unhideWhenUsed/>
    <w:qFormat/>
    <w:uiPriority w:val="99"/>
    <w:rPr>
      <w:rFonts w:ascii="宋体"/>
      <w:sz w:val="18"/>
      <w:szCs w:val="18"/>
    </w:rPr>
  </w:style>
  <w:style w:type="character" w:customStyle="1" w:styleId="15">
    <w:name w:val="文档结构图 Char"/>
    <w:basedOn w:val="7"/>
    <w:link w:val="14"/>
    <w:semiHidden/>
    <w:qFormat/>
    <w:uiPriority w:val="99"/>
    <w:rPr>
      <w:rFonts w:ascii="宋体" w:hAnsi="Times New Roman" w:eastAsia="宋体" w:cs="Times New Roman"/>
      <w:sz w:val="18"/>
      <w:szCs w:val="18"/>
    </w:rPr>
  </w:style>
  <w:style w:type="paragraph" w:customStyle="1" w:styleId="16">
    <w:name w:val="批注文字11"/>
    <w:basedOn w:val="1"/>
    <w:unhideWhenUsed/>
    <w:qFormat/>
    <w:uiPriority w:val="99"/>
    <w:pPr>
      <w:jc w:val="left"/>
    </w:pPr>
  </w:style>
  <w:style w:type="paragraph" w:customStyle="1" w:styleId="17">
    <w:name w:val="正文文本1"/>
    <w:basedOn w:val="1"/>
    <w:next w:val="18"/>
    <w:link w:val="19"/>
    <w:unhideWhenUsed/>
    <w:qFormat/>
    <w:uiPriority w:val="99"/>
    <w:pPr>
      <w:spacing w:after="120"/>
    </w:pPr>
  </w:style>
  <w:style w:type="paragraph" w:customStyle="1" w:styleId="18">
    <w:name w:val="列表项目符号 51"/>
    <w:basedOn w:val="1"/>
    <w:unhideWhenUsed/>
    <w:qFormat/>
    <w:uiPriority w:val="99"/>
    <w:pPr>
      <w:numPr>
        <w:ilvl w:val="0"/>
        <w:numId w:val="1"/>
      </w:numPr>
    </w:pPr>
  </w:style>
  <w:style w:type="character" w:customStyle="1" w:styleId="19">
    <w:name w:val="正文文本 Char"/>
    <w:basedOn w:val="7"/>
    <w:link w:val="17"/>
    <w:semiHidden/>
    <w:qFormat/>
    <w:uiPriority w:val="99"/>
    <w:rPr>
      <w:rFonts w:ascii="Times New Roman" w:hAnsi="Times New Roman" w:eastAsia="宋体" w:cs="Times New Roman"/>
      <w:szCs w:val="24"/>
    </w:rPr>
  </w:style>
  <w:style w:type="paragraph" w:customStyle="1" w:styleId="20">
    <w:name w:val="正文文本缩进1"/>
    <w:basedOn w:val="1"/>
    <w:next w:val="1"/>
    <w:link w:val="21"/>
    <w:unhideWhenUsed/>
    <w:qFormat/>
    <w:uiPriority w:val="99"/>
    <w:pPr>
      <w:spacing w:after="120"/>
      <w:ind w:left="420" w:leftChars="200"/>
    </w:pPr>
  </w:style>
  <w:style w:type="character" w:customStyle="1" w:styleId="21">
    <w:name w:val="正文文本缩进 Char"/>
    <w:basedOn w:val="7"/>
    <w:link w:val="20"/>
    <w:semiHidden/>
    <w:qFormat/>
    <w:uiPriority w:val="99"/>
    <w:rPr>
      <w:rFonts w:ascii="Times New Roman" w:hAnsi="Times New Roman" w:eastAsia="宋体" w:cs="Times New Roman"/>
      <w:szCs w:val="24"/>
    </w:rPr>
  </w:style>
  <w:style w:type="paragraph" w:customStyle="1" w:styleId="22">
    <w:name w:val="文本块1"/>
    <w:basedOn w:val="1"/>
    <w:unhideWhenUsed/>
    <w:qFormat/>
    <w:uiPriority w:val="99"/>
    <w:pPr>
      <w:adjustRightInd/>
      <w:snapToGrid/>
      <w:spacing w:line="240" w:lineRule="auto"/>
      <w:ind w:left="-359" w:leftChars="-171" w:right="-334" w:rightChars="-159" w:firstLine="538" w:firstLineChars="192"/>
    </w:pPr>
    <w:rPr>
      <w:sz w:val="28"/>
      <w:szCs w:val="24"/>
    </w:rPr>
  </w:style>
  <w:style w:type="paragraph" w:customStyle="1" w:styleId="23">
    <w:name w:val="纯文本11"/>
    <w:basedOn w:val="1"/>
    <w:unhideWhenUsed/>
    <w:qFormat/>
    <w:uiPriority w:val="0"/>
    <w:rPr>
      <w:rFonts w:ascii="宋体" w:hAnsi="Courier New"/>
      <w:kern w:val="0"/>
      <w:sz w:val="20"/>
      <w:szCs w:val="21"/>
    </w:rPr>
  </w:style>
  <w:style w:type="paragraph" w:customStyle="1" w:styleId="24">
    <w:name w:val="正文文本缩进 21"/>
    <w:basedOn w:val="1"/>
    <w:link w:val="25"/>
    <w:unhideWhenUsed/>
    <w:qFormat/>
    <w:uiPriority w:val="99"/>
    <w:pPr>
      <w:spacing w:after="120" w:line="480" w:lineRule="auto"/>
      <w:ind w:left="420" w:leftChars="200"/>
    </w:pPr>
  </w:style>
  <w:style w:type="character" w:customStyle="1" w:styleId="25">
    <w:name w:val="正文文本缩进 2 Char"/>
    <w:basedOn w:val="7"/>
    <w:link w:val="24"/>
    <w:qFormat/>
    <w:uiPriority w:val="99"/>
    <w:rPr>
      <w:rFonts w:ascii="Times New Roman" w:hAnsi="Times New Roman" w:eastAsia="宋体" w:cs="Times New Roman"/>
      <w:szCs w:val="24"/>
    </w:rPr>
  </w:style>
  <w:style w:type="paragraph" w:customStyle="1" w:styleId="26">
    <w:name w:val="批注框文本1"/>
    <w:basedOn w:val="1"/>
    <w:link w:val="27"/>
    <w:unhideWhenUsed/>
    <w:qFormat/>
    <w:uiPriority w:val="99"/>
    <w:rPr>
      <w:sz w:val="18"/>
      <w:szCs w:val="18"/>
    </w:rPr>
  </w:style>
  <w:style w:type="character" w:customStyle="1" w:styleId="27">
    <w:name w:val="批注框文本 Char"/>
    <w:basedOn w:val="7"/>
    <w:link w:val="26"/>
    <w:semiHidden/>
    <w:qFormat/>
    <w:uiPriority w:val="99"/>
    <w:rPr>
      <w:rFonts w:ascii="Times New Roman" w:hAnsi="Times New Roman" w:eastAsia="宋体" w:cs="Times New Roman"/>
      <w:sz w:val="18"/>
      <w:szCs w:val="18"/>
    </w:rPr>
  </w:style>
  <w:style w:type="paragraph" w:customStyle="1" w:styleId="28">
    <w:name w:val="页脚1"/>
    <w:basedOn w:val="1"/>
    <w:link w:val="29"/>
    <w:unhideWhenUsed/>
    <w:qFormat/>
    <w:uiPriority w:val="99"/>
    <w:pPr>
      <w:tabs>
        <w:tab w:val="center" w:pos="4153"/>
        <w:tab w:val="right" w:pos="8306"/>
      </w:tabs>
      <w:snapToGrid w:val="0"/>
      <w:jc w:val="left"/>
    </w:pPr>
    <w:rPr>
      <w:rFonts w:ascii="Calibri" w:hAnsi="Calibri" w:eastAsia="宋体" w:cs="Times New Roman"/>
      <w:sz w:val="18"/>
      <w:szCs w:val="18"/>
    </w:rPr>
  </w:style>
  <w:style w:type="character" w:customStyle="1" w:styleId="29">
    <w:name w:val="页脚 Char"/>
    <w:basedOn w:val="7"/>
    <w:link w:val="28"/>
    <w:qFormat/>
    <w:uiPriority w:val="99"/>
    <w:rPr>
      <w:sz w:val="18"/>
      <w:szCs w:val="18"/>
    </w:rPr>
  </w:style>
  <w:style w:type="paragraph" w:customStyle="1" w:styleId="30">
    <w:name w:val="页眉1"/>
    <w:basedOn w:val="1"/>
    <w:next w:val="31"/>
    <w:link w:val="32"/>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customStyle="1" w:styleId="31">
    <w:name w:val="样式5"/>
    <w:basedOn w:val="10"/>
    <w:qFormat/>
    <w:uiPriority w:val="0"/>
    <w:pPr>
      <w:widowControl w:val="0"/>
      <w:snapToGrid w:val="0"/>
      <w:spacing w:line="360" w:lineRule="auto"/>
      <w:ind w:firstLine="510" w:firstLineChars="200"/>
      <w:jc w:val="center"/>
    </w:pPr>
    <w:rPr>
      <w:rFonts w:ascii="黑体" w:hAnsi="宋体" w:eastAsia="黑体"/>
      <w:color w:val="000000"/>
      <w:sz w:val="24"/>
      <w:szCs w:val="22"/>
      <w:lang w:val="en-US" w:eastAsia="zh-CN" w:bidi="ar-SA"/>
    </w:rPr>
  </w:style>
  <w:style w:type="character" w:customStyle="1" w:styleId="32">
    <w:name w:val="页眉 Char"/>
    <w:basedOn w:val="7"/>
    <w:link w:val="30"/>
    <w:semiHidden/>
    <w:qFormat/>
    <w:uiPriority w:val="99"/>
    <w:rPr>
      <w:sz w:val="18"/>
      <w:szCs w:val="18"/>
    </w:rPr>
  </w:style>
  <w:style w:type="paragraph" w:customStyle="1" w:styleId="33">
    <w:name w:val="图表目录1"/>
    <w:basedOn w:val="1"/>
    <w:next w:val="1"/>
    <w:unhideWhenUsed/>
    <w:qFormat/>
    <w:uiPriority w:val="0"/>
    <w:pPr>
      <w:spacing w:before="100" w:beforeAutospacing="1" w:after="100" w:afterAutospacing="1"/>
      <w:ind w:left="200" w:leftChars="200" w:hanging="200" w:hangingChars="200"/>
    </w:pPr>
  </w:style>
  <w:style w:type="paragraph" w:customStyle="1" w:styleId="34">
    <w:name w:val="正文文本 21"/>
    <w:basedOn w:val="1"/>
    <w:link w:val="35"/>
    <w:unhideWhenUsed/>
    <w:qFormat/>
    <w:uiPriority w:val="99"/>
    <w:pPr>
      <w:spacing w:after="120" w:line="480" w:lineRule="auto"/>
    </w:pPr>
  </w:style>
  <w:style w:type="character" w:customStyle="1" w:styleId="35">
    <w:name w:val="正文文本 2 Char"/>
    <w:basedOn w:val="7"/>
    <w:link w:val="34"/>
    <w:qFormat/>
    <w:uiPriority w:val="99"/>
    <w:rPr>
      <w:rFonts w:ascii="Times New Roman" w:hAnsi="Times New Roman" w:eastAsia="宋体" w:cs="Times New Roman"/>
      <w:szCs w:val="24"/>
    </w:rPr>
  </w:style>
  <w:style w:type="paragraph" w:customStyle="1" w:styleId="36">
    <w:name w:val="普通(网站)1"/>
    <w:basedOn w:val="1"/>
    <w:link w:val="37"/>
    <w:qFormat/>
    <w:uiPriority w:val="0"/>
    <w:pPr>
      <w:widowControl/>
      <w:spacing w:before="100" w:beforeAutospacing="1" w:after="100" w:afterAutospacing="1"/>
      <w:jc w:val="left"/>
    </w:pPr>
    <w:rPr>
      <w:rFonts w:ascii="宋体" w:hAnsi="宋体"/>
      <w:kern w:val="0"/>
      <w:sz w:val="24"/>
      <w:szCs w:val="20"/>
    </w:rPr>
  </w:style>
  <w:style w:type="character" w:customStyle="1" w:styleId="37">
    <w:name w:val="普通(网站) Char"/>
    <w:link w:val="36"/>
    <w:qFormat/>
    <w:locked/>
    <w:uiPriority w:val="0"/>
    <w:rPr>
      <w:rFonts w:ascii="宋体" w:hAnsi="宋体" w:eastAsia="宋体"/>
      <w:sz w:val="24"/>
    </w:rPr>
  </w:style>
  <w:style w:type="paragraph" w:customStyle="1" w:styleId="38">
    <w:name w:val="正文首行缩进1"/>
    <w:basedOn w:val="17"/>
    <w:link w:val="39"/>
    <w:unhideWhenUsed/>
    <w:qFormat/>
    <w:uiPriority w:val="99"/>
    <w:pPr>
      <w:ind w:firstLine="420" w:firstLineChars="100"/>
    </w:pPr>
  </w:style>
  <w:style w:type="character" w:customStyle="1" w:styleId="39">
    <w:name w:val="正文首行缩进 Char"/>
    <w:basedOn w:val="19"/>
    <w:link w:val="38"/>
    <w:semiHidden/>
    <w:qFormat/>
    <w:uiPriority w:val="99"/>
  </w:style>
  <w:style w:type="paragraph" w:customStyle="1" w:styleId="40">
    <w:name w:val="正文首行缩进 21"/>
    <w:basedOn w:val="20"/>
    <w:next w:val="38"/>
    <w:link w:val="41"/>
    <w:unhideWhenUsed/>
    <w:qFormat/>
    <w:uiPriority w:val="99"/>
    <w:pPr>
      <w:ind w:firstLine="420" w:firstLineChars="200"/>
    </w:pPr>
  </w:style>
  <w:style w:type="character" w:customStyle="1" w:styleId="41">
    <w:name w:val="正文首行缩进 2 Char"/>
    <w:basedOn w:val="21"/>
    <w:link w:val="40"/>
    <w:semiHidden/>
    <w:qFormat/>
    <w:uiPriority w:val="99"/>
  </w:style>
  <w:style w:type="table" w:customStyle="1" w:styleId="42">
    <w:name w:val="网格型1"/>
    <w:basedOn w:val="1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43">
    <w:name w:val="要点1"/>
    <w:basedOn w:val="7"/>
    <w:qFormat/>
    <w:uiPriority w:val="22"/>
    <w:rPr>
      <w:b/>
      <w:bCs/>
    </w:rPr>
  </w:style>
  <w:style w:type="character" w:customStyle="1" w:styleId="44">
    <w:name w:val="页码1"/>
    <w:basedOn w:val="7"/>
    <w:qFormat/>
    <w:uiPriority w:val="0"/>
  </w:style>
  <w:style w:type="character" w:customStyle="1" w:styleId="45">
    <w:name w:val="超链接1"/>
    <w:basedOn w:val="7"/>
    <w:qFormat/>
    <w:uiPriority w:val="0"/>
    <w:rPr>
      <w:color w:val="0000FF"/>
      <w:u w:val="single"/>
    </w:rPr>
  </w:style>
  <w:style w:type="paragraph" w:customStyle="1" w:styleId="46">
    <w:name w:val="Default"/>
    <w:basedOn w:val="47"/>
    <w:qFormat/>
    <w:uiPriority w:val="0"/>
    <w:pPr>
      <w:autoSpaceDE w:val="0"/>
      <w:autoSpaceDN w:val="0"/>
      <w:adjustRightInd w:val="0"/>
      <w:jc w:val="center"/>
      <w:textAlignment w:val="baseline"/>
    </w:pPr>
    <w:rPr>
      <w:rFonts w:ascii="宋体" w:hAnsi="Calibri" w:cs="宋体"/>
      <w:color w:val="000000"/>
      <w:sz w:val="24"/>
    </w:rPr>
  </w:style>
  <w:style w:type="paragraph" w:customStyle="1" w:styleId="47">
    <w:name w:val="纯文本1"/>
    <w:basedOn w:val="1"/>
    <w:qFormat/>
    <w:uiPriority w:val="0"/>
    <w:pPr>
      <w:adjustRightInd w:val="0"/>
      <w:jc w:val="center"/>
      <w:textAlignment w:val="baseline"/>
    </w:pPr>
    <w:rPr>
      <w:rFonts w:ascii="宋体" w:hAnsi="Courier New" w:eastAsia="宋体" w:cs="Times New Roman"/>
      <w:sz w:val="24"/>
      <w:szCs w:val="20"/>
    </w:rPr>
  </w:style>
  <w:style w:type="paragraph" w:customStyle="1" w:styleId="48">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9">
    <w:name w:val="表格 Char"/>
    <w:link w:val="50"/>
    <w:qFormat/>
    <w:locked/>
    <w:uiPriority w:val="0"/>
    <w:rPr>
      <w:rFonts w:ascii="宋体"/>
    </w:rPr>
  </w:style>
  <w:style w:type="paragraph" w:customStyle="1" w:styleId="50">
    <w:name w:val="表格"/>
    <w:basedOn w:val="2"/>
    <w:next w:val="1"/>
    <w:link w:val="49"/>
    <w:qFormat/>
    <w:uiPriority w:val="0"/>
    <w:pPr>
      <w:adjustRightInd w:val="0"/>
      <w:snapToGrid w:val="0"/>
      <w:spacing w:beforeLines="10" w:afterLines="10" w:line="259" w:lineRule="auto"/>
      <w:jc w:val="center"/>
    </w:pPr>
    <w:rPr>
      <w:rFonts w:ascii="宋体" w:hAnsi="Calibri"/>
      <w:kern w:val="0"/>
      <w:sz w:val="20"/>
      <w:szCs w:val="20"/>
    </w:rPr>
  </w:style>
  <w:style w:type="paragraph" w:customStyle="1" w:styleId="51">
    <w:name w:val="图表题"/>
    <w:basedOn w:val="1"/>
    <w:next w:val="1"/>
    <w:qFormat/>
    <w:uiPriority w:val="0"/>
    <w:pPr>
      <w:adjustRightInd w:val="0"/>
      <w:snapToGrid w:val="0"/>
      <w:spacing w:line="360" w:lineRule="auto"/>
      <w:jc w:val="center"/>
    </w:pPr>
    <w:rPr>
      <w:rFonts w:eastAsia="黑体"/>
      <w:sz w:val="24"/>
      <w:szCs w:val="20"/>
    </w:rPr>
  </w:style>
  <w:style w:type="character" w:customStyle="1" w:styleId="52">
    <w:name w:val="fontstyle01"/>
    <w:basedOn w:val="7"/>
    <w:qFormat/>
    <w:uiPriority w:val="0"/>
    <w:rPr>
      <w:rFonts w:hint="default" w:ascii="????" w:hAnsi="????"/>
      <w:color w:val="000000"/>
      <w:kern w:val="0"/>
      <w:sz w:val="24"/>
      <w:szCs w:val="24"/>
      <w:lang w:eastAsia="en-US"/>
    </w:rPr>
  </w:style>
  <w:style w:type="character" w:customStyle="1" w:styleId="53">
    <w:name w:val="Body text (2)_"/>
    <w:link w:val="54"/>
    <w:qFormat/>
    <w:uiPriority w:val="0"/>
    <w:rPr>
      <w:rFonts w:eastAsia="Times New Roman"/>
      <w:kern w:val="0"/>
      <w:sz w:val="26"/>
      <w:szCs w:val="26"/>
      <w:shd w:val="clear" w:color="auto" w:fill="FFFFFF"/>
    </w:rPr>
  </w:style>
  <w:style w:type="paragraph" w:customStyle="1" w:styleId="54">
    <w:name w:val="Body text (2)"/>
    <w:basedOn w:val="1"/>
    <w:link w:val="53"/>
    <w:qFormat/>
    <w:uiPriority w:val="0"/>
    <w:pPr>
      <w:shd w:val="clear" w:color="auto" w:fill="FFFFFF"/>
      <w:spacing w:line="503" w:lineRule="exact"/>
      <w:jc w:val="distribute"/>
    </w:pPr>
    <w:rPr>
      <w:rFonts w:ascii="Calibri" w:hAnsi="Calibri" w:eastAsia="Times New Roman"/>
      <w:kern w:val="0"/>
      <w:sz w:val="26"/>
      <w:szCs w:val="26"/>
    </w:rPr>
  </w:style>
  <w:style w:type="paragraph" w:customStyle="1" w:styleId="55">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56">
    <w:name w:val="惠泽正文"/>
    <w:basedOn w:val="1"/>
    <w:qFormat/>
    <w:uiPriority w:val="0"/>
    <w:pPr>
      <w:spacing w:line="480" w:lineRule="exact"/>
      <w:ind w:firstLine="480" w:firstLineChars="200"/>
    </w:pPr>
    <w:rPr>
      <w:rFonts w:hAnsi="宋体" w:cs="宋体"/>
      <w:sz w:val="24"/>
      <w:szCs w:val="20"/>
    </w:rPr>
  </w:style>
  <w:style w:type="paragraph" w:customStyle="1" w:styleId="5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9">
    <w:name w:val="Char Char1 Char Char Char Char Char Char Char Char Char Char Char Char Char Char Char Char Char Char Char Char1 Char"/>
    <w:basedOn w:val="1"/>
    <w:qFormat/>
    <w:uiPriority w:val="0"/>
    <w:pPr>
      <w:adjustRightInd w:val="0"/>
      <w:snapToGrid w:val="0"/>
      <w:spacing w:line="360" w:lineRule="auto"/>
      <w:ind w:firstLine="200" w:firstLineChars="200"/>
    </w:pPr>
    <w:rPr>
      <w:rFonts w:ascii="宋体" w:hAnsi="宋体" w:cs="宋体"/>
      <w:sz w:val="24"/>
    </w:rPr>
  </w:style>
  <w:style w:type="paragraph" w:customStyle="1" w:styleId="60">
    <w:name w:val="ZN表头"/>
    <w:basedOn w:val="1"/>
    <w:qFormat/>
    <w:uiPriority w:val="0"/>
    <w:pPr>
      <w:spacing w:beforeLines="30"/>
      <w:jc w:val="center"/>
    </w:pPr>
    <w:rPr>
      <w:b/>
      <w:sz w:val="24"/>
      <w:szCs w:val="22"/>
    </w:rPr>
  </w:style>
  <w:style w:type="paragraph" w:customStyle="1" w:styleId="61">
    <w:name w:val="报告表格"/>
    <w:basedOn w:val="1"/>
    <w:qFormat/>
    <w:uiPriority w:val="0"/>
    <w:pPr>
      <w:autoSpaceDE w:val="0"/>
      <w:autoSpaceDN w:val="0"/>
      <w:adjustRightInd w:val="0"/>
      <w:jc w:val="center"/>
    </w:pPr>
    <w:rPr>
      <w:kern w:val="0"/>
      <w:szCs w:val="21"/>
    </w:rPr>
  </w:style>
  <w:style w:type="paragraph" w:customStyle="1" w:styleId="62">
    <w:name w:val="表头"/>
    <w:basedOn w:val="17"/>
    <w:qFormat/>
    <w:uiPriority w:val="0"/>
    <w:pPr>
      <w:widowControl/>
      <w:snapToGrid w:val="0"/>
      <w:spacing w:before="60" w:after="160"/>
      <w:ind w:right="113"/>
      <w:jc w:val="center"/>
    </w:pPr>
    <w:rPr>
      <w:b/>
      <w:bCs/>
      <w:kern w:val="0"/>
      <w:sz w:val="18"/>
      <w:szCs w:val="21"/>
    </w:rPr>
  </w:style>
  <w:style w:type="paragraph" w:customStyle="1" w:styleId="63">
    <w:name w:val="22222"/>
    <w:basedOn w:val="1"/>
    <w:qFormat/>
    <w:uiPriority w:val="0"/>
    <w:pPr>
      <w:spacing w:line="480" w:lineRule="exact"/>
      <w:ind w:firstLine="480" w:firstLineChars="200"/>
    </w:pPr>
    <w:rPr>
      <w:rFonts w:hAnsi="宋体"/>
      <w:sz w:val="24"/>
    </w:rPr>
  </w:style>
  <w:style w:type="paragraph" w:customStyle="1" w:styleId="64">
    <w:name w:val="【表中文字】"/>
    <w:basedOn w:val="1"/>
    <w:next w:val="1"/>
    <w:qFormat/>
    <w:uiPriority w:val="0"/>
    <w:pPr>
      <w:jc w:val="center"/>
    </w:pPr>
    <w:rPr>
      <w:szCs w:val="20"/>
    </w:rPr>
  </w:style>
  <w:style w:type="paragraph" w:customStyle="1" w:styleId="65">
    <w:name w:val="无间隔表格内"/>
    <w:basedOn w:val="1"/>
    <w:qFormat/>
    <w:uiPriority w:val="0"/>
    <w:pPr>
      <w:snapToGrid w:val="0"/>
      <w:jc w:val="center"/>
    </w:pPr>
  </w:style>
  <w:style w:type="paragraph" w:customStyle="1" w:styleId="66">
    <w:name w:val="无间隔"/>
    <w:basedOn w:val="1"/>
    <w:qFormat/>
    <w:uiPriority w:val="99"/>
    <w:pPr>
      <w:spacing w:before="40" w:after="40" w:line="360" w:lineRule="auto"/>
      <w:jc w:val="center"/>
    </w:pPr>
    <w:rPr>
      <w:rFonts w:ascii="Calibri" w:hAnsi="Calibri"/>
      <w:b/>
      <w:sz w:val="30"/>
      <w:szCs w:val="22"/>
    </w:rPr>
  </w:style>
  <w:style w:type="paragraph" w:customStyle="1" w:styleId="67">
    <w:name w:val="表格标题"/>
    <w:basedOn w:val="17"/>
    <w:qFormat/>
    <w:uiPriority w:val="0"/>
    <w:pPr>
      <w:widowControl/>
      <w:snapToGrid w:val="0"/>
      <w:spacing w:before="120" w:after="160" w:line="259" w:lineRule="auto"/>
      <w:ind w:right="113"/>
      <w:jc w:val="center"/>
    </w:pPr>
    <w:rPr>
      <w:rFonts w:eastAsia="仿宋_GB2312"/>
      <w:kern w:val="0"/>
      <w:sz w:val="24"/>
      <w:szCs w:val="20"/>
    </w:rPr>
  </w:style>
  <w:style w:type="paragraph" w:customStyle="1" w:styleId="68">
    <w:name w:val="Table Paragraph"/>
    <w:basedOn w:val="1"/>
    <w:qFormat/>
    <w:uiPriority w:val="0"/>
    <w:pPr>
      <w:jc w:val="center"/>
    </w:pPr>
    <w:rPr>
      <w:rFonts w:ascii="宋体" w:hAnsi="宋体" w:cs="宋体"/>
      <w:kern w:val="0"/>
      <w:sz w:val="22"/>
      <w:szCs w:val="22"/>
      <w:lang w:eastAsia="en-US"/>
    </w:rPr>
  </w:style>
  <w:style w:type="paragraph" w:customStyle="1" w:styleId="69">
    <w:name w:val="_Style 3"/>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70">
    <w:name w:val="4正文"/>
    <w:basedOn w:val="1"/>
    <w:qFormat/>
    <w:uiPriority w:val="0"/>
    <w:pPr>
      <w:ind w:firstLine="480"/>
    </w:pPr>
    <w:rPr>
      <w:kern w:val="0"/>
      <w:sz w:val="20"/>
      <w:szCs w:val="20"/>
    </w:rPr>
  </w:style>
  <w:style w:type="paragraph" w:customStyle="1" w:styleId="71">
    <w:name w:val="列出段落11"/>
    <w:basedOn w:val="1"/>
    <w:qFormat/>
    <w:uiPriority w:val="0"/>
    <w:pPr>
      <w:ind w:firstLine="420" w:firstLineChars="200"/>
    </w:pPr>
    <w:rPr>
      <w:szCs w:val="21"/>
    </w:rPr>
  </w:style>
  <w:style w:type="character" w:customStyle="1" w:styleId="72">
    <w:name w:val="正文文本 (2) + 10 pt"/>
    <w:qFormat/>
    <w:uiPriority w:val="0"/>
    <w:rPr>
      <w:rFonts w:ascii="宋体" w:hAnsi="宋体" w:eastAsia="宋体" w:cs="宋体"/>
      <w:color w:val="000000"/>
      <w:spacing w:val="0"/>
      <w:position w:val="0"/>
      <w:sz w:val="20"/>
      <w:szCs w:val="20"/>
      <w:u w:val="none"/>
      <w:shd w:val="clear" w:color="auto" w:fill="FFFFFF"/>
      <w:lang w:val="zh-CN" w:eastAsia="zh-CN" w:bidi="zh-CN"/>
    </w:rPr>
  </w:style>
  <w:style w:type="paragraph" w:customStyle="1" w:styleId="73">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customXml" Target="../customXml/item4.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5.wmf"/><Relationship Id="rId37" Type="http://schemas.openxmlformats.org/officeDocument/2006/relationships/image" Target="media/image24.wmf"/><Relationship Id="rId36" Type="http://schemas.openxmlformats.org/officeDocument/2006/relationships/image" Target="media/image23.wmf"/><Relationship Id="rId35" Type="http://schemas.openxmlformats.org/officeDocument/2006/relationships/image" Target="media/image22.wmf"/><Relationship Id="rId34" Type="http://schemas.openxmlformats.org/officeDocument/2006/relationships/image" Target="media/image21.wmf"/><Relationship Id="rId33" Type="http://schemas.openxmlformats.org/officeDocument/2006/relationships/image" Target="media/image20.wmf"/><Relationship Id="rId32" Type="http://schemas.openxmlformats.org/officeDocument/2006/relationships/image" Target="media/image19.wmf"/><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image" Target="media/image15.wmf"/><Relationship Id="rId27" Type="http://schemas.openxmlformats.org/officeDocument/2006/relationships/image" Target="media/image14.wmf"/><Relationship Id="rId26" Type="http://schemas.openxmlformats.org/officeDocument/2006/relationships/image" Target="media/image13.wmf"/><Relationship Id="rId25" Type="http://schemas.openxmlformats.org/officeDocument/2006/relationships/image" Target="media/image12.wmf"/><Relationship Id="rId24" Type="http://schemas.openxmlformats.org/officeDocument/2006/relationships/image" Target="media/image11.png"/><Relationship Id="rId23" Type="http://schemas.openxmlformats.org/officeDocument/2006/relationships/image" Target="media/image10.emf"/><Relationship Id="rId22" Type="http://schemas.openxmlformats.org/officeDocument/2006/relationships/oleObject" Target="embeddings/oleObject6.bin"/><Relationship Id="rId21" Type="http://schemas.openxmlformats.org/officeDocument/2006/relationships/image" Target="media/image9.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4.bin"/><Relationship Id="rId17" Type="http://schemas.openxmlformats.org/officeDocument/2006/relationships/image" Target="media/image7.emf"/><Relationship Id="rId16" Type="http://schemas.openxmlformats.org/officeDocument/2006/relationships/oleObject" Target="embeddings/oleObject3.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2.xml><?xml version="1.0" encoding="utf-8"?>
<Properties xmlns:vt="http://schemas.openxmlformats.org/officeDocument/2006/docPropsVTypes" xmlns="http://schemas.openxmlformats.org/officeDocument/2006/custom-properties">
  <property fmtid="{D5CDD505-2E9C-101B-9397-08002B2CF9AE}" pid="2" name="KSOTemplateDocerSaveRecord">
    <vt:lpwstr>eyJoZGlkIjoiNmYyOWIxZDc3YTYyYjM0ZjJhODg5OTgzYTAyMzFjMGIiLCJ1c2VySWQiOiIyNDIwMTc4ODUifQ_x003D__x003D_</vt:lpwstr>
  </property>
  <property fmtid="{D5CDD505-2E9C-101B-9397-08002B2CF9AE}" pid="3" name="KSOProductBuildVer">
    <vt:lpwstr>2052-12.1.0.21541</vt:lpwstr>
  </property>
  <property fmtid="{D5CDD505-2E9C-101B-9397-08002B2CF9AE}" pid="4" name="ICV">
    <vt:lpwstr>9492C8952CCA47D78D989031EF323997_12</vt:lpwstr>
  </property>
</Properties>
</file>

<file path=customXml/item3.xml><?xml version="1.0" encoding="utf-8"?>
<Properties xmlns:vt="http://schemas.openxmlformats.org/officeDocument/2006/docPropsVTypes" xmlns="http://schemas.openxmlformats.org/officeDocument/2006/extended-properties">
  <Template>Normal.dotm</Template>
  <TotalTime>157264800</TotalTime>
  <Pages>64</Pages>
  <Words>7641</Words>
  <Characters>7927</Characters>
  <Application>WPS Office_12.1.0.21541_F1E327BC-269C-435d-A152-05C5408002CA</Application>
  <DocSecurity>0</DocSecurity>
  <Lines>286</Lines>
  <Paragraphs>80</Paragraphs>
  <CharactersWithSpaces>8023</CharactersWithSpaces>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creator>wg</dc:creator>
  <cp:lastModifiedBy>长安节能</cp:lastModifiedBy>
  <cp:revision>12</cp:revision>
  <cp:lastPrinted>2024-08-08T08:02:00Z</cp:lastPrinted>
  <dcterms:created xsi:type="dcterms:W3CDTF">2024-07-30T05:46:00Z</dcterms:created>
  <dcterms:modified xsi:type="dcterms:W3CDTF">2025-06-12T02:02:33Z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0ff4c5-1fd9-45bd-8810-5e624cc192b0}">
  <ds:schemaRefs/>
</ds:datastoreItem>
</file>

<file path=customXml/itemProps3.xml><?xml version="1.0" encoding="utf-8"?>
<ds:datastoreItem xmlns:ds="http://schemas.openxmlformats.org/officeDocument/2006/customXml" ds:itemID="{83514060-e343-48f7-a07a-2ac203e5a3ca}">
  <ds:schemaRefs/>
</ds:datastoreItem>
</file>

<file path=customXml/itemProps4.xml><?xml version="1.0" encoding="utf-8"?>
<ds:datastoreItem xmlns:ds="http://schemas.openxmlformats.org/officeDocument/2006/customXml" ds:itemID="{d5802256-d7bd-45e6-bf50-10c06112b534}">
  <ds:schemaRefs/>
</ds:datastoreItem>
</file>

<file path=docProps/app.xml><?xml version="1.0" encoding="utf-8"?>
<Properties xmlns="http://schemas.openxmlformats.org/officeDocument/2006/extended-properties" xmlns:vt="http://schemas.openxmlformats.org/officeDocument/2006/docPropsVTypes">
  <Template>Normal.dotm</Template>
  <Pages>64</Pages>
  <Words>7630</Words>
  <Characters>7911</Characters>
  <Lines>286</Lines>
  <Paragraphs>80</Paragraphs>
  <TotalTime>0</TotalTime>
  <ScaleCrop>false</ScaleCrop>
  <LinksUpToDate>false</LinksUpToDate>
  <CharactersWithSpaces>8007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2024-07-30T05:46:00Z</dcterms:created>
  <dc:creator>wg</dc:creator>
  <cp:lastModifiedBy>长安节能</cp:lastModifiedBy>
  <cp:lastPrinted>2024-08-08T08:02:00Z</cp:lastPrinted>
  <dcterms:modified xsi:type="dcterms:W3CDTF">2025-06-17T03:12:42Z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eyJoZGlkIjoiNmYyOWIxZDc3YTYyYjM0ZjJhODg5OTgzYTAyMzFjMGIiLCJ1c2VySWQiOiIyNDIwMTc4ODUifQ==</vt:lpwstr>
  </property>
  <property fmtid="{D5CDD505-2E9C-101B-9397-08002B2CF9AE}" pid="3" name="KSOProductBuildVer">
    <vt:lpwstr>2052-12.1.0.21541</vt:lpwstr>
  </property>
  <property fmtid="{D5CDD505-2E9C-101B-9397-08002B2CF9AE}" pid="4" name="ICV">
    <vt:lpwstr>9492C8952CCA47D78D989031EF323997_12</vt:lpwstr>
  </property>
</Properties>
</file>