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1615AD">
      <w:pPr>
        <w:adjustRightInd w:val="0"/>
        <w:snapToGrid w:val="0"/>
        <w:jc w:val="both"/>
        <w:outlineLvl w:val="0"/>
        <w:rPr>
          <w:rFonts w:eastAsia="方正小标宋_GBK"/>
          <w:bCs/>
          <w:color w:val="auto"/>
          <w:sz w:val="72"/>
          <w:szCs w:val="72"/>
          <w:highlight w:val="none"/>
        </w:rPr>
      </w:pPr>
    </w:p>
    <w:p w14:paraId="7B99DE9B">
      <w:pPr>
        <w:adjustRightInd w:val="0"/>
        <w:snapToGrid w:val="0"/>
        <w:jc w:val="center"/>
        <w:outlineLvl w:val="0"/>
        <w:rPr>
          <w:rFonts w:eastAsia="方正小标宋_GBK"/>
          <w:bCs/>
          <w:color w:val="auto"/>
          <w:sz w:val="72"/>
          <w:szCs w:val="72"/>
          <w:highlight w:val="none"/>
        </w:rPr>
      </w:pPr>
      <w:bookmarkStart w:id="0" w:name="_Toc29286"/>
    </w:p>
    <w:p w14:paraId="7B1E6B63">
      <w:pPr>
        <w:adjustRightInd w:val="0"/>
        <w:snapToGrid w:val="0"/>
        <w:jc w:val="center"/>
        <w:outlineLvl w:val="0"/>
        <w:rPr>
          <w:rFonts w:eastAsia="方正小标宋_GBK"/>
          <w:bCs/>
          <w:color w:val="auto"/>
          <w:sz w:val="72"/>
          <w:szCs w:val="72"/>
          <w:highlight w:val="none"/>
        </w:rPr>
      </w:pPr>
    </w:p>
    <w:p w14:paraId="3895C486">
      <w:pPr>
        <w:adjustRightInd w:val="0"/>
        <w:snapToGrid w:val="0"/>
        <w:jc w:val="center"/>
        <w:outlineLvl w:val="0"/>
        <w:rPr>
          <w:rFonts w:eastAsia="方正小标宋_GBK"/>
          <w:bCs/>
          <w:color w:val="auto"/>
          <w:sz w:val="72"/>
          <w:szCs w:val="72"/>
          <w:highlight w:val="none"/>
        </w:rPr>
      </w:pPr>
      <w:r>
        <w:rPr>
          <w:rFonts w:eastAsia="方正小标宋_GBK"/>
          <w:bCs/>
          <w:color w:val="auto"/>
          <w:sz w:val="72"/>
          <w:szCs w:val="72"/>
          <w:highlight w:val="none"/>
        </w:rPr>
        <w:t>建设项目环境影响报告表</w:t>
      </w:r>
      <w:bookmarkEnd w:id="0"/>
    </w:p>
    <w:p w14:paraId="2940F07D">
      <w:pPr>
        <w:adjustRightInd w:val="0"/>
        <w:snapToGrid w:val="0"/>
        <w:spacing w:before="249" w:beforeLines="80"/>
        <w:jc w:val="center"/>
        <w:rPr>
          <w:rFonts w:eastAsia="楷体_GB2312"/>
          <w:bCs/>
          <w:color w:val="auto"/>
          <w:sz w:val="48"/>
          <w:szCs w:val="48"/>
          <w:highlight w:val="none"/>
        </w:rPr>
      </w:pPr>
      <w:r>
        <w:rPr>
          <w:rFonts w:eastAsia="楷体_GB2312"/>
          <w:bCs/>
          <w:color w:val="auto"/>
          <w:sz w:val="48"/>
          <w:szCs w:val="48"/>
          <w:highlight w:val="none"/>
        </w:rPr>
        <w:t>（污染影响类）</w:t>
      </w:r>
    </w:p>
    <w:p w14:paraId="59F50A3D">
      <w:pPr>
        <w:adjustRightInd w:val="0"/>
        <w:snapToGrid w:val="0"/>
        <w:spacing w:line="288" w:lineRule="auto"/>
        <w:jc w:val="center"/>
        <w:outlineLvl w:val="0"/>
        <w:rPr>
          <w:rFonts w:eastAsia="华文仿宋"/>
          <w:color w:val="auto"/>
          <w:kern w:val="44"/>
          <w:sz w:val="44"/>
          <w:szCs w:val="44"/>
          <w:highlight w:val="none"/>
        </w:rPr>
      </w:pPr>
    </w:p>
    <w:p w14:paraId="1A05CBC3">
      <w:pPr>
        <w:rPr>
          <w:rFonts w:eastAsia="仿宋"/>
          <w:color w:val="auto"/>
          <w:sz w:val="44"/>
          <w:szCs w:val="44"/>
          <w:highlight w:val="none"/>
        </w:rPr>
      </w:pPr>
    </w:p>
    <w:p w14:paraId="009B1654">
      <w:pPr>
        <w:ind w:left="1300" w:leftChars="200" w:hanging="880" w:hangingChars="200"/>
        <w:rPr>
          <w:rFonts w:eastAsia="仿宋"/>
          <w:color w:val="auto"/>
          <w:sz w:val="44"/>
          <w:szCs w:val="44"/>
          <w:highlight w:val="none"/>
        </w:rPr>
      </w:pPr>
    </w:p>
    <w:p w14:paraId="10D4C20F">
      <w:pPr>
        <w:rPr>
          <w:rFonts w:eastAsia="仿宋"/>
          <w:color w:val="auto"/>
          <w:sz w:val="44"/>
          <w:szCs w:val="44"/>
          <w:highlight w:val="none"/>
        </w:rPr>
      </w:pPr>
    </w:p>
    <w:p w14:paraId="082B3D10">
      <w:pPr>
        <w:pStyle w:val="25"/>
        <w:rPr>
          <w:rFonts w:eastAsia="仿宋"/>
          <w:color w:val="auto"/>
          <w:sz w:val="44"/>
          <w:szCs w:val="44"/>
          <w:highlight w:val="none"/>
        </w:rPr>
      </w:pPr>
    </w:p>
    <w:p w14:paraId="6C7EC795">
      <w:pPr>
        <w:pStyle w:val="2"/>
        <w:rPr>
          <w:color w:val="auto"/>
          <w:highlight w:val="none"/>
        </w:rPr>
      </w:pPr>
    </w:p>
    <w:p w14:paraId="64797A28">
      <w:pPr>
        <w:adjustRightInd w:val="0"/>
        <w:snapToGrid w:val="0"/>
        <w:spacing w:line="288" w:lineRule="auto"/>
        <w:ind w:left="1807" w:hanging="1600" w:hangingChars="500"/>
        <w:rPr>
          <w:rFonts w:eastAsia="仿宋_GB2312"/>
          <w:b w:val="0"/>
          <w:bCs w:val="0"/>
          <w:color w:val="auto"/>
          <w:sz w:val="32"/>
          <w:szCs w:val="32"/>
          <w:highlight w:val="none"/>
          <w:u w:val="single"/>
        </w:rPr>
      </w:pPr>
      <w:r>
        <w:rPr>
          <w:rFonts w:eastAsia="仿宋_GB2312"/>
          <w:b w:val="0"/>
          <w:bCs w:val="0"/>
          <w:color w:val="auto"/>
          <w:sz w:val="32"/>
          <w:szCs w:val="32"/>
          <w:highlight w:val="none"/>
        </w:rPr>
        <w:t>项目名称</w:t>
      </w:r>
      <w:r>
        <w:rPr>
          <w:rFonts w:hint="eastAsia" w:eastAsia="仿宋_GB2312"/>
          <w:b w:val="0"/>
          <w:bCs w:val="0"/>
          <w:color w:val="auto"/>
          <w:sz w:val="32"/>
          <w:szCs w:val="32"/>
          <w:highlight w:val="none"/>
        </w:rPr>
        <w:t>：</w:t>
      </w:r>
      <w:r>
        <w:rPr>
          <w:rFonts w:hint="eastAsia" w:eastAsia="仿宋_GB2312"/>
          <w:b w:val="0"/>
          <w:bCs w:val="0"/>
          <w:color w:val="auto"/>
          <w:sz w:val="32"/>
          <w:szCs w:val="32"/>
          <w:highlight w:val="none"/>
          <w:u w:val="single"/>
        </w:rPr>
        <w:t xml:space="preserve"> </w:t>
      </w:r>
      <w:r>
        <w:rPr>
          <w:rFonts w:hint="eastAsia" w:eastAsia="仿宋_GB2312"/>
          <w:b w:val="0"/>
          <w:bCs w:val="0"/>
          <w:color w:val="auto"/>
          <w:sz w:val="32"/>
          <w:szCs w:val="32"/>
          <w:highlight w:val="none"/>
          <w:u w:val="single"/>
          <w:lang w:val="en-US" w:eastAsia="zh-CN"/>
        </w:rPr>
        <w:t xml:space="preserve">          </w:t>
      </w:r>
      <w:r>
        <w:rPr>
          <w:rFonts w:hint="eastAsia" w:eastAsia="仿宋_GB2312"/>
          <w:b w:val="0"/>
          <w:bCs w:val="0"/>
          <w:color w:val="auto"/>
          <w:sz w:val="32"/>
          <w:szCs w:val="32"/>
          <w:highlight w:val="none"/>
          <w:u w:val="single"/>
          <w:lang w:val="zh-CN"/>
        </w:rPr>
        <w:t>干混砂浆项目</w:t>
      </w:r>
      <w:r>
        <w:rPr>
          <w:rFonts w:hint="eastAsia" w:eastAsia="仿宋_GB2312"/>
          <w:b w:val="0"/>
          <w:bCs w:val="0"/>
          <w:color w:val="auto"/>
          <w:sz w:val="32"/>
          <w:szCs w:val="32"/>
          <w:highlight w:val="none"/>
          <w:u w:val="single"/>
        </w:rPr>
        <w:t xml:space="preserve"> </w:t>
      </w:r>
      <w:r>
        <w:rPr>
          <w:rFonts w:hint="eastAsia" w:eastAsia="仿宋_GB2312"/>
          <w:b w:val="0"/>
          <w:bCs w:val="0"/>
          <w:color w:val="auto"/>
          <w:sz w:val="32"/>
          <w:szCs w:val="32"/>
          <w:highlight w:val="none"/>
          <w:u w:val="single"/>
          <w:lang w:val="en-US" w:eastAsia="zh-CN"/>
        </w:rPr>
        <w:t xml:space="preserve">              </w:t>
      </w:r>
    </w:p>
    <w:p w14:paraId="7D96D49C">
      <w:pPr>
        <w:adjustRightInd w:val="0"/>
        <w:snapToGrid w:val="0"/>
        <w:spacing w:line="288" w:lineRule="auto"/>
        <w:rPr>
          <w:rFonts w:hint="default" w:eastAsia="仿宋_GB2312"/>
          <w:b w:val="0"/>
          <w:bCs w:val="0"/>
          <w:color w:val="auto"/>
          <w:sz w:val="32"/>
          <w:szCs w:val="32"/>
          <w:highlight w:val="none"/>
          <w:u w:val="single"/>
          <w:lang w:val="en-US" w:eastAsia="zh-CN"/>
        </w:rPr>
      </w:pPr>
      <w:r>
        <w:rPr>
          <w:rFonts w:eastAsia="仿宋_GB2312"/>
          <w:b w:val="0"/>
          <w:bCs w:val="0"/>
          <w:color w:val="auto"/>
          <w:sz w:val="32"/>
          <w:szCs w:val="32"/>
          <w:highlight w:val="none"/>
        </w:rPr>
        <w:t>建设单位（盖章）： 金</w:t>
      </w:r>
      <w:r>
        <w:rPr>
          <w:rFonts w:hint="eastAsia" w:eastAsia="仿宋_GB2312"/>
          <w:b w:val="0"/>
          <w:bCs w:val="0"/>
          <w:color w:val="auto"/>
          <w:sz w:val="32"/>
          <w:szCs w:val="32"/>
          <w:highlight w:val="none"/>
          <w:u w:val="single"/>
          <w:lang w:eastAsia="zh-CN"/>
        </w:rPr>
        <w:t>隅冀东凤翔环保科技有限公司</w:t>
      </w:r>
      <w:r>
        <w:rPr>
          <w:rFonts w:hint="eastAsia" w:eastAsia="仿宋_GB2312"/>
          <w:b w:val="0"/>
          <w:bCs w:val="0"/>
          <w:color w:val="auto"/>
          <w:sz w:val="32"/>
          <w:szCs w:val="32"/>
          <w:highlight w:val="none"/>
          <w:u w:val="single"/>
          <w:lang w:val="en-US" w:eastAsia="zh-CN"/>
        </w:rPr>
        <w:t xml:space="preserve"> </w:t>
      </w:r>
    </w:p>
    <w:p w14:paraId="6C93BAA7">
      <w:pPr>
        <w:adjustRightInd w:val="0"/>
        <w:snapToGrid w:val="0"/>
        <w:spacing w:line="288" w:lineRule="auto"/>
        <w:rPr>
          <w:rFonts w:eastAsia="仿宋_GB2312"/>
          <w:b w:val="0"/>
          <w:bCs w:val="0"/>
          <w:color w:val="auto"/>
          <w:sz w:val="32"/>
          <w:szCs w:val="32"/>
          <w:highlight w:val="none"/>
          <w:u w:val="single"/>
        </w:rPr>
      </w:pPr>
      <w:r>
        <w:rPr>
          <w:rFonts w:eastAsia="仿宋_GB2312"/>
          <w:b w:val="0"/>
          <w:bCs w:val="0"/>
          <w:color w:val="auto"/>
          <w:sz w:val="32"/>
          <w:szCs w:val="32"/>
          <w:highlight w:val="none"/>
        </w:rPr>
        <w:t>编制日期：</w:t>
      </w:r>
      <w:r>
        <w:rPr>
          <w:rFonts w:eastAsia="仿宋_GB2312"/>
          <w:b w:val="0"/>
          <w:bCs w:val="0"/>
          <w:color w:val="auto"/>
          <w:sz w:val="32"/>
          <w:szCs w:val="32"/>
          <w:highlight w:val="none"/>
          <w:u w:val="single"/>
        </w:rPr>
        <w:t xml:space="preserve">            </w:t>
      </w:r>
      <w:r>
        <w:rPr>
          <w:rFonts w:hint="eastAsia" w:eastAsia="仿宋_GB2312"/>
          <w:b w:val="0"/>
          <w:bCs w:val="0"/>
          <w:color w:val="auto"/>
          <w:sz w:val="32"/>
          <w:szCs w:val="32"/>
          <w:highlight w:val="none"/>
          <w:u w:val="single"/>
          <w:lang w:val="en-US" w:eastAsia="zh-CN"/>
        </w:rPr>
        <w:t xml:space="preserve">  </w:t>
      </w:r>
      <w:r>
        <w:rPr>
          <w:rFonts w:eastAsia="仿宋_GB2312"/>
          <w:b w:val="0"/>
          <w:bCs w:val="0"/>
          <w:color w:val="auto"/>
          <w:sz w:val="32"/>
          <w:szCs w:val="32"/>
          <w:highlight w:val="none"/>
          <w:u w:val="single"/>
        </w:rPr>
        <w:t xml:space="preserve"> </w:t>
      </w:r>
      <w:r>
        <w:rPr>
          <w:rFonts w:hint="eastAsia" w:eastAsia="仿宋_GB2312"/>
          <w:b w:val="0"/>
          <w:bCs w:val="0"/>
          <w:color w:val="auto"/>
          <w:sz w:val="32"/>
          <w:szCs w:val="32"/>
          <w:highlight w:val="none"/>
          <w:u w:val="single"/>
          <w:lang w:val="en-US" w:eastAsia="zh-CN"/>
        </w:rPr>
        <w:t>2025</w:t>
      </w:r>
      <w:r>
        <w:rPr>
          <w:rFonts w:eastAsia="仿宋_GB2312"/>
          <w:b w:val="0"/>
          <w:bCs w:val="0"/>
          <w:color w:val="auto"/>
          <w:sz w:val="32"/>
          <w:szCs w:val="32"/>
          <w:highlight w:val="none"/>
          <w:u w:val="single"/>
        </w:rPr>
        <w:t>年</w:t>
      </w:r>
      <w:r>
        <w:rPr>
          <w:rFonts w:hint="eastAsia" w:eastAsia="仿宋_GB2312"/>
          <w:b w:val="0"/>
          <w:bCs w:val="0"/>
          <w:color w:val="auto"/>
          <w:sz w:val="32"/>
          <w:szCs w:val="32"/>
          <w:highlight w:val="none"/>
          <w:u w:val="single"/>
          <w:lang w:val="en-US" w:eastAsia="zh-CN"/>
        </w:rPr>
        <w:t>8</w:t>
      </w:r>
      <w:r>
        <w:rPr>
          <w:rFonts w:eastAsia="仿宋_GB2312"/>
          <w:b w:val="0"/>
          <w:bCs w:val="0"/>
          <w:color w:val="auto"/>
          <w:sz w:val="32"/>
          <w:szCs w:val="32"/>
          <w:highlight w:val="none"/>
          <w:u w:val="single"/>
        </w:rPr>
        <w:t xml:space="preserve">月   </w:t>
      </w:r>
      <w:bookmarkStart w:id="1" w:name="_Hlk57884087"/>
      <w:r>
        <w:rPr>
          <w:rFonts w:hint="eastAsia" w:eastAsia="仿宋_GB2312"/>
          <w:b w:val="0"/>
          <w:bCs w:val="0"/>
          <w:color w:val="auto"/>
          <w:sz w:val="32"/>
          <w:szCs w:val="32"/>
          <w:highlight w:val="none"/>
          <w:u w:val="single"/>
          <w:lang w:val="en-US" w:eastAsia="zh-CN"/>
        </w:rPr>
        <w:t xml:space="preserve"> </w:t>
      </w:r>
      <w:r>
        <w:rPr>
          <w:rFonts w:hint="eastAsia" w:eastAsia="仿宋_GB2312"/>
          <w:b w:val="0"/>
          <w:bCs w:val="0"/>
          <w:color w:val="auto"/>
          <w:sz w:val="32"/>
          <w:szCs w:val="32"/>
          <w:highlight w:val="none"/>
          <w:u w:val="single"/>
        </w:rPr>
        <w:t xml:space="preserve">    </w:t>
      </w:r>
      <w:r>
        <w:rPr>
          <w:rFonts w:hint="eastAsia" w:eastAsia="仿宋_GB2312"/>
          <w:b w:val="0"/>
          <w:bCs w:val="0"/>
          <w:color w:val="auto"/>
          <w:sz w:val="32"/>
          <w:szCs w:val="32"/>
          <w:highlight w:val="none"/>
          <w:u w:val="single"/>
          <w:lang w:val="en-US" w:eastAsia="zh-CN"/>
        </w:rPr>
        <w:t xml:space="preserve"> </w:t>
      </w:r>
      <w:r>
        <w:rPr>
          <w:rFonts w:hint="eastAsia" w:eastAsia="仿宋_GB2312"/>
          <w:b w:val="0"/>
          <w:bCs w:val="0"/>
          <w:color w:val="auto"/>
          <w:sz w:val="32"/>
          <w:szCs w:val="32"/>
          <w:highlight w:val="none"/>
          <w:u w:val="single"/>
        </w:rPr>
        <w:t xml:space="preserve">   </w:t>
      </w:r>
    </w:p>
    <w:p w14:paraId="1AAB9818">
      <w:pPr>
        <w:adjustRightInd w:val="0"/>
        <w:snapToGrid w:val="0"/>
        <w:spacing w:line="288" w:lineRule="auto"/>
        <w:ind w:firstLine="1040"/>
        <w:rPr>
          <w:rFonts w:eastAsia="仿宋_GB2312"/>
          <w:color w:val="auto"/>
          <w:sz w:val="36"/>
          <w:szCs w:val="36"/>
          <w:highlight w:val="none"/>
        </w:rPr>
      </w:pPr>
    </w:p>
    <w:p w14:paraId="462A3D9C">
      <w:pPr>
        <w:adjustRightInd w:val="0"/>
        <w:snapToGrid w:val="0"/>
        <w:spacing w:line="288" w:lineRule="auto"/>
        <w:ind w:firstLine="1040"/>
        <w:rPr>
          <w:rFonts w:eastAsia="仿宋_GB2312"/>
          <w:color w:val="auto"/>
          <w:sz w:val="36"/>
          <w:szCs w:val="36"/>
          <w:highlight w:val="none"/>
        </w:rPr>
      </w:pPr>
    </w:p>
    <w:p w14:paraId="38C1D269">
      <w:pPr>
        <w:rPr>
          <w:color w:val="auto"/>
          <w:highlight w:val="none"/>
        </w:rPr>
      </w:pPr>
    </w:p>
    <w:p w14:paraId="07BC54D2">
      <w:pPr>
        <w:rPr>
          <w:color w:val="auto"/>
          <w:highlight w:val="none"/>
        </w:rPr>
      </w:pPr>
    </w:p>
    <w:p w14:paraId="26273D13">
      <w:pPr>
        <w:adjustRightInd w:val="0"/>
        <w:snapToGrid w:val="0"/>
        <w:spacing w:line="288" w:lineRule="auto"/>
        <w:jc w:val="center"/>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rPr>
        <w:t>中华人民共和国生态环境部</w:t>
      </w:r>
      <w:r>
        <w:rPr>
          <w:rFonts w:hint="eastAsia" w:ascii="宋体" w:hAnsi="宋体" w:cs="宋体"/>
          <w:color w:val="auto"/>
          <w:sz w:val="32"/>
          <w:szCs w:val="32"/>
          <w:highlight w:val="none"/>
          <w:lang w:val="en-US" w:eastAsia="zh-CN"/>
        </w:rPr>
        <w:t>制</w:t>
      </w:r>
    </w:p>
    <w:bookmarkEnd w:id="1"/>
    <w:p w14:paraId="4CE34AFA">
      <w:pPr>
        <w:adjustRightInd w:val="0"/>
        <w:snapToGrid w:val="0"/>
        <w:spacing w:line="288" w:lineRule="auto"/>
        <w:ind w:firstLine="1040"/>
        <w:rPr>
          <w:rFonts w:eastAsia="仿宋_GB2312"/>
          <w:color w:val="auto"/>
          <w:sz w:val="36"/>
          <w:szCs w:val="36"/>
          <w:highlight w:val="none"/>
        </w:rPr>
      </w:pPr>
    </w:p>
    <w:p w14:paraId="4EB7571B">
      <w:pPr>
        <w:keepNext/>
        <w:keepLines/>
        <w:widowControl/>
        <w:spacing w:before="480" w:line="276" w:lineRule="auto"/>
        <w:jc w:val="center"/>
        <w:rPr>
          <w:b/>
          <w:bCs/>
          <w:color w:val="auto"/>
          <w:kern w:val="0"/>
          <w:sz w:val="44"/>
          <w:szCs w:val="44"/>
          <w:highlight w:val="none"/>
          <w:lang w:val="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imes New Roman"/>
          <w:color w:val="auto"/>
          <w:kern w:val="2"/>
          <w:sz w:val="21"/>
          <w:szCs w:val="24"/>
          <w:highlight w:val="none"/>
          <w:lang w:val="en-US" w:eastAsia="zh-CN" w:bidi="ar-SA"/>
        </w:rPr>
        <w:id w:val="147473932"/>
        <w:docPartObj>
          <w:docPartGallery w:val="Table of Contents"/>
          <w:docPartUnique/>
        </w:docPartObj>
      </w:sdtPr>
      <w:sdtEndPr>
        <w:rPr>
          <w:rFonts w:ascii="Times New Roman" w:hAnsi="Times New Roman" w:eastAsia="宋体" w:cs="Times New Roman"/>
          <w:bCs/>
          <w:color w:val="auto"/>
          <w:kern w:val="2"/>
          <w:sz w:val="21"/>
          <w:szCs w:val="24"/>
          <w:highlight w:val="none"/>
          <w:lang w:val="zh-CN" w:eastAsia="zh-CN" w:bidi="ar-SA"/>
        </w:rPr>
      </w:sdtEndPr>
      <w:sdtContent>
        <w:p w14:paraId="55CF1558">
          <w:pPr>
            <w:keepNext w:val="0"/>
            <w:keepLines w:val="0"/>
            <w:pageBreakBefore w:val="0"/>
            <w:widowControl w:val="0"/>
            <w:kinsoku/>
            <w:wordWrap/>
            <w:overflowPunct/>
            <w:topLinePunct w:val="0"/>
            <w:autoSpaceDE/>
            <w:autoSpaceDN/>
            <w:bidi w:val="0"/>
            <w:adjustRightInd/>
            <w:snapToGrid w:val="0"/>
            <w:spacing w:before="0" w:after="0"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目录</w:t>
          </w:r>
        </w:p>
        <w:p w14:paraId="31AA8FAC">
          <w:pPr>
            <w:pStyle w:val="13"/>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一、</w:t>
          </w:r>
          <w:r>
            <w:rPr>
              <w:rFonts w:hint="default" w:ascii="Times New Roman" w:hAnsi="Times New Roman" w:eastAsia="宋体" w:cs="Times New Roman"/>
              <w:b/>
              <w:bCs/>
              <w:color w:val="auto"/>
              <w:sz w:val="24"/>
              <w:szCs w:val="24"/>
              <w:highlight w:val="none"/>
              <w:lang w:val="zh-CN"/>
            </w:rPr>
            <w:fldChar w:fldCharType="begin"/>
          </w:r>
          <w:r>
            <w:rPr>
              <w:rFonts w:hint="default" w:ascii="Times New Roman" w:hAnsi="Times New Roman" w:eastAsia="宋体" w:cs="Times New Roman"/>
              <w:b/>
              <w:bCs/>
              <w:color w:val="auto"/>
              <w:sz w:val="24"/>
              <w:szCs w:val="24"/>
              <w:highlight w:val="none"/>
              <w:lang w:val="zh-CN"/>
            </w:rPr>
            <w:instrText xml:space="preserve">TOC \o "1-1" \h \u</w:instrText>
          </w:r>
          <w:r>
            <w:rPr>
              <w:rFonts w:hint="default" w:ascii="Times New Roman" w:hAnsi="Times New Roman" w:eastAsia="宋体" w:cs="Times New Roman"/>
              <w:b/>
              <w:bCs/>
              <w:color w:val="auto"/>
              <w:sz w:val="24"/>
              <w:szCs w:val="24"/>
              <w:highlight w:val="none"/>
              <w:lang w:val="zh-CN"/>
            </w:rPr>
            <w:fldChar w:fldCharType="separate"/>
          </w:r>
          <w:r>
            <w:fldChar w:fldCharType="begin"/>
          </w:r>
          <w:r>
            <w:instrText xml:space="preserve"> HYPERLINK \l "_Toc29286" </w:instrText>
          </w:r>
          <w:r>
            <w:fldChar w:fldCharType="separate"/>
          </w:r>
          <w:r>
            <w:rPr>
              <w:rFonts w:hint="default" w:ascii="Times New Roman" w:hAnsi="Times New Roman" w:eastAsia="宋体" w:cs="Times New Roman"/>
              <w:bCs/>
              <w:color w:val="auto"/>
              <w:sz w:val="24"/>
              <w:szCs w:val="24"/>
              <w:highlight w:val="none"/>
            </w:rPr>
            <w:t>建设项目环境影响报告表</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_Toc29286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08FCCA56">
          <w:pPr>
            <w:pStyle w:val="13"/>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auto"/>
              <w:sz w:val="24"/>
              <w:szCs w:val="24"/>
              <w:highlight w:val="none"/>
            </w:rPr>
          </w:pPr>
          <w:r>
            <w:fldChar w:fldCharType="begin"/>
          </w:r>
          <w:r>
            <w:instrText xml:space="preserve"> HYPERLINK \l "_Toc21298" </w:instrText>
          </w:r>
          <w:r>
            <w:fldChar w:fldCharType="separate"/>
          </w:r>
          <w:r>
            <w:rPr>
              <w:rFonts w:hint="default" w:ascii="Times New Roman" w:hAnsi="Times New Roman" w:eastAsia="宋体" w:cs="Times New Roman"/>
              <w:snapToGrid w:val="0"/>
              <w:color w:val="auto"/>
              <w:sz w:val="24"/>
              <w:szCs w:val="24"/>
              <w:highlight w:val="none"/>
            </w:rPr>
            <w:t>二、建设项目工程分析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_Toc21298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16</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77B8E230">
          <w:pPr>
            <w:pStyle w:val="13"/>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auto"/>
              <w:sz w:val="24"/>
              <w:szCs w:val="24"/>
              <w:highlight w:val="none"/>
            </w:rPr>
          </w:pPr>
          <w:r>
            <w:fldChar w:fldCharType="begin"/>
          </w:r>
          <w:r>
            <w:instrText xml:space="preserve"> HYPERLINK \l "_Toc15128" </w:instrText>
          </w:r>
          <w:r>
            <w:fldChar w:fldCharType="separate"/>
          </w:r>
          <w:r>
            <w:rPr>
              <w:rFonts w:hint="default" w:ascii="Times New Roman" w:hAnsi="Times New Roman" w:eastAsia="宋体" w:cs="Times New Roman"/>
              <w:snapToGrid w:val="0"/>
              <w:color w:val="auto"/>
              <w:sz w:val="24"/>
              <w:szCs w:val="24"/>
              <w:highlight w:val="none"/>
            </w:rPr>
            <w:t>三、区域环境质量现状、环境保护目标及评价标准</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_Toc15128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37</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2F253CBD">
          <w:pPr>
            <w:pStyle w:val="13"/>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auto"/>
              <w:sz w:val="24"/>
              <w:szCs w:val="24"/>
              <w:highlight w:val="none"/>
            </w:rPr>
          </w:pPr>
          <w:r>
            <w:fldChar w:fldCharType="begin"/>
          </w:r>
          <w:r>
            <w:instrText xml:space="preserve"> HYPERLINK \l "_Toc15227" </w:instrText>
          </w:r>
          <w:r>
            <w:fldChar w:fldCharType="separate"/>
          </w:r>
          <w:r>
            <w:rPr>
              <w:rFonts w:hint="default" w:ascii="Times New Roman" w:hAnsi="Times New Roman" w:eastAsia="宋体" w:cs="Times New Roman"/>
              <w:snapToGrid w:val="0"/>
              <w:color w:val="auto"/>
              <w:sz w:val="24"/>
              <w:szCs w:val="24"/>
              <w:highlight w:val="none"/>
            </w:rPr>
            <w:t>四、主要环境影响和保护措施</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_Toc15227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42</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2B1DA423">
          <w:pPr>
            <w:pStyle w:val="13"/>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auto"/>
              <w:sz w:val="24"/>
              <w:szCs w:val="24"/>
              <w:highlight w:val="none"/>
            </w:rPr>
          </w:pPr>
          <w:r>
            <w:fldChar w:fldCharType="begin"/>
          </w:r>
          <w:r>
            <w:instrText xml:space="preserve"> HYPERLINK \l "_Toc19779" </w:instrText>
          </w:r>
          <w:r>
            <w:fldChar w:fldCharType="separate"/>
          </w:r>
          <w:r>
            <w:rPr>
              <w:rFonts w:hint="default" w:ascii="Times New Roman" w:hAnsi="Times New Roman" w:eastAsia="宋体" w:cs="Times New Roman"/>
              <w:snapToGrid w:val="0"/>
              <w:color w:val="auto"/>
              <w:sz w:val="24"/>
              <w:szCs w:val="24"/>
              <w:highlight w:val="none"/>
            </w:rPr>
            <w:t>五、环境保护措施监督检查清单</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_Toc19779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76</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13AE8E10">
          <w:pPr>
            <w:pStyle w:val="13"/>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auto"/>
              <w:sz w:val="24"/>
              <w:szCs w:val="24"/>
              <w:highlight w:val="none"/>
            </w:rPr>
          </w:pPr>
          <w:r>
            <w:fldChar w:fldCharType="begin"/>
          </w:r>
          <w:r>
            <w:instrText xml:space="preserve"> HYPERLINK \l "_Toc28040" </w:instrText>
          </w:r>
          <w:r>
            <w:fldChar w:fldCharType="separate"/>
          </w:r>
          <w:r>
            <w:rPr>
              <w:rFonts w:hint="default" w:ascii="Times New Roman" w:hAnsi="Times New Roman" w:eastAsia="宋体" w:cs="Times New Roman"/>
              <w:snapToGrid w:val="0"/>
              <w:color w:val="auto"/>
              <w:sz w:val="24"/>
              <w:szCs w:val="24"/>
              <w:highlight w:val="none"/>
            </w:rPr>
            <w:t>六、结论</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_Toc28040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79</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5BDB7E35">
          <w:pPr>
            <w:pStyle w:val="13"/>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auto"/>
              <w:sz w:val="24"/>
              <w:szCs w:val="24"/>
              <w:highlight w:val="none"/>
            </w:rPr>
          </w:pPr>
        </w:p>
        <w:p w14:paraId="2A9BF54D">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Times New Roman" w:hAnsi="Times New Roman" w:eastAsia="宋体" w:cs="Times New Roman"/>
              <w:bCs/>
              <w:color w:val="auto"/>
              <w:kern w:val="2"/>
              <w:sz w:val="21"/>
              <w:szCs w:val="24"/>
              <w:highlight w:val="none"/>
              <w:lang w:val="zh-CN" w:eastAsia="zh-CN" w:bidi="ar-SA"/>
            </w:rPr>
          </w:pPr>
          <w:r>
            <w:rPr>
              <w:rFonts w:hint="default" w:ascii="Times New Roman" w:hAnsi="Times New Roman" w:eastAsia="宋体" w:cs="Times New Roman"/>
              <w:bCs/>
              <w:color w:val="auto"/>
              <w:sz w:val="24"/>
              <w:szCs w:val="24"/>
              <w:highlight w:val="none"/>
              <w:lang w:val="zh-CN"/>
            </w:rPr>
            <w:fldChar w:fldCharType="end"/>
          </w:r>
        </w:p>
      </w:sdtContent>
    </w:sdt>
    <w:p w14:paraId="3E625C9B">
      <w:pPr>
        <w:pStyle w:val="24"/>
        <w:rPr>
          <w:color w:val="auto"/>
          <w:highlight w:val="none"/>
          <w:lang w:val="zh-CN"/>
        </w:rPr>
      </w:pPr>
    </w:p>
    <w:p w14:paraId="5F1ACE30">
      <w:pPr>
        <w:ind w:left="842" w:leftChars="200" w:hanging="422" w:hangingChars="200"/>
        <w:rPr>
          <w:b/>
          <w:bCs/>
          <w:color w:val="auto"/>
          <w:highlight w:val="none"/>
          <w:lang w:val="zh-CN"/>
        </w:rPr>
      </w:pPr>
    </w:p>
    <w:p w14:paraId="467B148F">
      <w:pPr>
        <w:rPr>
          <w:b/>
          <w:bCs/>
          <w:color w:val="auto"/>
          <w:highlight w:val="none"/>
          <w:lang w:val="zh-CN"/>
        </w:rPr>
      </w:pPr>
    </w:p>
    <w:p w14:paraId="7FD06FA2">
      <w:pPr>
        <w:ind w:left="842" w:leftChars="200" w:hanging="422" w:hangingChars="200"/>
        <w:rPr>
          <w:b/>
          <w:bCs/>
          <w:color w:val="auto"/>
          <w:highlight w:val="none"/>
          <w:lang w:val="zh-CN"/>
        </w:rPr>
      </w:pPr>
    </w:p>
    <w:p w14:paraId="6D152A90">
      <w:pPr>
        <w:rPr>
          <w:b/>
          <w:bCs/>
          <w:color w:val="auto"/>
          <w:highlight w:val="none"/>
          <w:lang w:val="zh-CN"/>
        </w:rPr>
      </w:pPr>
    </w:p>
    <w:p w14:paraId="7376837E">
      <w:pPr>
        <w:ind w:left="842" w:leftChars="200" w:hanging="422" w:hangingChars="200"/>
        <w:rPr>
          <w:b/>
          <w:bCs/>
          <w:color w:val="auto"/>
          <w:highlight w:val="none"/>
          <w:lang w:val="zh-CN"/>
        </w:rPr>
      </w:pPr>
    </w:p>
    <w:p w14:paraId="2DB5B535">
      <w:pPr>
        <w:rPr>
          <w:b/>
          <w:bCs/>
          <w:color w:val="auto"/>
          <w:highlight w:val="none"/>
          <w:lang w:val="zh-CN"/>
        </w:rPr>
      </w:pPr>
    </w:p>
    <w:p w14:paraId="2B22F083">
      <w:pPr>
        <w:ind w:left="842" w:leftChars="200" w:hanging="422" w:hangingChars="200"/>
        <w:rPr>
          <w:b/>
          <w:bCs/>
          <w:color w:val="auto"/>
          <w:highlight w:val="none"/>
          <w:lang w:val="zh-CN"/>
        </w:rPr>
      </w:pPr>
    </w:p>
    <w:p w14:paraId="69559F56">
      <w:pPr>
        <w:rPr>
          <w:b/>
          <w:bCs/>
          <w:color w:val="auto"/>
          <w:highlight w:val="none"/>
          <w:lang w:val="zh-CN"/>
        </w:rPr>
      </w:pPr>
    </w:p>
    <w:p w14:paraId="074047CC">
      <w:pPr>
        <w:ind w:left="842" w:leftChars="200" w:hanging="422" w:hangingChars="200"/>
        <w:rPr>
          <w:b/>
          <w:bCs/>
          <w:color w:val="auto"/>
          <w:highlight w:val="none"/>
          <w:lang w:val="zh-CN"/>
        </w:rPr>
      </w:pPr>
    </w:p>
    <w:p w14:paraId="0190AEB1">
      <w:pPr>
        <w:rPr>
          <w:b/>
          <w:bCs/>
          <w:color w:val="auto"/>
          <w:highlight w:val="none"/>
          <w:lang w:val="zh-CN"/>
        </w:rPr>
      </w:pPr>
    </w:p>
    <w:p w14:paraId="7D96936E">
      <w:pPr>
        <w:ind w:left="842" w:leftChars="200" w:hanging="422" w:hangingChars="200"/>
        <w:rPr>
          <w:b/>
          <w:bCs/>
          <w:color w:val="auto"/>
          <w:highlight w:val="none"/>
          <w:lang w:val="zh-CN"/>
        </w:rPr>
      </w:pPr>
    </w:p>
    <w:p w14:paraId="36D31E13">
      <w:pPr>
        <w:rPr>
          <w:b/>
          <w:bCs/>
          <w:color w:val="auto"/>
          <w:highlight w:val="none"/>
          <w:lang w:val="zh-CN"/>
        </w:rPr>
      </w:pPr>
    </w:p>
    <w:p w14:paraId="00F8A7C9">
      <w:pPr>
        <w:ind w:left="842" w:leftChars="200" w:hanging="422" w:hangingChars="200"/>
        <w:rPr>
          <w:b/>
          <w:bCs/>
          <w:color w:val="auto"/>
          <w:highlight w:val="none"/>
          <w:lang w:val="zh-CN"/>
        </w:rPr>
      </w:pPr>
    </w:p>
    <w:p w14:paraId="6A5ABC6B">
      <w:pPr>
        <w:rPr>
          <w:b/>
          <w:bCs/>
          <w:color w:val="auto"/>
          <w:highlight w:val="none"/>
          <w:lang w:val="zh-CN"/>
        </w:rPr>
      </w:pPr>
    </w:p>
    <w:p w14:paraId="04F5D14C">
      <w:pPr>
        <w:ind w:left="842" w:leftChars="200" w:hanging="422" w:hangingChars="200"/>
        <w:rPr>
          <w:b/>
          <w:bCs/>
          <w:color w:val="auto"/>
          <w:highlight w:val="none"/>
          <w:lang w:val="zh-CN"/>
        </w:rPr>
      </w:pPr>
    </w:p>
    <w:p w14:paraId="2D6AC878">
      <w:pPr>
        <w:rPr>
          <w:b/>
          <w:bCs/>
          <w:color w:val="auto"/>
          <w:highlight w:val="none"/>
          <w:lang w:val="zh-CN"/>
        </w:rPr>
      </w:pPr>
    </w:p>
    <w:p w14:paraId="18A15BC2">
      <w:pPr>
        <w:ind w:left="842" w:leftChars="200" w:hanging="422" w:hangingChars="200"/>
        <w:rPr>
          <w:b/>
          <w:bCs/>
          <w:color w:val="auto"/>
          <w:highlight w:val="none"/>
          <w:lang w:val="zh-CN"/>
        </w:rPr>
      </w:pPr>
    </w:p>
    <w:p w14:paraId="62C58B8B">
      <w:pPr>
        <w:rPr>
          <w:b/>
          <w:bCs/>
          <w:color w:val="auto"/>
          <w:highlight w:val="none"/>
          <w:lang w:val="zh-CN"/>
        </w:rPr>
      </w:pPr>
    </w:p>
    <w:p w14:paraId="0D5306A8">
      <w:pPr>
        <w:ind w:left="842" w:leftChars="200" w:hanging="422" w:hangingChars="200"/>
        <w:rPr>
          <w:b/>
          <w:bCs/>
          <w:color w:val="auto"/>
          <w:highlight w:val="none"/>
          <w:lang w:val="zh-CN"/>
        </w:rPr>
      </w:pPr>
    </w:p>
    <w:p w14:paraId="3F1030D3">
      <w:pPr>
        <w:rPr>
          <w:b/>
          <w:bCs/>
          <w:color w:val="auto"/>
          <w:highlight w:val="none"/>
          <w:lang w:val="zh-CN"/>
        </w:rPr>
      </w:pPr>
    </w:p>
    <w:p w14:paraId="32812323">
      <w:pPr>
        <w:ind w:left="842" w:leftChars="200" w:hanging="422" w:hangingChars="200"/>
        <w:rPr>
          <w:b/>
          <w:bCs/>
          <w:color w:val="auto"/>
          <w:highlight w:val="none"/>
          <w:lang w:val="zh-CN"/>
        </w:rPr>
      </w:pPr>
    </w:p>
    <w:p w14:paraId="55CDD0F9">
      <w:pPr>
        <w:rPr>
          <w:b/>
          <w:bCs/>
          <w:color w:val="auto"/>
          <w:highlight w:val="none"/>
          <w:lang w:val="zh-CN"/>
        </w:rPr>
      </w:pPr>
    </w:p>
    <w:p w14:paraId="556D7E89">
      <w:pPr>
        <w:widowControl/>
        <w:spacing w:line="360" w:lineRule="auto"/>
        <w:outlineLvl w:val="0"/>
        <w:rPr>
          <w:rFonts w:eastAsia="黑体"/>
          <w:snapToGrid w:val="0"/>
          <w:color w:val="auto"/>
          <w:kern w:val="0"/>
          <w:sz w:val="30"/>
          <w:szCs w:val="30"/>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1FA8087E">
      <w:pPr>
        <w:spacing w:line="480" w:lineRule="auto"/>
        <w:jc w:val="center"/>
        <w:rPr>
          <w:rFonts w:hint="eastAsia" w:ascii="宋体" w:hAnsi="宋体" w:eastAsia="宋体" w:cs="宋体"/>
          <w:color w:val="auto"/>
          <w:highlight w:val="none"/>
        </w:rPr>
      </w:pPr>
      <w:bookmarkStart w:id="2" w:name="_Toc19110"/>
      <w:bookmarkStart w:id="3" w:name="_Toc29260"/>
      <w:r>
        <w:rPr>
          <w:rFonts w:hint="eastAsia" w:ascii="宋体" w:hAnsi="宋体" w:eastAsia="宋体" w:cs="宋体"/>
          <w:snapToGrid w:val="0"/>
          <w:color w:val="auto"/>
          <w:sz w:val="30"/>
          <w:szCs w:val="30"/>
          <w:highlight w:val="none"/>
        </w:rPr>
        <w:t>一、建设项目基本情况</w:t>
      </w:r>
      <w:bookmarkEnd w:id="2"/>
      <w:bookmarkEnd w:id="3"/>
    </w:p>
    <w:tbl>
      <w:tblPr>
        <w:tblStyle w:val="19"/>
        <w:tblW w:w="9264"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0" w:type="dxa"/>
          <w:bottom w:w="0" w:type="dxa"/>
          <w:right w:w="0" w:type="dxa"/>
        </w:tblCellMar>
      </w:tblPr>
      <w:tblGrid>
        <w:gridCol w:w="1922"/>
        <w:gridCol w:w="2225"/>
        <w:gridCol w:w="2223"/>
        <w:gridCol w:w="2894"/>
      </w:tblGrid>
      <w:tr w14:paraId="3F50EC0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2" w:type="dxa"/>
            <w:noWrap/>
            <w:tcMar>
              <w:top w:w="16" w:type="dxa"/>
              <w:left w:w="16" w:type="dxa"/>
              <w:bottom w:w="0" w:type="dxa"/>
              <w:right w:w="16" w:type="dxa"/>
            </w:tcMar>
            <w:vAlign w:val="center"/>
          </w:tcPr>
          <w:p w14:paraId="4B1058E4">
            <w:pPr>
              <w:adjustRightInd w:val="0"/>
              <w:snapToGrid w:val="0"/>
              <w:jc w:val="center"/>
              <w:rPr>
                <w:rFonts w:eastAsiaTheme="minorEastAsia"/>
                <w:color w:val="auto"/>
                <w:sz w:val="24"/>
                <w:highlight w:val="none"/>
              </w:rPr>
            </w:pPr>
            <w:r>
              <w:rPr>
                <w:rFonts w:eastAsiaTheme="minorEastAsia"/>
                <w:color w:val="auto"/>
                <w:sz w:val="24"/>
                <w:highlight w:val="none"/>
              </w:rPr>
              <w:t>建设项目名称</w:t>
            </w:r>
          </w:p>
        </w:tc>
        <w:tc>
          <w:tcPr>
            <w:tcW w:w="7117" w:type="dxa"/>
            <w:gridSpan w:val="3"/>
            <w:noWrap/>
            <w:vAlign w:val="center"/>
          </w:tcPr>
          <w:p w14:paraId="271C1125">
            <w:pPr>
              <w:adjustRightInd w:val="0"/>
              <w:snapToGrid w:val="0"/>
              <w:jc w:val="center"/>
              <w:rPr>
                <w:rFonts w:hint="default" w:eastAsiaTheme="minorEastAsia"/>
                <w:color w:val="auto"/>
                <w:sz w:val="24"/>
                <w:highlight w:val="none"/>
                <w:lang w:val="en-US" w:eastAsia="zh-CN"/>
              </w:rPr>
            </w:pPr>
            <w:r>
              <w:rPr>
                <w:rFonts w:hint="eastAsia" w:eastAsiaTheme="minorEastAsia"/>
                <w:color w:val="auto"/>
                <w:sz w:val="24"/>
                <w:highlight w:val="none"/>
                <w:lang w:val="en-US" w:eastAsia="zh-CN"/>
              </w:rPr>
              <w:t>干混砂浆项目</w:t>
            </w:r>
          </w:p>
        </w:tc>
      </w:tr>
      <w:tr w14:paraId="7C53480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2" w:type="dxa"/>
            <w:noWrap/>
            <w:tcMar>
              <w:top w:w="16" w:type="dxa"/>
              <w:left w:w="16" w:type="dxa"/>
              <w:bottom w:w="0" w:type="dxa"/>
              <w:right w:w="16" w:type="dxa"/>
            </w:tcMar>
            <w:vAlign w:val="center"/>
          </w:tcPr>
          <w:p w14:paraId="3CFC1A14">
            <w:pPr>
              <w:adjustRightInd w:val="0"/>
              <w:snapToGrid w:val="0"/>
              <w:jc w:val="center"/>
              <w:rPr>
                <w:rFonts w:eastAsiaTheme="minorEastAsia"/>
                <w:color w:val="auto"/>
                <w:sz w:val="24"/>
                <w:highlight w:val="none"/>
              </w:rPr>
            </w:pPr>
            <w:r>
              <w:rPr>
                <w:rFonts w:eastAsiaTheme="minorEastAsia"/>
                <w:color w:val="auto"/>
                <w:sz w:val="24"/>
                <w:highlight w:val="none"/>
              </w:rPr>
              <w:t>项目代码</w:t>
            </w:r>
          </w:p>
        </w:tc>
        <w:tc>
          <w:tcPr>
            <w:tcW w:w="7117" w:type="dxa"/>
            <w:gridSpan w:val="3"/>
            <w:noWrap/>
            <w:vAlign w:val="center"/>
          </w:tcPr>
          <w:p w14:paraId="0066A338">
            <w:pPr>
              <w:widowControl/>
              <w:jc w:val="center"/>
              <w:rPr>
                <w:rFonts w:hint="default" w:eastAsiaTheme="minorEastAsia"/>
                <w:color w:val="auto"/>
                <w:sz w:val="24"/>
                <w:highlight w:val="none"/>
                <w:lang w:val="en-US" w:eastAsia="zh-CN"/>
              </w:rPr>
            </w:pPr>
            <w:r>
              <w:rPr>
                <w:rFonts w:hint="default" w:eastAsiaTheme="minorEastAsia"/>
                <w:color w:val="auto"/>
                <w:sz w:val="24"/>
                <w:highlight w:val="none"/>
                <w:lang w:val="en-US" w:eastAsia="zh-CN"/>
              </w:rPr>
              <w:t>2411-610322-04-02-525353</w:t>
            </w:r>
          </w:p>
        </w:tc>
      </w:tr>
      <w:tr w14:paraId="5F74A7D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2" w:type="dxa"/>
            <w:noWrap/>
            <w:tcMar>
              <w:top w:w="16" w:type="dxa"/>
              <w:left w:w="16" w:type="dxa"/>
              <w:bottom w:w="0" w:type="dxa"/>
              <w:right w:w="16" w:type="dxa"/>
            </w:tcMar>
            <w:vAlign w:val="center"/>
          </w:tcPr>
          <w:p w14:paraId="49D4121B">
            <w:pPr>
              <w:adjustRightInd w:val="0"/>
              <w:snapToGrid w:val="0"/>
              <w:jc w:val="center"/>
              <w:rPr>
                <w:rFonts w:eastAsiaTheme="minorEastAsia"/>
                <w:color w:val="auto"/>
                <w:sz w:val="24"/>
                <w:highlight w:val="none"/>
              </w:rPr>
            </w:pPr>
            <w:r>
              <w:rPr>
                <w:rFonts w:eastAsiaTheme="minorEastAsia"/>
                <w:color w:val="auto"/>
                <w:sz w:val="24"/>
                <w:highlight w:val="none"/>
              </w:rPr>
              <w:t>建设单位联系人</w:t>
            </w:r>
          </w:p>
        </w:tc>
        <w:tc>
          <w:tcPr>
            <w:tcW w:w="2157" w:type="dxa"/>
            <w:noWrap/>
            <w:vAlign w:val="center"/>
          </w:tcPr>
          <w:p w14:paraId="30B75969">
            <w:pPr>
              <w:pStyle w:val="27"/>
              <w:jc w:val="center"/>
              <w:rPr>
                <w:rFonts w:hint="default" w:ascii="Times New Roman" w:hAnsi="Times New Roman" w:cs="Times New Roman" w:eastAsiaTheme="minorEastAsia"/>
                <w:color w:val="auto"/>
                <w:sz w:val="24"/>
                <w:highlight w:val="none"/>
                <w:lang w:val="en-US" w:eastAsia="zh-CN" w:bidi="ar-SA"/>
              </w:rPr>
            </w:pPr>
          </w:p>
        </w:tc>
        <w:tc>
          <w:tcPr>
            <w:tcW w:w="2155" w:type="dxa"/>
            <w:noWrap/>
            <w:vAlign w:val="center"/>
          </w:tcPr>
          <w:p w14:paraId="14CD391E">
            <w:pPr>
              <w:pStyle w:val="27"/>
              <w:jc w:val="center"/>
              <w:rPr>
                <w:rFonts w:ascii="Times New Roman" w:hAnsi="Times New Roman" w:cs="Times New Roman" w:eastAsiaTheme="minorEastAsia"/>
                <w:color w:val="auto"/>
                <w:sz w:val="24"/>
                <w:highlight w:val="none"/>
                <w:lang w:bidi="ar-SA"/>
              </w:rPr>
            </w:pPr>
          </w:p>
        </w:tc>
        <w:tc>
          <w:tcPr>
            <w:tcW w:w="2805" w:type="dxa"/>
            <w:noWrap/>
            <w:vAlign w:val="center"/>
          </w:tcPr>
          <w:p w14:paraId="3B629108">
            <w:pPr>
              <w:pStyle w:val="27"/>
              <w:jc w:val="center"/>
              <w:rPr>
                <w:rFonts w:hint="default" w:ascii="Times New Roman" w:hAnsi="Times New Roman" w:cs="Times New Roman" w:eastAsiaTheme="minorEastAsia"/>
                <w:color w:val="auto"/>
                <w:sz w:val="24"/>
                <w:highlight w:val="none"/>
                <w:lang w:val="en-US" w:eastAsia="zh-CN"/>
              </w:rPr>
            </w:pPr>
          </w:p>
        </w:tc>
      </w:tr>
      <w:tr w14:paraId="18F7CDD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2" w:type="dxa"/>
            <w:noWrap/>
            <w:tcMar>
              <w:top w:w="16" w:type="dxa"/>
              <w:left w:w="16" w:type="dxa"/>
              <w:bottom w:w="0" w:type="dxa"/>
              <w:right w:w="16" w:type="dxa"/>
            </w:tcMar>
            <w:vAlign w:val="center"/>
          </w:tcPr>
          <w:p w14:paraId="1DE453B7">
            <w:pPr>
              <w:adjustRightInd w:val="0"/>
              <w:snapToGrid w:val="0"/>
              <w:jc w:val="center"/>
              <w:rPr>
                <w:rFonts w:eastAsiaTheme="minorEastAsia"/>
                <w:color w:val="auto"/>
                <w:sz w:val="24"/>
                <w:highlight w:val="none"/>
              </w:rPr>
            </w:pPr>
            <w:r>
              <w:rPr>
                <w:rFonts w:eastAsiaTheme="minorEastAsia"/>
                <w:color w:val="auto"/>
                <w:sz w:val="24"/>
                <w:highlight w:val="none"/>
              </w:rPr>
              <w:t>建设地点</w:t>
            </w:r>
          </w:p>
        </w:tc>
        <w:tc>
          <w:tcPr>
            <w:tcW w:w="7117" w:type="dxa"/>
            <w:gridSpan w:val="3"/>
            <w:noWrap/>
            <w:vAlign w:val="center"/>
          </w:tcPr>
          <w:p w14:paraId="4EBA7CFF">
            <w:pPr>
              <w:adjustRightInd w:val="0"/>
              <w:snapToGrid w:val="0"/>
              <w:jc w:val="center"/>
              <w:rPr>
                <w:rFonts w:hint="default" w:eastAsiaTheme="minorEastAsia"/>
                <w:color w:val="auto"/>
                <w:sz w:val="24"/>
                <w:highlight w:val="none"/>
                <w:lang w:val="en-US" w:eastAsia="zh-CN"/>
              </w:rPr>
            </w:pPr>
            <w:r>
              <w:rPr>
                <w:rFonts w:eastAsiaTheme="minorEastAsia"/>
                <w:color w:val="auto"/>
                <w:sz w:val="24"/>
                <w:highlight w:val="none"/>
                <w:u w:val="single"/>
              </w:rPr>
              <w:t>陕西</w:t>
            </w:r>
            <w:r>
              <w:rPr>
                <w:rFonts w:eastAsiaTheme="minorEastAsia"/>
                <w:color w:val="auto"/>
                <w:sz w:val="24"/>
                <w:highlight w:val="none"/>
              </w:rPr>
              <w:t>（省）</w:t>
            </w:r>
            <w:r>
              <w:rPr>
                <w:rFonts w:hint="eastAsia" w:eastAsiaTheme="minorEastAsia"/>
                <w:color w:val="auto"/>
                <w:sz w:val="24"/>
                <w:highlight w:val="none"/>
                <w:u w:val="single"/>
                <w:lang w:val="en-US" w:eastAsia="zh-CN"/>
              </w:rPr>
              <w:t>宝鸡</w:t>
            </w:r>
            <w:r>
              <w:rPr>
                <w:rFonts w:eastAsiaTheme="minorEastAsia"/>
                <w:color w:val="auto"/>
                <w:sz w:val="24"/>
                <w:highlight w:val="none"/>
              </w:rPr>
              <w:t>（市）</w:t>
            </w:r>
            <w:r>
              <w:rPr>
                <w:rFonts w:hint="eastAsia" w:eastAsiaTheme="minorEastAsia"/>
                <w:color w:val="auto"/>
                <w:sz w:val="24"/>
                <w:highlight w:val="none"/>
                <w:u w:val="single"/>
                <w:lang w:val="en-US" w:eastAsia="zh-CN"/>
              </w:rPr>
              <w:t>凤翔</w:t>
            </w:r>
            <w:r>
              <w:rPr>
                <w:rFonts w:eastAsiaTheme="minorEastAsia"/>
                <w:color w:val="auto"/>
                <w:sz w:val="24"/>
                <w:highlight w:val="none"/>
              </w:rPr>
              <w:t>（区）</w:t>
            </w:r>
            <w:r>
              <w:rPr>
                <w:rFonts w:hint="eastAsia" w:eastAsiaTheme="minorEastAsia"/>
                <w:color w:val="auto"/>
                <w:sz w:val="24"/>
                <w:highlight w:val="none"/>
                <w:u w:val="single"/>
                <w:lang w:val="en-US" w:eastAsia="zh-CN"/>
              </w:rPr>
              <w:t>田家庄镇河北村村北</w:t>
            </w:r>
            <w:r>
              <w:rPr>
                <w:rFonts w:hint="eastAsia"/>
                <w:lang w:eastAsia="zh-CN"/>
              </w:rPr>
              <w:t>，</w:t>
            </w:r>
            <w:r>
              <w:rPr>
                <w:rFonts w:hint="eastAsia" w:eastAsiaTheme="minorEastAsia"/>
                <w:color w:val="auto"/>
                <w:sz w:val="24"/>
                <w:highlight w:val="none"/>
                <w:u w:val="single"/>
                <w:lang w:val="en-US" w:eastAsia="zh-CN"/>
              </w:rPr>
              <w:t>金隅冀东凤翔环保科技有限公司厂区内。</w:t>
            </w:r>
          </w:p>
        </w:tc>
      </w:tr>
      <w:tr w14:paraId="3F699D1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2" w:type="dxa"/>
            <w:noWrap/>
            <w:tcMar>
              <w:top w:w="16" w:type="dxa"/>
              <w:left w:w="16" w:type="dxa"/>
              <w:bottom w:w="0" w:type="dxa"/>
              <w:right w:w="16" w:type="dxa"/>
            </w:tcMar>
            <w:vAlign w:val="center"/>
          </w:tcPr>
          <w:p w14:paraId="75A14C8F">
            <w:pPr>
              <w:adjustRightInd w:val="0"/>
              <w:snapToGrid w:val="0"/>
              <w:jc w:val="center"/>
              <w:rPr>
                <w:rFonts w:eastAsiaTheme="minorEastAsia"/>
                <w:color w:val="auto"/>
                <w:sz w:val="24"/>
                <w:highlight w:val="none"/>
              </w:rPr>
            </w:pPr>
            <w:r>
              <w:rPr>
                <w:rFonts w:eastAsiaTheme="minorEastAsia"/>
                <w:color w:val="auto"/>
                <w:sz w:val="24"/>
                <w:highlight w:val="none"/>
              </w:rPr>
              <w:t>地理坐标</w:t>
            </w:r>
          </w:p>
        </w:tc>
        <w:tc>
          <w:tcPr>
            <w:tcW w:w="7117" w:type="dxa"/>
            <w:gridSpan w:val="3"/>
            <w:noWrap/>
            <w:vAlign w:val="center"/>
          </w:tcPr>
          <w:p w14:paraId="3FDF1DAB">
            <w:pPr>
              <w:jc w:val="center"/>
              <w:rPr>
                <w:rFonts w:eastAsiaTheme="minorEastAsia"/>
                <w:color w:val="auto"/>
                <w:sz w:val="24"/>
                <w:highlight w:val="none"/>
              </w:rPr>
            </w:pPr>
            <w:r>
              <w:rPr>
                <w:rFonts w:eastAsiaTheme="minorEastAsia"/>
                <w:color w:val="auto"/>
                <w:sz w:val="24"/>
                <w:highlight w:val="none"/>
              </w:rPr>
              <w:t>（</w:t>
            </w:r>
            <w:r>
              <w:rPr>
                <w:rFonts w:eastAsiaTheme="minorEastAsia"/>
                <w:color w:val="auto"/>
                <w:sz w:val="24"/>
                <w:highlight w:val="none"/>
                <w:u w:val="single"/>
              </w:rPr>
              <w:t>10</w:t>
            </w:r>
            <w:r>
              <w:rPr>
                <w:rFonts w:hint="eastAsia" w:eastAsiaTheme="minorEastAsia"/>
                <w:color w:val="auto"/>
                <w:sz w:val="24"/>
                <w:highlight w:val="none"/>
                <w:u w:val="single"/>
                <w:lang w:val="en-US" w:eastAsia="zh-CN"/>
              </w:rPr>
              <w:t>7</w:t>
            </w:r>
            <w:r>
              <w:rPr>
                <w:rFonts w:eastAsiaTheme="minorEastAsia"/>
                <w:color w:val="auto"/>
                <w:sz w:val="24"/>
                <w:highlight w:val="none"/>
              </w:rPr>
              <w:t>度</w:t>
            </w:r>
            <w:r>
              <w:rPr>
                <w:rFonts w:hint="eastAsia" w:eastAsiaTheme="minorEastAsia"/>
                <w:color w:val="auto"/>
                <w:sz w:val="24"/>
                <w:highlight w:val="none"/>
                <w:u w:val="single"/>
                <w:lang w:val="en-US" w:eastAsia="zh-CN"/>
              </w:rPr>
              <w:t>30</w:t>
            </w:r>
            <w:r>
              <w:rPr>
                <w:rFonts w:eastAsiaTheme="minorEastAsia"/>
                <w:color w:val="auto"/>
                <w:sz w:val="24"/>
                <w:highlight w:val="none"/>
              </w:rPr>
              <w:t>分</w:t>
            </w:r>
            <w:r>
              <w:rPr>
                <w:rFonts w:hint="eastAsia" w:eastAsiaTheme="minorEastAsia"/>
                <w:color w:val="auto"/>
                <w:sz w:val="24"/>
                <w:highlight w:val="none"/>
                <w:u w:val="single"/>
                <w:lang w:val="en-US" w:eastAsia="zh-CN"/>
              </w:rPr>
              <w:t>15.865</w:t>
            </w:r>
            <w:r>
              <w:rPr>
                <w:rFonts w:eastAsiaTheme="minorEastAsia"/>
                <w:color w:val="auto"/>
                <w:sz w:val="24"/>
                <w:highlight w:val="none"/>
              </w:rPr>
              <w:t>秒，</w:t>
            </w:r>
            <w:r>
              <w:rPr>
                <w:rFonts w:eastAsiaTheme="minorEastAsia"/>
                <w:color w:val="auto"/>
                <w:sz w:val="24"/>
                <w:highlight w:val="none"/>
                <w:u w:val="single"/>
              </w:rPr>
              <w:t>34</w:t>
            </w:r>
            <w:r>
              <w:rPr>
                <w:rFonts w:eastAsiaTheme="minorEastAsia"/>
                <w:color w:val="auto"/>
                <w:sz w:val="24"/>
                <w:highlight w:val="none"/>
              </w:rPr>
              <w:t>度</w:t>
            </w:r>
            <w:r>
              <w:rPr>
                <w:rFonts w:hint="eastAsia" w:eastAsiaTheme="minorEastAsia"/>
                <w:color w:val="auto"/>
                <w:sz w:val="24"/>
                <w:highlight w:val="none"/>
                <w:u w:val="single"/>
                <w:lang w:val="en-US" w:eastAsia="zh-CN"/>
              </w:rPr>
              <w:t>32</w:t>
            </w:r>
            <w:r>
              <w:rPr>
                <w:rFonts w:eastAsiaTheme="minorEastAsia"/>
                <w:color w:val="auto"/>
                <w:sz w:val="24"/>
                <w:highlight w:val="none"/>
              </w:rPr>
              <w:t>分</w:t>
            </w:r>
            <w:r>
              <w:rPr>
                <w:rFonts w:hint="eastAsia" w:eastAsiaTheme="minorEastAsia"/>
                <w:color w:val="auto"/>
                <w:sz w:val="24"/>
                <w:highlight w:val="none"/>
                <w:u w:val="single"/>
                <w:lang w:val="en-US" w:eastAsia="zh-CN"/>
              </w:rPr>
              <w:t>22.411</w:t>
            </w:r>
            <w:r>
              <w:rPr>
                <w:rFonts w:eastAsiaTheme="minorEastAsia"/>
                <w:color w:val="auto"/>
                <w:sz w:val="24"/>
                <w:highlight w:val="none"/>
              </w:rPr>
              <w:t>秒）</w:t>
            </w:r>
          </w:p>
        </w:tc>
      </w:tr>
      <w:tr w14:paraId="6782ACA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62" w:type="dxa"/>
            <w:noWrap/>
            <w:tcMar>
              <w:top w:w="16" w:type="dxa"/>
              <w:left w:w="16" w:type="dxa"/>
              <w:bottom w:w="0" w:type="dxa"/>
              <w:right w:w="16" w:type="dxa"/>
            </w:tcMar>
            <w:vAlign w:val="center"/>
          </w:tcPr>
          <w:p w14:paraId="7D1988E3">
            <w:pPr>
              <w:adjustRightInd w:val="0"/>
              <w:snapToGrid w:val="0"/>
              <w:jc w:val="center"/>
              <w:rPr>
                <w:rFonts w:eastAsiaTheme="minorEastAsia"/>
                <w:color w:val="auto"/>
                <w:sz w:val="24"/>
                <w:highlight w:val="none"/>
              </w:rPr>
            </w:pPr>
            <w:r>
              <w:rPr>
                <w:rFonts w:eastAsiaTheme="minorEastAsia"/>
                <w:color w:val="auto"/>
                <w:sz w:val="24"/>
                <w:highlight w:val="none"/>
              </w:rPr>
              <w:t>国民经济</w:t>
            </w:r>
          </w:p>
          <w:p w14:paraId="231C55AA">
            <w:pPr>
              <w:adjustRightInd w:val="0"/>
              <w:snapToGrid w:val="0"/>
              <w:jc w:val="center"/>
              <w:rPr>
                <w:rFonts w:eastAsiaTheme="minorEastAsia"/>
                <w:color w:val="auto"/>
                <w:sz w:val="24"/>
                <w:highlight w:val="none"/>
              </w:rPr>
            </w:pPr>
            <w:r>
              <w:rPr>
                <w:rFonts w:eastAsiaTheme="minorEastAsia"/>
                <w:color w:val="auto"/>
                <w:sz w:val="24"/>
                <w:highlight w:val="none"/>
              </w:rPr>
              <w:t>行业类别</w:t>
            </w:r>
          </w:p>
        </w:tc>
        <w:tc>
          <w:tcPr>
            <w:tcW w:w="2157" w:type="dxa"/>
            <w:noWrap/>
            <w:vAlign w:val="center"/>
          </w:tcPr>
          <w:p w14:paraId="2607B029">
            <w:pPr>
              <w:adjustRightInd w:val="0"/>
              <w:snapToGrid w:val="0"/>
              <w:jc w:val="center"/>
              <w:rPr>
                <w:rFonts w:hint="default" w:eastAsiaTheme="minorEastAsia"/>
                <w:color w:val="auto"/>
                <w:sz w:val="24"/>
                <w:highlight w:val="none"/>
                <w:lang w:val="en-US"/>
              </w:rPr>
            </w:pPr>
            <w:r>
              <w:rPr>
                <w:rFonts w:hint="eastAsia" w:eastAsiaTheme="minorEastAsia"/>
                <w:color w:val="auto"/>
                <w:sz w:val="24"/>
                <w:highlight w:val="none"/>
              </w:rPr>
              <w:t>C30</w:t>
            </w:r>
            <w:r>
              <w:rPr>
                <w:rFonts w:hint="eastAsia" w:eastAsiaTheme="minorEastAsia"/>
                <w:color w:val="auto"/>
                <w:sz w:val="24"/>
                <w:highlight w:val="none"/>
                <w:lang w:val="en-US" w:eastAsia="zh-CN"/>
              </w:rPr>
              <w:t>39其他建筑材料制造</w:t>
            </w:r>
          </w:p>
        </w:tc>
        <w:tc>
          <w:tcPr>
            <w:tcW w:w="2155" w:type="dxa"/>
            <w:noWrap/>
            <w:vAlign w:val="center"/>
          </w:tcPr>
          <w:p w14:paraId="229CA09A">
            <w:pPr>
              <w:adjustRightInd w:val="0"/>
              <w:snapToGrid w:val="0"/>
              <w:jc w:val="center"/>
              <w:rPr>
                <w:rFonts w:eastAsiaTheme="minorEastAsia"/>
                <w:color w:val="auto"/>
                <w:sz w:val="24"/>
                <w:highlight w:val="none"/>
              </w:rPr>
            </w:pPr>
            <w:r>
              <w:rPr>
                <w:rFonts w:eastAsiaTheme="minorEastAsia"/>
                <w:color w:val="auto"/>
                <w:sz w:val="24"/>
                <w:highlight w:val="none"/>
              </w:rPr>
              <w:t>建设项目</w:t>
            </w:r>
          </w:p>
          <w:p w14:paraId="78D5B6FF">
            <w:pPr>
              <w:adjustRightInd w:val="0"/>
              <w:snapToGrid w:val="0"/>
              <w:jc w:val="center"/>
              <w:rPr>
                <w:rFonts w:eastAsiaTheme="minorEastAsia"/>
                <w:color w:val="auto"/>
                <w:sz w:val="24"/>
                <w:highlight w:val="none"/>
              </w:rPr>
            </w:pPr>
            <w:r>
              <w:rPr>
                <w:rFonts w:eastAsiaTheme="minorEastAsia"/>
                <w:color w:val="auto"/>
                <w:sz w:val="24"/>
                <w:highlight w:val="none"/>
              </w:rPr>
              <w:t>行业类别</w:t>
            </w:r>
          </w:p>
        </w:tc>
        <w:tc>
          <w:tcPr>
            <w:tcW w:w="2805" w:type="dxa"/>
            <w:noWrap/>
            <w:vAlign w:val="center"/>
          </w:tcPr>
          <w:p w14:paraId="4FECB1EE">
            <w:pPr>
              <w:adjustRightInd w:val="0"/>
              <w:snapToGrid w:val="0"/>
              <w:rPr>
                <w:rFonts w:hint="eastAsia" w:eastAsiaTheme="minorEastAsia"/>
                <w:color w:val="auto"/>
                <w:sz w:val="24"/>
                <w:highlight w:val="none"/>
                <w:lang w:val="en-US" w:eastAsia="zh-CN"/>
              </w:rPr>
            </w:pPr>
            <w:r>
              <w:rPr>
                <w:rFonts w:hint="eastAsia" w:eastAsiaTheme="minorEastAsia"/>
                <w:color w:val="auto"/>
                <w:sz w:val="24"/>
                <w:highlight w:val="none"/>
                <w:lang w:val="en-US" w:eastAsia="zh-CN"/>
              </w:rPr>
              <w:t>二十七、非金属矿物制品业</w:t>
            </w:r>
          </w:p>
          <w:p w14:paraId="28E9E3E4">
            <w:pPr>
              <w:adjustRightInd w:val="0"/>
              <w:snapToGrid w:val="0"/>
              <w:rPr>
                <w:rFonts w:hint="default" w:eastAsiaTheme="minorEastAsia"/>
                <w:color w:val="auto"/>
                <w:sz w:val="24"/>
                <w:highlight w:val="none"/>
                <w:lang w:val="en-US"/>
              </w:rPr>
            </w:pPr>
            <w:r>
              <w:rPr>
                <w:rFonts w:hint="eastAsia" w:eastAsiaTheme="minorEastAsia"/>
                <w:color w:val="auto"/>
                <w:sz w:val="24"/>
                <w:highlight w:val="none"/>
                <w:lang w:val="en-US" w:eastAsia="zh-CN"/>
              </w:rPr>
              <w:t>30-56、砖瓦、石材等建筑材料制造303</w:t>
            </w:r>
            <w:r>
              <w:rPr>
                <w:rFonts w:hint="eastAsia" w:eastAsiaTheme="minorEastAsia"/>
                <w:b w:val="0"/>
                <w:bCs w:val="0"/>
                <w:color w:val="auto"/>
                <w:sz w:val="24"/>
                <w:highlight w:val="none"/>
                <w:lang w:val="en-US" w:eastAsia="zh-CN"/>
              </w:rPr>
              <w:t>-粘土砖瓦及建筑砌块制造；建筑用石加工；防水建筑材料制造；隔热、隔音材料制造；其他建筑材料制造（含干粉砂浆搅拌站）以上均不含利用石材板材切割、打磨、成型的</w:t>
            </w:r>
            <w:r>
              <w:rPr>
                <w:rFonts w:hint="eastAsia" w:eastAsiaTheme="minorEastAsia"/>
                <w:color w:val="auto"/>
                <w:sz w:val="24"/>
                <w:highlight w:val="none"/>
                <w:lang w:val="en-US" w:eastAsia="zh-CN"/>
              </w:rPr>
              <w:t>。</w:t>
            </w:r>
          </w:p>
        </w:tc>
      </w:tr>
      <w:tr w14:paraId="07C4083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1239" w:hRule="atLeast"/>
          <w:jc w:val="center"/>
        </w:trPr>
        <w:tc>
          <w:tcPr>
            <w:tcW w:w="1862" w:type="dxa"/>
            <w:noWrap/>
            <w:tcMar>
              <w:top w:w="16" w:type="dxa"/>
              <w:left w:w="16" w:type="dxa"/>
              <w:bottom w:w="0" w:type="dxa"/>
              <w:right w:w="16" w:type="dxa"/>
            </w:tcMar>
            <w:vAlign w:val="center"/>
          </w:tcPr>
          <w:p w14:paraId="261BEDDD">
            <w:pPr>
              <w:adjustRightInd w:val="0"/>
              <w:snapToGrid w:val="0"/>
              <w:jc w:val="center"/>
              <w:rPr>
                <w:rFonts w:eastAsiaTheme="minorEastAsia"/>
                <w:color w:val="auto"/>
                <w:sz w:val="24"/>
                <w:highlight w:val="none"/>
              </w:rPr>
            </w:pPr>
            <w:r>
              <w:rPr>
                <w:rFonts w:eastAsiaTheme="minorEastAsia"/>
                <w:color w:val="auto"/>
                <w:sz w:val="24"/>
                <w:highlight w:val="none"/>
              </w:rPr>
              <w:t>建设性质</w:t>
            </w:r>
          </w:p>
        </w:tc>
        <w:tc>
          <w:tcPr>
            <w:tcW w:w="2157" w:type="dxa"/>
            <w:noWrap/>
            <w:vAlign w:val="center"/>
          </w:tcPr>
          <w:p w14:paraId="34602BEE">
            <w:pPr>
              <w:jc w:val="left"/>
              <w:rPr>
                <w:rFonts w:eastAsiaTheme="minorEastAsia"/>
                <w:color w:val="auto"/>
                <w:sz w:val="24"/>
                <w:highlight w:val="none"/>
              </w:rPr>
            </w:pPr>
            <w:r>
              <w:rPr>
                <w:rFonts w:hint="eastAsia" w:ascii="MS Mincho" w:hAnsi="MS Mincho" w:eastAsia="宋体" w:cs="MS Mincho"/>
                <w:color w:val="auto"/>
                <w:sz w:val="24"/>
                <w:highlight w:val="none"/>
                <w:lang w:eastAsia="zh-CN"/>
              </w:rPr>
              <w:t>□</w:t>
            </w:r>
            <w:r>
              <w:rPr>
                <w:rFonts w:eastAsiaTheme="minorEastAsia"/>
                <w:color w:val="auto"/>
                <w:sz w:val="24"/>
                <w:highlight w:val="none"/>
              </w:rPr>
              <w:t>新建（迁建）</w:t>
            </w:r>
          </w:p>
          <w:p w14:paraId="179305FA">
            <w:pPr>
              <w:jc w:val="left"/>
              <w:rPr>
                <w:rFonts w:eastAsiaTheme="minorEastAsia"/>
                <w:color w:val="auto"/>
                <w:sz w:val="24"/>
                <w:highlight w:val="none"/>
              </w:rPr>
            </w:pPr>
            <w:r>
              <w:rPr>
                <w:rFonts w:hint="eastAsia" w:eastAsiaTheme="minorEastAsia"/>
                <w:color w:val="auto"/>
                <w:sz w:val="24"/>
                <w:highlight w:val="none"/>
                <w:lang w:eastAsia="zh-CN"/>
              </w:rPr>
              <w:t>□</w:t>
            </w:r>
            <w:r>
              <w:rPr>
                <w:rFonts w:eastAsiaTheme="minorEastAsia"/>
                <w:color w:val="auto"/>
                <w:sz w:val="24"/>
                <w:highlight w:val="none"/>
              </w:rPr>
              <w:t>改建</w:t>
            </w:r>
          </w:p>
          <w:p w14:paraId="70C07A08">
            <w:pPr>
              <w:jc w:val="left"/>
              <w:rPr>
                <w:rFonts w:eastAsiaTheme="minorEastAsia"/>
                <w:color w:val="auto"/>
                <w:sz w:val="24"/>
                <w:highlight w:val="none"/>
              </w:rPr>
            </w:pPr>
            <w:r>
              <w:rPr>
                <w:rFonts w:hint="eastAsia" w:eastAsiaTheme="minorEastAsia"/>
                <w:color w:val="auto"/>
                <w:sz w:val="24"/>
                <w:highlight w:val="none"/>
                <w:lang w:eastAsia="zh-CN"/>
              </w:rPr>
              <w:t>☑</w:t>
            </w:r>
            <w:r>
              <w:rPr>
                <w:rFonts w:eastAsiaTheme="minorEastAsia"/>
                <w:color w:val="auto"/>
                <w:sz w:val="24"/>
                <w:highlight w:val="none"/>
              </w:rPr>
              <w:t>扩建</w:t>
            </w:r>
          </w:p>
          <w:p w14:paraId="0BC32DF8">
            <w:pPr>
              <w:jc w:val="left"/>
              <w:rPr>
                <w:rFonts w:eastAsiaTheme="minorEastAsia"/>
                <w:color w:val="auto"/>
                <w:sz w:val="24"/>
                <w:highlight w:val="none"/>
              </w:rPr>
            </w:pPr>
            <w:r>
              <w:rPr>
                <w:rFonts w:hint="eastAsia" w:eastAsiaTheme="minorEastAsia"/>
                <w:color w:val="auto"/>
                <w:sz w:val="24"/>
                <w:highlight w:val="none"/>
                <w:lang w:eastAsia="zh-CN"/>
              </w:rPr>
              <w:t>□</w:t>
            </w:r>
            <w:r>
              <w:rPr>
                <w:rFonts w:eastAsiaTheme="minorEastAsia"/>
                <w:color w:val="auto"/>
                <w:sz w:val="24"/>
                <w:highlight w:val="none"/>
              </w:rPr>
              <w:t>技术改造</w:t>
            </w:r>
          </w:p>
        </w:tc>
        <w:tc>
          <w:tcPr>
            <w:tcW w:w="2155" w:type="dxa"/>
            <w:noWrap/>
            <w:vAlign w:val="center"/>
          </w:tcPr>
          <w:p w14:paraId="1E6A38BD">
            <w:pPr>
              <w:adjustRightInd w:val="0"/>
              <w:snapToGrid w:val="0"/>
              <w:jc w:val="center"/>
              <w:rPr>
                <w:rFonts w:eastAsiaTheme="minorEastAsia"/>
                <w:color w:val="auto"/>
                <w:sz w:val="24"/>
                <w:highlight w:val="none"/>
              </w:rPr>
            </w:pPr>
            <w:r>
              <w:rPr>
                <w:rFonts w:eastAsiaTheme="minorEastAsia"/>
                <w:color w:val="auto"/>
                <w:sz w:val="24"/>
                <w:highlight w:val="none"/>
              </w:rPr>
              <w:t>建设项目</w:t>
            </w:r>
          </w:p>
          <w:p w14:paraId="7640FD12">
            <w:pPr>
              <w:adjustRightInd w:val="0"/>
              <w:snapToGrid w:val="0"/>
              <w:jc w:val="center"/>
              <w:rPr>
                <w:rFonts w:eastAsiaTheme="minorEastAsia"/>
                <w:color w:val="auto"/>
                <w:sz w:val="24"/>
                <w:highlight w:val="none"/>
              </w:rPr>
            </w:pPr>
            <w:r>
              <w:rPr>
                <w:rFonts w:eastAsiaTheme="minorEastAsia"/>
                <w:color w:val="auto"/>
                <w:sz w:val="24"/>
                <w:highlight w:val="none"/>
              </w:rPr>
              <w:t>申报情形</w:t>
            </w:r>
          </w:p>
        </w:tc>
        <w:tc>
          <w:tcPr>
            <w:tcW w:w="2805" w:type="dxa"/>
            <w:noWrap/>
            <w:vAlign w:val="center"/>
          </w:tcPr>
          <w:p w14:paraId="32C894E5">
            <w:pPr>
              <w:jc w:val="left"/>
              <w:rPr>
                <w:rFonts w:eastAsiaTheme="minorEastAsia"/>
                <w:color w:val="auto"/>
                <w:sz w:val="24"/>
                <w:highlight w:val="none"/>
              </w:rPr>
            </w:pPr>
            <w:r>
              <w:rPr>
                <w:rFonts w:hint="eastAsia" w:ascii="MS Mincho" w:hAnsi="MS Mincho" w:eastAsia="MS Mincho" w:cs="MS Mincho"/>
                <w:color w:val="auto"/>
                <w:sz w:val="24"/>
                <w:highlight w:val="none"/>
              </w:rPr>
              <w:t>☑</w:t>
            </w:r>
            <w:r>
              <w:rPr>
                <w:rFonts w:eastAsiaTheme="minorEastAsia"/>
                <w:color w:val="auto"/>
                <w:sz w:val="24"/>
                <w:highlight w:val="none"/>
              </w:rPr>
              <w:t>首次申报项目</w:t>
            </w:r>
          </w:p>
          <w:p w14:paraId="08130049">
            <w:pPr>
              <w:jc w:val="left"/>
              <w:rPr>
                <w:rFonts w:eastAsiaTheme="minorEastAsia"/>
                <w:color w:val="auto"/>
                <w:sz w:val="24"/>
                <w:highlight w:val="none"/>
              </w:rPr>
            </w:pPr>
            <w:r>
              <w:rPr>
                <w:rFonts w:eastAsiaTheme="minorEastAsia"/>
                <w:color w:val="auto"/>
                <w:sz w:val="24"/>
                <w:highlight w:val="none"/>
              </w:rPr>
              <w:t>□不予批准后再次申报项目</w:t>
            </w:r>
          </w:p>
          <w:p w14:paraId="69A3CB08">
            <w:pPr>
              <w:jc w:val="left"/>
              <w:rPr>
                <w:rFonts w:eastAsiaTheme="minorEastAsia"/>
                <w:color w:val="auto"/>
                <w:sz w:val="24"/>
                <w:highlight w:val="none"/>
              </w:rPr>
            </w:pPr>
            <w:r>
              <w:rPr>
                <w:rFonts w:eastAsiaTheme="minorEastAsia"/>
                <w:color w:val="auto"/>
                <w:sz w:val="24"/>
                <w:highlight w:val="none"/>
              </w:rPr>
              <w:t>□超五年重新审核项目</w:t>
            </w:r>
          </w:p>
          <w:p w14:paraId="1F2DDC5C">
            <w:pPr>
              <w:jc w:val="left"/>
              <w:rPr>
                <w:rFonts w:eastAsiaTheme="minorEastAsia"/>
                <w:color w:val="auto"/>
                <w:sz w:val="24"/>
                <w:highlight w:val="none"/>
              </w:rPr>
            </w:pPr>
            <w:r>
              <w:rPr>
                <w:rFonts w:eastAsiaTheme="minorEastAsia"/>
                <w:color w:val="auto"/>
                <w:sz w:val="24"/>
                <w:highlight w:val="none"/>
              </w:rPr>
              <w:t>□重大变动重新报批项目</w:t>
            </w:r>
          </w:p>
        </w:tc>
      </w:tr>
      <w:tr w14:paraId="4211F6C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62" w:type="dxa"/>
            <w:noWrap/>
            <w:tcMar>
              <w:top w:w="16" w:type="dxa"/>
              <w:left w:w="16" w:type="dxa"/>
              <w:bottom w:w="0" w:type="dxa"/>
              <w:right w:w="16" w:type="dxa"/>
            </w:tcMar>
            <w:vAlign w:val="center"/>
          </w:tcPr>
          <w:p w14:paraId="29D9FCD7">
            <w:pPr>
              <w:adjustRightInd w:val="0"/>
              <w:snapToGrid w:val="0"/>
              <w:jc w:val="center"/>
              <w:rPr>
                <w:rFonts w:eastAsiaTheme="minorEastAsia"/>
                <w:color w:val="auto"/>
                <w:sz w:val="24"/>
                <w:highlight w:val="none"/>
              </w:rPr>
            </w:pPr>
            <w:r>
              <w:rPr>
                <w:rFonts w:eastAsiaTheme="minorEastAsia"/>
                <w:color w:val="auto"/>
                <w:sz w:val="24"/>
                <w:highlight w:val="none"/>
              </w:rPr>
              <w:t>项目审批（核准/</w:t>
            </w:r>
          </w:p>
          <w:p w14:paraId="239935C3">
            <w:pPr>
              <w:adjustRightInd w:val="0"/>
              <w:snapToGrid w:val="0"/>
              <w:jc w:val="center"/>
              <w:rPr>
                <w:rFonts w:eastAsiaTheme="minorEastAsia"/>
                <w:color w:val="auto"/>
                <w:sz w:val="24"/>
                <w:highlight w:val="none"/>
              </w:rPr>
            </w:pPr>
            <w:r>
              <w:rPr>
                <w:rFonts w:eastAsiaTheme="minorEastAsia"/>
                <w:color w:val="auto"/>
                <w:sz w:val="24"/>
                <w:highlight w:val="none"/>
              </w:rPr>
              <w:t>备案）部门（选填）</w:t>
            </w:r>
          </w:p>
        </w:tc>
        <w:tc>
          <w:tcPr>
            <w:tcW w:w="2157" w:type="dxa"/>
            <w:noWrap/>
            <w:vAlign w:val="center"/>
          </w:tcPr>
          <w:p w14:paraId="57500B71">
            <w:pPr>
              <w:adjustRightInd w:val="0"/>
              <w:snapToGrid w:val="0"/>
              <w:jc w:val="center"/>
              <w:rPr>
                <w:rFonts w:hint="default" w:eastAsiaTheme="minorEastAsia"/>
                <w:color w:val="auto"/>
                <w:sz w:val="24"/>
                <w:highlight w:val="none"/>
                <w:lang w:val="en-US" w:eastAsia="zh-CN"/>
              </w:rPr>
            </w:pPr>
            <w:r>
              <w:rPr>
                <w:rFonts w:hint="eastAsia" w:eastAsiaTheme="minorEastAsia"/>
                <w:color w:val="auto"/>
                <w:sz w:val="24"/>
                <w:highlight w:val="none"/>
                <w:lang w:val="en-US" w:eastAsia="zh-CN"/>
              </w:rPr>
              <w:t>宝鸡市凤翔区行政审批服务局</w:t>
            </w:r>
          </w:p>
        </w:tc>
        <w:tc>
          <w:tcPr>
            <w:tcW w:w="2155" w:type="dxa"/>
            <w:noWrap/>
            <w:vAlign w:val="center"/>
          </w:tcPr>
          <w:p w14:paraId="6D173F77">
            <w:pPr>
              <w:adjustRightInd w:val="0"/>
              <w:snapToGrid w:val="0"/>
              <w:jc w:val="center"/>
              <w:rPr>
                <w:rFonts w:eastAsiaTheme="minorEastAsia"/>
                <w:color w:val="auto"/>
                <w:sz w:val="24"/>
                <w:highlight w:val="none"/>
              </w:rPr>
            </w:pPr>
            <w:r>
              <w:rPr>
                <w:rFonts w:eastAsiaTheme="minorEastAsia"/>
                <w:color w:val="auto"/>
                <w:sz w:val="24"/>
                <w:highlight w:val="none"/>
              </w:rPr>
              <w:t>项目审批（核准/</w:t>
            </w:r>
          </w:p>
          <w:p w14:paraId="378B4EB3">
            <w:pPr>
              <w:adjustRightInd w:val="0"/>
              <w:snapToGrid w:val="0"/>
              <w:jc w:val="center"/>
              <w:rPr>
                <w:rFonts w:eastAsiaTheme="minorEastAsia"/>
                <w:color w:val="auto"/>
                <w:sz w:val="24"/>
                <w:highlight w:val="none"/>
              </w:rPr>
            </w:pPr>
            <w:r>
              <w:rPr>
                <w:rFonts w:eastAsiaTheme="minorEastAsia"/>
                <w:color w:val="auto"/>
                <w:sz w:val="24"/>
                <w:highlight w:val="none"/>
              </w:rPr>
              <w:t>备案）文号（选填）</w:t>
            </w:r>
          </w:p>
        </w:tc>
        <w:tc>
          <w:tcPr>
            <w:tcW w:w="2805" w:type="dxa"/>
            <w:noWrap/>
            <w:vAlign w:val="center"/>
          </w:tcPr>
          <w:p w14:paraId="5674998B">
            <w:pPr>
              <w:adjustRightInd w:val="0"/>
              <w:snapToGrid w:val="0"/>
              <w:jc w:val="center"/>
              <w:rPr>
                <w:rFonts w:eastAsiaTheme="minorEastAsia"/>
                <w:color w:val="auto"/>
                <w:sz w:val="24"/>
                <w:highlight w:val="none"/>
              </w:rPr>
            </w:pPr>
            <w:r>
              <w:rPr>
                <w:rFonts w:eastAsiaTheme="minorEastAsia"/>
                <w:color w:val="auto"/>
                <w:sz w:val="24"/>
                <w:highlight w:val="none"/>
              </w:rPr>
              <w:t>/</w:t>
            </w:r>
          </w:p>
        </w:tc>
      </w:tr>
      <w:tr w14:paraId="55CB98E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2" w:type="dxa"/>
            <w:noWrap/>
            <w:tcMar>
              <w:top w:w="16" w:type="dxa"/>
              <w:left w:w="16" w:type="dxa"/>
              <w:bottom w:w="0" w:type="dxa"/>
              <w:right w:w="16" w:type="dxa"/>
            </w:tcMar>
            <w:vAlign w:val="center"/>
          </w:tcPr>
          <w:p w14:paraId="302B3214">
            <w:pPr>
              <w:adjustRightInd w:val="0"/>
              <w:snapToGrid w:val="0"/>
              <w:jc w:val="center"/>
              <w:rPr>
                <w:rFonts w:eastAsiaTheme="minorEastAsia"/>
                <w:color w:val="auto"/>
                <w:sz w:val="24"/>
                <w:highlight w:val="none"/>
              </w:rPr>
            </w:pPr>
            <w:r>
              <w:rPr>
                <w:rFonts w:eastAsiaTheme="minorEastAsia"/>
                <w:color w:val="auto"/>
                <w:sz w:val="24"/>
                <w:highlight w:val="none"/>
              </w:rPr>
              <w:t>总投资（万元）</w:t>
            </w:r>
          </w:p>
        </w:tc>
        <w:tc>
          <w:tcPr>
            <w:tcW w:w="2157" w:type="dxa"/>
            <w:noWrap/>
            <w:vAlign w:val="center"/>
          </w:tcPr>
          <w:p w14:paraId="456269D6">
            <w:pPr>
              <w:adjustRightInd w:val="0"/>
              <w:snapToGrid w:val="0"/>
              <w:jc w:val="center"/>
              <w:rPr>
                <w:rFonts w:hint="default" w:eastAsiaTheme="minorEastAsia"/>
                <w:color w:val="auto"/>
                <w:sz w:val="24"/>
                <w:highlight w:val="none"/>
                <w:lang w:val="en-US" w:eastAsia="zh-CN"/>
              </w:rPr>
            </w:pPr>
            <w:r>
              <w:rPr>
                <w:rFonts w:hint="eastAsia" w:eastAsiaTheme="minorEastAsia"/>
                <w:color w:val="auto"/>
                <w:sz w:val="24"/>
                <w:highlight w:val="none"/>
                <w:lang w:val="en-US" w:eastAsia="zh-CN"/>
              </w:rPr>
              <w:t>1240.13</w:t>
            </w:r>
          </w:p>
        </w:tc>
        <w:tc>
          <w:tcPr>
            <w:tcW w:w="2155" w:type="dxa"/>
            <w:noWrap/>
            <w:tcMar>
              <w:top w:w="16" w:type="dxa"/>
              <w:left w:w="16" w:type="dxa"/>
              <w:bottom w:w="0" w:type="dxa"/>
              <w:right w:w="16" w:type="dxa"/>
            </w:tcMar>
            <w:vAlign w:val="center"/>
          </w:tcPr>
          <w:p w14:paraId="5044F4F5">
            <w:pPr>
              <w:adjustRightInd w:val="0"/>
              <w:snapToGrid w:val="0"/>
              <w:jc w:val="center"/>
              <w:rPr>
                <w:rFonts w:eastAsiaTheme="minorEastAsia"/>
                <w:color w:val="auto"/>
                <w:sz w:val="24"/>
                <w:highlight w:val="none"/>
              </w:rPr>
            </w:pPr>
            <w:r>
              <w:rPr>
                <w:rFonts w:eastAsiaTheme="minorEastAsia"/>
                <w:color w:val="auto"/>
                <w:sz w:val="24"/>
                <w:highlight w:val="none"/>
              </w:rPr>
              <w:t>环保投资（万元）</w:t>
            </w:r>
          </w:p>
        </w:tc>
        <w:tc>
          <w:tcPr>
            <w:tcW w:w="2805" w:type="dxa"/>
            <w:noWrap/>
            <w:vAlign w:val="center"/>
          </w:tcPr>
          <w:p w14:paraId="182E54E7">
            <w:pPr>
              <w:adjustRightInd w:val="0"/>
              <w:snapToGrid w:val="0"/>
              <w:jc w:val="center"/>
              <w:rPr>
                <w:rFonts w:hint="default" w:eastAsiaTheme="minorEastAsia"/>
                <w:color w:val="auto"/>
                <w:sz w:val="24"/>
                <w:highlight w:val="none"/>
                <w:lang w:val="en-US" w:eastAsia="zh-CN"/>
              </w:rPr>
            </w:pPr>
            <w:r>
              <w:rPr>
                <w:rFonts w:hint="eastAsia" w:eastAsiaTheme="minorEastAsia"/>
                <w:color w:val="auto"/>
                <w:sz w:val="24"/>
                <w:highlight w:val="none"/>
                <w:lang w:val="en-US" w:eastAsia="zh-CN"/>
              </w:rPr>
              <w:t>148</w:t>
            </w:r>
          </w:p>
        </w:tc>
      </w:tr>
      <w:tr w14:paraId="511D5E4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2" w:type="dxa"/>
            <w:noWrap/>
            <w:tcMar>
              <w:top w:w="16" w:type="dxa"/>
              <w:left w:w="16" w:type="dxa"/>
              <w:bottom w:w="0" w:type="dxa"/>
              <w:right w:w="16" w:type="dxa"/>
            </w:tcMar>
            <w:vAlign w:val="center"/>
          </w:tcPr>
          <w:p w14:paraId="6560919A">
            <w:pPr>
              <w:adjustRightInd w:val="0"/>
              <w:snapToGrid w:val="0"/>
              <w:jc w:val="center"/>
              <w:rPr>
                <w:rFonts w:eastAsiaTheme="minorEastAsia"/>
                <w:color w:val="auto"/>
                <w:sz w:val="24"/>
                <w:highlight w:val="none"/>
              </w:rPr>
            </w:pPr>
            <w:r>
              <w:rPr>
                <w:rFonts w:eastAsiaTheme="minorEastAsia"/>
                <w:color w:val="auto"/>
                <w:sz w:val="24"/>
                <w:highlight w:val="none"/>
              </w:rPr>
              <w:t>环保投资占比（%）</w:t>
            </w:r>
          </w:p>
        </w:tc>
        <w:tc>
          <w:tcPr>
            <w:tcW w:w="2157" w:type="dxa"/>
            <w:noWrap/>
            <w:vAlign w:val="center"/>
          </w:tcPr>
          <w:p w14:paraId="48FB6D12">
            <w:pPr>
              <w:adjustRightInd w:val="0"/>
              <w:snapToGrid w:val="0"/>
              <w:jc w:val="center"/>
              <w:rPr>
                <w:rFonts w:hint="default" w:eastAsiaTheme="minorEastAsia"/>
                <w:color w:val="auto"/>
                <w:sz w:val="24"/>
                <w:highlight w:val="none"/>
                <w:lang w:val="en-US" w:eastAsia="zh-CN"/>
              </w:rPr>
            </w:pPr>
            <w:r>
              <w:rPr>
                <w:rFonts w:hint="eastAsia" w:eastAsiaTheme="minorEastAsia"/>
                <w:color w:val="auto"/>
                <w:sz w:val="24"/>
                <w:highlight w:val="none"/>
                <w:lang w:val="en-US" w:eastAsia="zh-CN"/>
              </w:rPr>
              <w:t>11.93</w:t>
            </w:r>
          </w:p>
        </w:tc>
        <w:tc>
          <w:tcPr>
            <w:tcW w:w="2155" w:type="dxa"/>
            <w:noWrap/>
            <w:tcMar>
              <w:top w:w="16" w:type="dxa"/>
              <w:left w:w="16" w:type="dxa"/>
              <w:bottom w:w="0" w:type="dxa"/>
              <w:right w:w="16" w:type="dxa"/>
            </w:tcMar>
            <w:vAlign w:val="center"/>
          </w:tcPr>
          <w:p w14:paraId="0B2EFC1E">
            <w:pPr>
              <w:adjustRightInd w:val="0"/>
              <w:snapToGrid w:val="0"/>
              <w:jc w:val="center"/>
              <w:rPr>
                <w:rFonts w:eastAsiaTheme="minorEastAsia"/>
                <w:color w:val="auto"/>
                <w:sz w:val="24"/>
                <w:highlight w:val="none"/>
              </w:rPr>
            </w:pPr>
            <w:r>
              <w:rPr>
                <w:rFonts w:eastAsiaTheme="minorEastAsia"/>
                <w:color w:val="auto"/>
                <w:sz w:val="24"/>
                <w:highlight w:val="none"/>
              </w:rPr>
              <w:t>施工工期</w:t>
            </w:r>
          </w:p>
        </w:tc>
        <w:tc>
          <w:tcPr>
            <w:tcW w:w="2805" w:type="dxa"/>
            <w:noWrap/>
            <w:vAlign w:val="center"/>
          </w:tcPr>
          <w:p w14:paraId="71F02A4F">
            <w:pPr>
              <w:adjustRightInd w:val="0"/>
              <w:snapToGrid w:val="0"/>
              <w:jc w:val="center"/>
              <w:rPr>
                <w:rFonts w:hint="default" w:eastAsiaTheme="minorEastAsia"/>
                <w:color w:val="auto"/>
                <w:sz w:val="24"/>
                <w:highlight w:val="none"/>
                <w:lang w:val="en-US" w:eastAsia="zh-CN"/>
              </w:rPr>
            </w:pPr>
            <w:r>
              <w:rPr>
                <w:rFonts w:hint="eastAsia" w:eastAsiaTheme="minorEastAsia"/>
                <w:color w:val="auto"/>
                <w:sz w:val="24"/>
                <w:highlight w:val="none"/>
                <w:lang w:val="en-US" w:eastAsia="zh-CN"/>
              </w:rPr>
              <w:t>5个月</w:t>
            </w:r>
          </w:p>
        </w:tc>
      </w:tr>
      <w:tr w14:paraId="620FBA3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778" w:hRule="atLeast"/>
          <w:jc w:val="center"/>
        </w:trPr>
        <w:tc>
          <w:tcPr>
            <w:tcW w:w="1862" w:type="dxa"/>
            <w:noWrap/>
            <w:tcMar>
              <w:top w:w="16" w:type="dxa"/>
              <w:left w:w="16" w:type="dxa"/>
              <w:bottom w:w="0" w:type="dxa"/>
              <w:right w:w="16" w:type="dxa"/>
            </w:tcMar>
            <w:vAlign w:val="center"/>
          </w:tcPr>
          <w:p w14:paraId="5D46444C">
            <w:pPr>
              <w:adjustRightInd w:val="0"/>
              <w:snapToGrid w:val="0"/>
              <w:jc w:val="center"/>
              <w:rPr>
                <w:rFonts w:eastAsiaTheme="minorEastAsia"/>
                <w:color w:val="auto"/>
                <w:sz w:val="24"/>
                <w:highlight w:val="none"/>
              </w:rPr>
            </w:pPr>
            <w:r>
              <w:rPr>
                <w:rFonts w:eastAsiaTheme="minorEastAsia"/>
                <w:color w:val="auto"/>
                <w:sz w:val="24"/>
                <w:highlight w:val="none"/>
              </w:rPr>
              <w:t>是否开工建设</w:t>
            </w:r>
          </w:p>
        </w:tc>
        <w:tc>
          <w:tcPr>
            <w:tcW w:w="2157" w:type="dxa"/>
            <w:noWrap/>
            <w:vAlign w:val="center"/>
          </w:tcPr>
          <w:p w14:paraId="2E628092">
            <w:pPr>
              <w:jc w:val="left"/>
              <w:rPr>
                <w:rFonts w:eastAsiaTheme="minorEastAsia"/>
                <w:color w:val="auto"/>
                <w:sz w:val="24"/>
                <w:highlight w:val="none"/>
              </w:rPr>
            </w:pPr>
            <w:r>
              <w:rPr>
                <w:rFonts w:hint="eastAsia" w:ascii="MS Mincho" w:hAnsi="MS Mincho" w:eastAsia="MS Mincho" w:cs="MS Mincho"/>
                <w:color w:val="auto"/>
                <w:sz w:val="24"/>
                <w:highlight w:val="none"/>
              </w:rPr>
              <w:t>☑</w:t>
            </w:r>
            <w:r>
              <w:rPr>
                <w:rFonts w:eastAsiaTheme="minorEastAsia"/>
                <w:color w:val="auto"/>
                <w:sz w:val="24"/>
                <w:highlight w:val="none"/>
              </w:rPr>
              <w:t>否</w:t>
            </w:r>
          </w:p>
          <w:p w14:paraId="6C011CC2">
            <w:pPr>
              <w:jc w:val="left"/>
              <w:rPr>
                <w:rFonts w:eastAsiaTheme="minorEastAsia"/>
                <w:color w:val="auto"/>
                <w:sz w:val="24"/>
                <w:highlight w:val="none"/>
              </w:rPr>
            </w:pPr>
            <w:r>
              <w:rPr>
                <w:rFonts w:eastAsiaTheme="minorEastAsia"/>
                <w:color w:val="auto"/>
                <w:sz w:val="24"/>
                <w:highlight w:val="none"/>
              </w:rPr>
              <w:t>□是</w:t>
            </w:r>
          </w:p>
        </w:tc>
        <w:tc>
          <w:tcPr>
            <w:tcW w:w="2155" w:type="dxa"/>
            <w:noWrap/>
            <w:tcMar>
              <w:top w:w="16" w:type="dxa"/>
              <w:left w:w="16" w:type="dxa"/>
              <w:bottom w:w="0" w:type="dxa"/>
              <w:right w:w="16" w:type="dxa"/>
            </w:tcMar>
            <w:vAlign w:val="center"/>
          </w:tcPr>
          <w:p w14:paraId="7A4662A6">
            <w:pPr>
              <w:adjustRightInd w:val="0"/>
              <w:snapToGrid w:val="0"/>
              <w:jc w:val="center"/>
              <w:rPr>
                <w:rFonts w:eastAsiaTheme="minorEastAsia"/>
                <w:color w:val="auto"/>
                <w:spacing w:val="-6"/>
                <w:sz w:val="24"/>
                <w:highlight w:val="none"/>
              </w:rPr>
            </w:pPr>
            <w:r>
              <w:rPr>
                <w:rFonts w:eastAsiaTheme="minorEastAsia"/>
                <w:color w:val="auto"/>
                <w:spacing w:val="-6"/>
                <w:sz w:val="24"/>
                <w:highlight w:val="none"/>
              </w:rPr>
              <w:t>用地（用海）</w:t>
            </w:r>
          </w:p>
          <w:p w14:paraId="606B9031">
            <w:pPr>
              <w:adjustRightInd w:val="0"/>
              <w:snapToGrid w:val="0"/>
              <w:jc w:val="center"/>
              <w:rPr>
                <w:rFonts w:eastAsiaTheme="minorEastAsia"/>
                <w:color w:val="auto"/>
                <w:sz w:val="24"/>
                <w:highlight w:val="none"/>
              </w:rPr>
            </w:pPr>
            <w:r>
              <w:rPr>
                <w:rFonts w:eastAsiaTheme="minorEastAsia"/>
                <w:color w:val="auto"/>
                <w:spacing w:val="-6"/>
                <w:sz w:val="24"/>
                <w:highlight w:val="none"/>
              </w:rPr>
              <w:t>面积（m</w:t>
            </w:r>
            <w:r>
              <w:rPr>
                <w:rFonts w:eastAsiaTheme="minorEastAsia"/>
                <w:color w:val="auto"/>
                <w:spacing w:val="-6"/>
                <w:sz w:val="24"/>
                <w:highlight w:val="none"/>
                <w:vertAlign w:val="superscript"/>
              </w:rPr>
              <w:t>2</w:t>
            </w:r>
            <w:r>
              <w:rPr>
                <w:rFonts w:eastAsiaTheme="minorEastAsia"/>
                <w:color w:val="auto"/>
                <w:spacing w:val="-6"/>
                <w:sz w:val="24"/>
                <w:highlight w:val="none"/>
              </w:rPr>
              <w:t>）</w:t>
            </w:r>
          </w:p>
        </w:tc>
        <w:tc>
          <w:tcPr>
            <w:tcW w:w="2805" w:type="dxa"/>
            <w:noWrap/>
            <w:vAlign w:val="center"/>
          </w:tcPr>
          <w:p w14:paraId="45E73EF3">
            <w:pPr>
              <w:adjustRightInd w:val="0"/>
              <w:snapToGrid w:val="0"/>
              <w:jc w:val="center"/>
              <w:rPr>
                <w:rFonts w:hint="eastAsia" w:eastAsiaTheme="minorEastAsia"/>
                <w:color w:val="auto"/>
                <w:sz w:val="24"/>
                <w:highlight w:val="none"/>
                <w:lang w:val="en-US" w:eastAsia="zh-CN"/>
              </w:rPr>
            </w:pPr>
            <w:r>
              <w:rPr>
                <w:rFonts w:hint="eastAsia" w:eastAsiaTheme="minorEastAsia"/>
                <w:color w:val="auto"/>
                <w:sz w:val="24"/>
                <w:highlight w:val="none"/>
                <w:lang w:val="en-US" w:eastAsia="zh-CN"/>
              </w:rPr>
              <w:t>（0）</w:t>
            </w:r>
          </w:p>
        </w:tc>
      </w:tr>
      <w:tr w14:paraId="6AEDD53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1862" w:type="dxa"/>
            <w:noWrap/>
            <w:vAlign w:val="center"/>
          </w:tcPr>
          <w:p w14:paraId="6ACA18C5">
            <w:pPr>
              <w:autoSpaceDE w:val="0"/>
              <w:autoSpaceDN w:val="0"/>
              <w:adjustRightInd w:val="0"/>
              <w:snapToGrid w:val="0"/>
              <w:jc w:val="center"/>
              <w:rPr>
                <w:rFonts w:eastAsiaTheme="minorEastAsia"/>
                <w:color w:val="auto"/>
                <w:kern w:val="0"/>
                <w:sz w:val="24"/>
                <w:highlight w:val="none"/>
              </w:rPr>
            </w:pPr>
            <w:r>
              <w:rPr>
                <w:rFonts w:eastAsiaTheme="minorEastAsia"/>
                <w:color w:val="auto"/>
                <w:kern w:val="0"/>
                <w:sz w:val="24"/>
                <w:highlight w:val="none"/>
              </w:rPr>
              <w:t>专项评价设置情况</w:t>
            </w:r>
          </w:p>
        </w:tc>
        <w:tc>
          <w:tcPr>
            <w:tcW w:w="7117" w:type="dxa"/>
            <w:gridSpan w:val="3"/>
            <w:noWrap/>
            <w:vAlign w:val="center"/>
          </w:tcPr>
          <w:p w14:paraId="5F0C10A7">
            <w:pPr>
              <w:autoSpaceDE w:val="0"/>
              <w:autoSpaceDN w:val="0"/>
              <w:adjustRightInd w:val="0"/>
              <w:snapToGrid w:val="0"/>
              <w:jc w:val="center"/>
              <w:rPr>
                <w:rFonts w:hint="eastAsia" w:eastAsiaTheme="minorEastAsia"/>
                <w:color w:val="auto"/>
                <w:kern w:val="0"/>
                <w:sz w:val="24"/>
                <w:highlight w:val="none"/>
                <w:lang w:val="en-US" w:eastAsia="zh-CN"/>
              </w:rPr>
            </w:pPr>
            <w:r>
              <w:rPr>
                <w:rFonts w:hint="eastAsia" w:eastAsiaTheme="minorEastAsia"/>
                <w:color w:val="auto"/>
                <w:kern w:val="0"/>
                <w:sz w:val="24"/>
                <w:highlight w:val="none"/>
                <w:lang w:val="en-US" w:eastAsia="zh-CN"/>
              </w:rPr>
              <w:t>无</w:t>
            </w:r>
          </w:p>
        </w:tc>
      </w:tr>
      <w:tr w14:paraId="5C83D7E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862" w:type="dxa"/>
            <w:noWrap/>
            <w:vAlign w:val="center"/>
          </w:tcPr>
          <w:p w14:paraId="66124C28">
            <w:pPr>
              <w:autoSpaceDE w:val="0"/>
              <w:autoSpaceDN w:val="0"/>
              <w:adjustRightInd w:val="0"/>
              <w:snapToGrid w:val="0"/>
              <w:jc w:val="center"/>
              <w:rPr>
                <w:rFonts w:eastAsiaTheme="minorEastAsia"/>
                <w:color w:val="auto"/>
                <w:kern w:val="0"/>
                <w:sz w:val="24"/>
                <w:highlight w:val="none"/>
              </w:rPr>
            </w:pPr>
            <w:r>
              <w:rPr>
                <w:rFonts w:eastAsiaTheme="minorEastAsia"/>
                <w:color w:val="auto"/>
                <w:sz w:val="24"/>
                <w:highlight w:val="none"/>
              </w:rPr>
              <w:t>规划情况</w:t>
            </w:r>
          </w:p>
        </w:tc>
        <w:tc>
          <w:tcPr>
            <w:tcW w:w="7117" w:type="dxa"/>
            <w:gridSpan w:val="3"/>
            <w:noWrap/>
            <w:vAlign w:val="center"/>
          </w:tcPr>
          <w:p w14:paraId="473FB64E">
            <w:pPr>
              <w:autoSpaceDE w:val="0"/>
              <w:autoSpaceDN w:val="0"/>
              <w:adjustRightInd w:val="0"/>
              <w:snapToGrid w:val="0"/>
              <w:jc w:val="center"/>
              <w:rPr>
                <w:rFonts w:hint="eastAsia" w:eastAsiaTheme="minorEastAsia"/>
                <w:color w:val="auto"/>
                <w:sz w:val="24"/>
                <w:highlight w:val="none"/>
                <w:lang w:val="en-US" w:eastAsia="zh-CN"/>
              </w:rPr>
            </w:pPr>
            <w:r>
              <w:rPr>
                <w:rFonts w:hint="eastAsia" w:eastAsiaTheme="minorEastAsia"/>
                <w:color w:val="auto"/>
                <w:sz w:val="24"/>
                <w:highlight w:val="none"/>
                <w:lang w:val="en-US" w:eastAsia="zh-CN"/>
              </w:rPr>
              <w:t>无</w:t>
            </w:r>
          </w:p>
        </w:tc>
      </w:tr>
      <w:tr w14:paraId="32411BF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1862" w:type="dxa"/>
            <w:noWrap/>
            <w:vAlign w:val="center"/>
          </w:tcPr>
          <w:p w14:paraId="13C9C8DC">
            <w:pPr>
              <w:adjustRightInd w:val="0"/>
              <w:snapToGrid w:val="0"/>
              <w:jc w:val="center"/>
              <w:rPr>
                <w:rFonts w:eastAsiaTheme="minorEastAsia"/>
                <w:color w:val="auto"/>
                <w:sz w:val="24"/>
                <w:highlight w:val="none"/>
              </w:rPr>
            </w:pPr>
            <w:r>
              <w:rPr>
                <w:rFonts w:eastAsiaTheme="minorEastAsia"/>
                <w:color w:val="auto"/>
                <w:sz w:val="24"/>
                <w:highlight w:val="none"/>
              </w:rPr>
              <w:t>规划环境影响评价情况</w:t>
            </w:r>
          </w:p>
        </w:tc>
        <w:tc>
          <w:tcPr>
            <w:tcW w:w="7117" w:type="dxa"/>
            <w:gridSpan w:val="3"/>
            <w:noWrap/>
            <w:vAlign w:val="center"/>
          </w:tcPr>
          <w:p w14:paraId="0F7EAB9E">
            <w:pPr>
              <w:autoSpaceDE w:val="0"/>
              <w:autoSpaceDN w:val="0"/>
              <w:adjustRightInd w:val="0"/>
              <w:snapToGrid w:val="0"/>
              <w:jc w:val="center"/>
              <w:rPr>
                <w:rFonts w:hint="eastAsia" w:eastAsiaTheme="minorEastAsia"/>
                <w:color w:val="auto"/>
                <w:sz w:val="24"/>
                <w:highlight w:val="none"/>
                <w:lang w:val="en-US" w:eastAsia="zh-CN"/>
              </w:rPr>
            </w:pPr>
            <w:r>
              <w:rPr>
                <w:rFonts w:hint="eastAsia" w:eastAsiaTheme="minorEastAsia"/>
                <w:color w:val="auto"/>
                <w:sz w:val="24"/>
                <w:highlight w:val="none"/>
                <w:lang w:val="en-US" w:eastAsia="zh-CN"/>
              </w:rPr>
              <w:t>无</w:t>
            </w:r>
          </w:p>
        </w:tc>
      </w:tr>
      <w:tr w14:paraId="548C359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62" w:type="dxa"/>
            <w:noWrap/>
            <w:vAlign w:val="center"/>
          </w:tcPr>
          <w:p w14:paraId="670DEA5E">
            <w:pPr>
              <w:autoSpaceDE w:val="0"/>
              <w:autoSpaceDN w:val="0"/>
              <w:adjustRightInd w:val="0"/>
              <w:snapToGrid w:val="0"/>
              <w:jc w:val="center"/>
              <w:rPr>
                <w:rFonts w:eastAsiaTheme="minorEastAsia"/>
                <w:color w:val="auto"/>
                <w:kern w:val="0"/>
                <w:szCs w:val="21"/>
                <w:highlight w:val="none"/>
              </w:rPr>
            </w:pPr>
            <w:r>
              <w:rPr>
                <w:rFonts w:eastAsiaTheme="minorEastAsia"/>
                <w:color w:val="auto"/>
                <w:kern w:val="0"/>
                <w:sz w:val="24"/>
                <w:highlight w:val="none"/>
              </w:rPr>
              <w:t>规划及规划环境影响评价符合性分析</w:t>
            </w:r>
          </w:p>
        </w:tc>
        <w:tc>
          <w:tcPr>
            <w:tcW w:w="7117" w:type="dxa"/>
            <w:gridSpan w:val="3"/>
            <w:noWrap/>
            <w:vAlign w:val="center"/>
          </w:tcPr>
          <w:p w14:paraId="53CAA84F">
            <w:pPr>
              <w:pStyle w:val="2"/>
              <w:ind w:left="0" w:leftChars="0" w:firstLine="0" w:firstLineChars="0"/>
              <w:jc w:val="center"/>
              <w:rPr>
                <w:rFonts w:hint="eastAsia" w:eastAsia="宋体"/>
                <w:color w:val="auto"/>
                <w:highlight w:val="none"/>
                <w:lang w:val="en-US" w:eastAsia="zh-CN"/>
              </w:rPr>
            </w:pPr>
            <w:r>
              <w:rPr>
                <w:rFonts w:hint="eastAsia"/>
                <w:color w:val="auto"/>
                <w:highlight w:val="none"/>
                <w:lang w:val="en-US" w:eastAsia="zh-CN"/>
              </w:rPr>
              <w:t>无</w:t>
            </w:r>
          </w:p>
        </w:tc>
      </w:tr>
      <w:tr w14:paraId="01729DB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62" w:type="dxa"/>
            <w:noWrap/>
            <w:vAlign w:val="center"/>
          </w:tcPr>
          <w:p w14:paraId="4C58F979">
            <w:pPr>
              <w:autoSpaceDE w:val="0"/>
              <w:autoSpaceDN w:val="0"/>
              <w:adjustRightInd w:val="0"/>
              <w:snapToGrid w:val="0"/>
              <w:jc w:val="center"/>
              <w:rPr>
                <w:rFonts w:eastAsiaTheme="minorEastAsia"/>
                <w:color w:val="auto"/>
                <w:kern w:val="0"/>
                <w:szCs w:val="21"/>
                <w:highlight w:val="none"/>
              </w:rPr>
            </w:pPr>
            <w:r>
              <w:rPr>
                <w:rFonts w:eastAsiaTheme="minorEastAsia"/>
                <w:color w:val="auto"/>
                <w:kern w:val="0"/>
                <w:sz w:val="24"/>
                <w:highlight w:val="none"/>
              </w:rPr>
              <w:t>其他符合性分析</w:t>
            </w:r>
          </w:p>
        </w:tc>
        <w:tc>
          <w:tcPr>
            <w:tcW w:w="7117" w:type="dxa"/>
            <w:gridSpan w:val="3"/>
            <w:noWrap/>
            <w:vAlign w:val="center"/>
          </w:tcPr>
          <w:p w14:paraId="36DD2E2B">
            <w:pPr>
              <w:widowControl/>
              <w:spacing w:line="360" w:lineRule="auto"/>
              <w:jc w:val="left"/>
              <w:rPr>
                <w:rFonts w:eastAsiaTheme="minorEastAsia"/>
                <w:b/>
                <w:bCs/>
                <w:color w:val="auto"/>
                <w:kern w:val="0"/>
                <w:sz w:val="24"/>
                <w:highlight w:val="none"/>
              </w:rPr>
            </w:pPr>
            <w:r>
              <w:rPr>
                <w:rFonts w:hint="eastAsia" w:eastAsiaTheme="minorEastAsia"/>
                <w:b/>
                <w:bCs/>
                <w:color w:val="auto"/>
                <w:kern w:val="0"/>
                <w:sz w:val="24"/>
                <w:highlight w:val="none"/>
                <w:lang w:val="en-US" w:eastAsia="zh-CN"/>
              </w:rPr>
              <w:t>1.</w:t>
            </w:r>
            <w:r>
              <w:rPr>
                <w:rFonts w:hint="eastAsia" w:ascii="宋体" w:hAnsi="宋体" w:eastAsia="宋体" w:cs="宋体"/>
                <w:b/>
                <w:bCs/>
                <w:color w:val="auto"/>
                <w:kern w:val="0"/>
                <w:sz w:val="24"/>
                <w:highlight w:val="none"/>
              </w:rPr>
              <w:t>“三线一单”</w:t>
            </w:r>
            <w:r>
              <w:rPr>
                <w:rFonts w:eastAsiaTheme="minorEastAsia"/>
                <w:b/>
                <w:bCs/>
                <w:color w:val="auto"/>
                <w:kern w:val="0"/>
                <w:sz w:val="24"/>
                <w:highlight w:val="none"/>
              </w:rPr>
              <w:t>符合性分析</w:t>
            </w:r>
          </w:p>
          <w:p w14:paraId="081933DF">
            <w:pPr>
              <w:autoSpaceDE w:val="0"/>
              <w:autoSpaceDN w:val="0"/>
              <w:spacing w:line="360" w:lineRule="auto"/>
              <w:ind w:firstLine="480" w:firstLineChars="200"/>
              <w:rPr>
                <w:color w:val="auto"/>
                <w:kern w:val="0"/>
                <w:sz w:val="24"/>
                <w:highlight w:val="none"/>
              </w:rPr>
            </w:pPr>
            <w:r>
              <w:rPr>
                <w:color w:val="auto"/>
                <w:kern w:val="0"/>
                <w:sz w:val="24"/>
                <w:highlight w:val="none"/>
              </w:rPr>
              <w:t>根据《陕西省人民政府关于加快实施</w:t>
            </w:r>
            <w:r>
              <w:rPr>
                <w:rFonts w:hint="eastAsia" w:ascii="宋体" w:hAnsi="宋体" w:eastAsia="宋体" w:cs="宋体"/>
                <w:color w:val="auto"/>
                <w:kern w:val="0"/>
                <w:sz w:val="24"/>
                <w:highlight w:val="none"/>
              </w:rPr>
              <w:t>“三线一单”生态</w:t>
            </w:r>
            <w:r>
              <w:rPr>
                <w:color w:val="auto"/>
                <w:kern w:val="0"/>
                <w:sz w:val="24"/>
                <w:highlight w:val="none"/>
              </w:rPr>
              <w:t>环境分区管控的意见》（陕政发〔2020〕11号）、《陕西省</w:t>
            </w:r>
            <w:r>
              <w:rPr>
                <w:rFonts w:hint="eastAsia" w:ascii="宋体" w:hAnsi="宋体" w:eastAsia="宋体" w:cs="宋体"/>
                <w:color w:val="auto"/>
                <w:kern w:val="0"/>
                <w:sz w:val="24"/>
                <w:highlight w:val="none"/>
              </w:rPr>
              <w:t>“三线一单”</w:t>
            </w:r>
            <w:r>
              <w:rPr>
                <w:color w:val="auto"/>
                <w:kern w:val="0"/>
                <w:sz w:val="24"/>
                <w:highlight w:val="none"/>
              </w:rPr>
              <w:t>生态环境分区管控应用技术指南：环境影响评价（试行）》</w:t>
            </w:r>
            <w:r>
              <w:rPr>
                <w:rFonts w:hint="eastAsia"/>
                <w:color w:val="auto"/>
                <w:kern w:val="0"/>
                <w:sz w:val="24"/>
                <w:highlight w:val="none"/>
                <w:lang w:eastAsia="zh-CN"/>
              </w:rPr>
              <w:t>（陕环办发〔2022〕7</w:t>
            </w:r>
            <w:r>
              <w:rPr>
                <w:rFonts w:hint="eastAsia"/>
                <w:color w:val="auto"/>
                <w:kern w:val="0"/>
                <w:sz w:val="24"/>
                <w:highlight w:val="none"/>
                <w:lang w:val="en-US" w:eastAsia="zh-CN"/>
              </w:rPr>
              <w:t>号</w:t>
            </w:r>
            <w:r>
              <w:rPr>
                <w:rFonts w:hint="eastAsia"/>
                <w:color w:val="auto"/>
                <w:kern w:val="0"/>
                <w:sz w:val="24"/>
                <w:highlight w:val="none"/>
                <w:lang w:eastAsia="zh-CN"/>
              </w:rPr>
              <w:t>）</w:t>
            </w:r>
            <w:r>
              <w:rPr>
                <w:color w:val="auto"/>
                <w:kern w:val="0"/>
                <w:sz w:val="24"/>
                <w:highlight w:val="none"/>
              </w:rPr>
              <w:t>及《</w:t>
            </w:r>
            <w:r>
              <w:rPr>
                <w:rFonts w:hint="eastAsia"/>
                <w:color w:val="auto"/>
                <w:kern w:val="0"/>
                <w:sz w:val="24"/>
                <w:highlight w:val="none"/>
                <w:lang w:eastAsia="zh-CN"/>
              </w:rPr>
              <w:t>宝鸡市</w:t>
            </w:r>
            <w:r>
              <w:rPr>
                <w:color w:val="auto"/>
                <w:kern w:val="0"/>
                <w:sz w:val="24"/>
                <w:highlight w:val="none"/>
              </w:rPr>
              <w:t>人民政府关于印发</w:t>
            </w:r>
            <w:r>
              <w:rPr>
                <w:rFonts w:hint="eastAsia" w:ascii="宋体" w:hAnsi="宋体" w:eastAsia="宋体" w:cs="宋体"/>
                <w:color w:val="auto"/>
                <w:kern w:val="0"/>
                <w:sz w:val="24"/>
                <w:highlight w:val="none"/>
              </w:rPr>
              <w:t>“三线一单”生</w:t>
            </w:r>
            <w:r>
              <w:rPr>
                <w:color w:val="auto"/>
                <w:kern w:val="0"/>
                <w:sz w:val="24"/>
                <w:highlight w:val="none"/>
              </w:rPr>
              <w:t>态环境分区管控方案的通知》（市政发〔2021〕22号），环评文件涉及</w:t>
            </w:r>
            <w:r>
              <w:rPr>
                <w:rFonts w:hint="eastAsia" w:ascii="宋体" w:hAnsi="宋体" w:eastAsia="宋体" w:cs="宋体"/>
                <w:color w:val="auto"/>
                <w:kern w:val="0"/>
                <w:sz w:val="24"/>
                <w:highlight w:val="none"/>
              </w:rPr>
              <w:t>“三线一单”</w:t>
            </w:r>
            <w:r>
              <w:rPr>
                <w:color w:val="auto"/>
                <w:kern w:val="0"/>
                <w:sz w:val="24"/>
                <w:highlight w:val="none"/>
              </w:rPr>
              <w:t>生态环境分区管控符合性分析应采取</w:t>
            </w:r>
            <w:r>
              <w:rPr>
                <w:rFonts w:hint="eastAsia" w:ascii="宋体" w:hAnsi="宋体" w:eastAsia="宋体" w:cs="宋体"/>
                <w:color w:val="auto"/>
                <w:kern w:val="0"/>
                <w:sz w:val="24"/>
                <w:highlight w:val="none"/>
              </w:rPr>
              <w:t>“一图一表一说明”</w:t>
            </w:r>
            <w:r>
              <w:rPr>
                <w:color w:val="auto"/>
                <w:kern w:val="0"/>
                <w:sz w:val="24"/>
                <w:highlight w:val="none"/>
              </w:rPr>
              <w:t>的表达方式，</w:t>
            </w:r>
            <w:r>
              <w:rPr>
                <w:rFonts w:hint="eastAsia"/>
                <w:color w:val="auto"/>
                <w:kern w:val="0"/>
                <w:sz w:val="24"/>
                <w:highlight w:val="none"/>
                <w:lang w:val="en-US" w:eastAsia="zh-CN"/>
              </w:rPr>
              <w:t>本项目</w:t>
            </w:r>
            <w:r>
              <w:rPr>
                <w:rFonts w:hint="eastAsia" w:ascii="宋体" w:hAnsi="宋体" w:eastAsia="宋体" w:cs="宋体"/>
                <w:color w:val="auto"/>
                <w:kern w:val="0"/>
                <w:sz w:val="24"/>
                <w:highlight w:val="none"/>
              </w:rPr>
              <w:t>“三线一单”</w:t>
            </w:r>
            <w:r>
              <w:rPr>
                <w:rFonts w:hint="eastAsia" w:ascii="宋体" w:hAnsi="宋体" w:eastAsia="宋体" w:cs="宋体"/>
                <w:color w:val="auto"/>
                <w:kern w:val="0"/>
                <w:sz w:val="24"/>
                <w:highlight w:val="none"/>
                <w:lang w:val="en-US" w:eastAsia="zh-CN"/>
              </w:rPr>
              <w:t>符合性分析</w:t>
            </w:r>
            <w:r>
              <w:rPr>
                <w:color w:val="auto"/>
                <w:kern w:val="0"/>
                <w:sz w:val="24"/>
                <w:highlight w:val="none"/>
              </w:rPr>
              <w:t>具体如下：</w:t>
            </w:r>
          </w:p>
          <w:p w14:paraId="2165A8AC">
            <w:pPr>
              <w:numPr>
                <w:ilvl w:val="0"/>
                <w:numId w:val="1"/>
              </w:numPr>
              <w:autoSpaceDE w:val="0"/>
              <w:autoSpaceDN w:val="0"/>
              <w:spacing w:line="360" w:lineRule="auto"/>
              <w:ind w:firstLine="480" w:firstLineChars="200"/>
              <w:rPr>
                <w:rFonts w:hint="eastAsia"/>
                <w:color w:val="auto"/>
                <w:kern w:val="0"/>
                <w:sz w:val="24"/>
                <w:highlight w:val="none"/>
                <w:lang w:eastAsia="zh-CN"/>
              </w:rPr>
            </w:pPr>
            <w:r>
              <w:rPr>
                <w:rFonts w:hint="eastAsia"/>
                <w:color w:val="auto"/>
                <w:kern w:val="0"/>
                <w:sz w:val="24"/>
                <w:highlight w:val="none"/>
                <w:lang w:eastAsia="zh-CN"/>
              </w:rPr>
              <w:t>“</w:t>
            </w:r>
            <w:r>
              <w:rPr>
                <w:rFonts w:hint="eastAsia"/>
                <w:color w:val="auto"/>
                <w:kern w:val="0"/>
                <w:sz w:val="24"/>
                <w:highlight w:val="none"/>
                <w:lang w:val="en-US" w:eastAsia="zh-CN"/>
              </w:rPr>
              <w:t>一图</w:t>
            </w:r>
            <w:r>
              <w:rPr>
                <w:rFonts w:hint="eastAsia"/>
                <w:color w:val="auto"/>
                <w:kern w:val="0"/>
                <w:sz w:val="24"/>
                <w:highlight w:val="none"/>
                <w:lang w:eastAsia="zh-CN"/>
              </w:rPr>
              <w:t>”</w:t>
            </w:r>
          </w:p>
          <w:p w14:paraId="231983EC">
            <w:pPr>
              <w:numPr>
                <w:ilvl w:val="0"/>
                <w:numId w:val="0"/>
              </w:numPr>
              <w:spacing w:line="360" w:lineRule="auto"/>
              <w:ind w:firstLine="480" w:firstLineChars="200"/>
              <w:rPr>
                <w:rFonts w:hint="eastAsia"/>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通过在陕西省生态环境厅“在线服务”模块登录《陕西省“三线一单”数据应用系统（V1.0）》中查询本项目，本项目所在区域为“重点管控单元”，</w:t>
            </w:r>
            <w:r>
              <w:rPr>
                <w:rFonts w:hint="eastAsia" w:cs="Times New Roman"/>
                <w:b w:val="0"/>
                <w:bCs w:val="0"/>
                <w:color w:val="auto"/>
                <w:sz w:val="24"/>
                <w:szCs w:val="24"/>
                <w:highlight w:val="none"/>
                <w:lang w:val="en-US" w:eastAsia="zh-CN"/>
              </w:rPr>
              <w:t>不涉及生态保护红线。</w:t>
            </w:r>
            <w:r>
              <w:rPr>
                <w:color w:val="auto"/>
                <w:kern w:val="0"/>
                <w:sz w:val="24"/>
                <w:highlight w:val="none"/>
              </w:rPr>
              <w:t>项目与环境管控</w:t>
            </w:r>
            <w:r>
              <w:rPr>
                <w:rFonts w:hint="eastAsia"/>
                <w:color w:val="auto"/>
                <w:kern w:val="0"/>
                <w:sz w:val="24"/>
                <w:highlight w:val="none"/>
                <w:lang w:val="en-US" w:eastAsia="zh-CN"/>
              </w:rPr>
              <w:t>单元</w:t>
            </w:r>
            <w:r>
              <w:rPr>
                <w:color w:val="auto"/>
                <w:kern w:val="0"/>
                <w:sz w:val="24"/>
                <w:highlight w:val="none"/>
              </w:rPr>
              <w:t>对照分析示意图</w:t>
            </w:r>
            <w:r>
              <w:rPr>
                <w:rFonts w:hint="eastAsia"/>
                <w:color w:val="auto"/>
                <w:kern w:val="0"/>
                <w:sz w:val="24"/>
                <w:highlight w:val="none"/>
                <w:lang w:val="en-US" w:eastAsia="zh-CN"/>
              </w:rPr>
              <w:t>见</w:t>
            </w:r>
            <w:r>
              <w:rPr>
                <w:color w:val="auto"/>
                <w:kern w:val="0"/>
                <w:sz w:val="24"/>
                <w:highlight w:val="none"/>
              </w:rPr>
              <w:t>下图</w:t>
            </w:r>
            <w:r>
              <w:rPr>
                <w:rFonts w:hint="eastAsia"/>
                <w:color w:val="auto"/>
                <w:kern w:val="0"/>
                <w:sz w:val="24"/>
                <w:highlight w:val="none"/>
                <w:lang w:val="en-US" w:eastAsia="zh-CN"/>
              </w:rPr>
              <w:t>1-1</w:t>
            </w:r>
            <w:r>
              <w:rPr>
                <w:rFonts w:hint="eastAsia"/>
                <w:color w:val="auto"/>
                <w:kern w:val="0"/>
                <w:sz w:val="24"/>
                <w:highlight w:val="none"/>
                <w:lang w:eastAsia="zh-CN"/>
              </w:rPr>
              <w:t>。</w:t>
            </w:r>
          </w:p>
          <w:p w14:paraId="3246F0CD">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auto"/>
                <w:highlight w:val="none"/>
                <w:lang w:val="en-US" w:eastAsia="zh-CN"/>
              </w:rPr>
            </w:pPr>
            <w:r>
              <w:rPr>
                <w:color w:val="auto"/>
                <w:highlight w:val="none"/>
              </w:rPr>
              <w:drawing>
                <wp:inline distT="0" distB="0" distL="114300" distR="114300">
                  <wp:extent cx="3329940" cy="4709795"/>
                  <wp:effectExtent l="0" t="0" r="3810" b="14605"/>
                  <wp:docPr id="44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 name="图片 6"/>
                          <pic:cNvPicPr>
                            <a:picLocks noChangeAspect="1"/>
                          </pic:cNvPicPr>
                        </pic:nvPicPr>
                        <pic:blipFill>
                          <a:blip r:embed="rId7"/>
                          <a:stretch>
                            <a:fillRect/>
                          </a:stretch>
                        </pic:blipFill>
                        <pic:spPr>
                          <a:xfrm>
                            <a:off x="0" y="0"/>
                            <a:ext cx="3329940" cy="4709795"/>
                          </a:xfrm>
                          <a:prstGeom prst="rect">
                            <a:avLst/>
                          </a:prstGeom>
                          <a:noFill/>
                          <a:ln>
                            <a:noFill/>
                          </a:ln>
                        </pic:spPr>
                      </pic:pic>
                    </a:graphicData>
                  </a:graphic>
                </wp:inline>
              </w:drawing>
            </w:r>
          </w:p>
          <w:p w14:paraId="5D27FFD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图1-1  项目与</w:t>
            </w:r>
            <w:r>
              <w:rPr>
                <w:rFonts w:hint="eastAsia" w:cs="Times New Roman"/>
                <w:b/>
                <w:bCs/>
                <w:color w:val="auto"/>
                <w:highlight w:val="none"/>
                <w:lang w:val="en-US" w:eastAsia="zh-CN"/>
              </w:rPr>
              <w:t>宝鸡市</w:t>
            </w:r>
            <w:r>
              <w:rPr>
                <w:rFonts w:hint="default" w:ascii="Times New Roman" w:hAnsi="Times New Roman" w:cs="Times New Roman"/>
                <w:b/>
                <w:bCs/>
                <w:color w:val="auto"/>
                <w:highlight w:val="none"/>
                <w:lang w:val="en-US" w:eastAsia="zh-CN"/>
              </w:rPr>
              <w:t>生态环境管控单元空间冲突附图</w:t>
            </w:r>
          </w:p>
          <w:p w14:paraId="5C8BA195">
            <w:pPr>
              <w:numPr>
                <w:ilvl w:val="0"/>
                <w:numId w:val="1"/>
              </w:numPr>
              <w:spacing w:line="360" w:lineRule="auto"/>
              <w:ind w:left="0" w:leftChars="0" w:firstLine="480" w:firstLineChars="20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“一表”</w:t>
            </w:r>
          </w:p>
          <w:p w14:paraId="16A85C6C">
            <w:pPr>
              <w:numPr>
                <w:ilvl w:val="0"/>
                <w:numId w:val="0"/>
              </w:numPr>
              <w:spacing w:line="360" w:lineRule="auto"/>
              <w:ind w:firstLine="480" w:firstLineChars="20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本项目在陕西省“三线一单”数据应用系统（V1.0）中环境管控单元管控要求见表1-</w:t>
            </w:r>
            <w:r>
              <w:rPr>
                <w:rFonts w:hint="eastAsia" w:cs="Times New Roman"/>
                <w:b w:val="0"/>
                <w:bCs w:val="0"/>
                <w:color w:val="auto"/>
                <w:sz w:val="24"/>
                <w:szCs w:val="24"/>
                <w:highlight w:val="none"/>
                <w:lang w:val="en-US" w:eastAsia="zh-CN"/>
              </w:rPr>
              <w:t>1</w:t>
            </w:r>
            <w:r>
              <w:rPr>
                <w:rFonts w:hint="eastAsia" w:ascii="Times New Roman" w:hAnsi="Times New Roman" w:cs="Times New Roman"/>
                <w:b w:val="0"/>
                <w:bCs w:val="0"/>
                <w:color w:val="auto"/>
                <w:sz w:val="24"/>
                <w:szCs w:val="24"/>
                <w:highlight w:val="none"/>
                <w:lang w:val="en-US" w:eastAsia="zh-CN"/>
              </w:rPr>
              <w:t>，项目与区域环境管控要求见表1-</w:t>
            </w:r>
            <w:r>
              <w:rPr>
                <w:rFonts w:hint="eastAsia" w:cs="Times New Roman"/>
                <w:b w:val="0"/>
                <w:bCs w:val="0"/>
                <w:color w:val="auto"/>
                <w:sz w:val="24"/>
                <w:szCs w:val="24"/>
                <w:highlight w:val="none"/>
                <w:lang w:val="en-US" w:eastAsia="zh-CN"/>
              </w:rPr>
              <w:t>2</w:t>
            </w:r>
            <w:r>
              <w:rPr>
                <w:rFonts w:hint="eastAsia" w:ascii="Times New Roman" w:hAnsi="Times New Roman" w:cs="Times New Roman"/>
                <w:b w:val="0"/>
                <w:bCs w:val="0"/>
                <w:color w:val="auto"/>
                <w:sz w:val="24"/>
                <w:szCs w:val="24"/>
                <w:highlight w:val="none"/>
                <w:lang w:val="en-US" w:eastAsia="zh-CN"/>
              </w:rPr>
              <w:t>，项目与陕西省“三线一单”生态环境管控单元对照分析报告详见附件</w:t>
            </w:r>
            <w:r>
              <w:rPr>
                <w:rFonts w:hint="eastAsia" w:cs="Times New Roman"/>
                <w:b w:val="0"/>
                <w:bCs w:val="0"/>
                <w:color w:val="auto"/>
                <w:sz w:val="24"/>
                <w:szCs w:val="24"/>
                <w:highlight w:val="none"/>
                <w:lang w:val="en-US" w:eastAsia="zh-CN"/>
              </w:rPr>
              <w:t>13</w:t>
            </w:r>
            <w:r>
              <w:rPr>
                <w:rFonts w:hint="eastAsia" w:ascii="Times New Roman" w:hAnsi="Times New Roman" w:cs="Times New Roman"/>
                <w:b w:val="0"/>
                <w:bCs w:val="0"/>
                <w:color w:val="auto"/>
                <w:sz w:val="24"/>
                <w:szCs w:val="24"/>
                <w:highlight w:val="none"/>
                <w:lang w:val="en-US" w:eastAsia="zh-CN"/>
              </w:rPr>
              <w:t>。</w:t>
            </w:r>
          </w:p>
          <w:p w14:paraId="6EE4078E">
            <w:pPr>
              <w:numPr>
                <w:ilvl w:val="0"/>
                <w:numId w:val="0"/>
              </w:numPr>
              <w:spacing w:line="240" w:lineRule="auto"/>
              <w:ind w:firstLine="422" w:firstLineChars="20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表1-</w:t>
            </w:r>
            <w:r>
              <w:rPr>
                <w:rFonts w:hint="eastAsia" w:cs="Times New Roman"/>
                <w:b/>
                <w:bCs/>
                <w:color w:val="auto"/>
                <w:sz w:val="21"/>
                <w:szCs w:val="21"/>
                <w:highlight w:val="none"/>
                <w:lang w:val="en-US" w:eastAsia="zh-CN"/>
              </w:rPr>
              <w:t>1</w:t>
            </w:r>
            <w:r>
              <w:rPr>
                <w:rFonts w:hint="eastAsia" w:ascii="Times New Roman" w:hAnsi="Times New Roman" w:cs="Times New Roman"/>
                <w:b/>
                <w:bCs/>
                <w:color w:val="auto"/>
                <w:sz w:val="21"/>
                <w:szCs w:val="21"/>
                <w:highlight w:val="none"/>
                <w:lang w:val="en-US" w:eastAsia="zh-CN"/>
              </w:rPr>
              <w:t xml:space="preserve">  项目环境管控单元管控要求</w:t>
            </w:r>
          </w:p>
          <w:tbl>
            <w:tblPr>
              <w:tblStyle w:val="20"/>
              <w:tblW w:w="712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7"/>
              <w:gridCol w:w="375"/>
              <w:gridCol w:w="375"/>
              <w:gridCol w:w="488"/>
              <w:gridCol w:w="425"/>
              <w:gridCol w:w="400"/>
              <w:gridCol w:w="2280"/>
              <w:gridCol w:w="1959"/>
              <w:gridCol w:w="464"/>
            </w:tblGrid>
            <w:tr w14:paraId="4ADD01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 w:type="dxa"/>
                  <w:tcBorders>
                    <w:tl2br w:val="nil"/>
                    <w:tr2bl w:val="nil"/>
                  </w:tcBorders>
                  <w:noWrap w:val="0"/>
                  <w:vAlign w:val="center"/>
                </w:tcPr>
                <w:p w14:paraId="39801226">
                  <w:pPr>
                    <w:pStyle w:val="24"/>
                    <w:jc w:val="center"/>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序号</w:t>
                  </w:r>
                </w:p>
              </w:tc>
              <w:tc>
                <w:tcPr>
                  <w:tcW w:w="375" w:type="dxa"/>
                  <w:tcBorders>
                    <w:tl2br w:val="nil"/>
                    <w:tr2bl w:val="nil"/>
                  </w:tcBorders>
                  <w:noWrap w:val="0"/>
                  <w:vAlign w:val="center"/>
                </w:tcPr>
                <w:p w14:paraId="2732A567">
                  <w:pPr>
                    <w:pStyle w:val="24"/>
                    <w:jc w:val="center"/>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环境管控单元名称</w:t>
                  </w:r>
                </w:p>
              </w:tc>
              <w:tc>
                <w:tcPr>
                  <w:tcW w:w="375" w:type="dxa"/>
                  <w:tcBorders>
                    <w:tl2br w:val="nil"/>
                    <w:tr2bl w:val="nil"/>
                  </w:tcBorders>
                  <w:noWrap w:val="0"/>
                  <w:vAlign w:val="center"/>
                </w:tcPr>
                <w:p w14:paraId="1E88C53A">
                  <w:pPr>
                    <w:pStyle w:val="24"/>
                    <w:jc w:val="center"/>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区县</w:t>
                  </w:r>
                </w:p>
              </w:tc>
              <w:tc>
                <w:tcPr>
                  <w:tcW w:w="488" w:type="dxa"/>
                  <w:tcBorders>
                    <w:tl2br w:val="nil"/>
                    <w:tr2bl w:val="nil"/>
                  </w:tcBorders>
                  <w:noWrap w:val="0"/>
                  <w:vAlign w:val="center"/>
                </w:tcPr>
                <w:p w14:paraId="5A8DDEEE">
                  <w:pPr>
                    <w:pStyle w:val="24"/>
                    <w:jc w:val="center"/>
                    <w:rPr>
                      <w:rFonts w:hint="default" w:ascii="Times New Roman" w:hAnsi="Times New Roman"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市（区）</w:t>
                  </w:r>
                </w:p>
              </w:tc>
              <w:tc>
                <w:tcPr>
                  <w:tcW w:w="425" w:type="dxa"/>
                  <w:tcBorders>
                    <w:tl2br w:val="nil"/>
                    <w:tr2bl w:val="nil"/>
                  </w:tcBorders>
                  <w:noWrap w:val="0"/>
                  <w:vAlign w:val="center"/>
                </w:tcPr>
                <w:p w14:paraId="273AA3F7">
                  <w:pPr>
                    <w:pStyle w:val="24"/>
                    <w:jc w:val="center"/>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单元要素属性</w:t>
                  </w:r>
                </w:p>
              </w:tc>
              <w:tc>
                <w:tcPr>
                  <w:tcW w:w="400" w:type="dxa"/>
                  <w:tcBorders>
                    <w:tl2br w:val="nil"/>
                    <w:tr2bl w:val="nil"/>
                  </w:tcBorders>
                  <w:noWrap w:val="0"/>
                  <w:vAlign w:val="center"/>
                </w:tcPr>
                <w:p w14:paraId="6F780711">
                  <w:pPr>
                    <w:pStyle w:val="24"/>
                    <w:jc w:val="center"/>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管控要求分类</w:t>
                  </w:r>
                </w:p>
              </w:tc>
              <w:tc>
                <w:tcPr>
                  <w:tcW w:w="2280" w:type="dxa"/>
                  <w:tcBorders>
                    <w:tl2br w:val="nil"/>
                    <w:tr2bl w:val="nil"/>
                  </w:tcBorders>
                  <w:noWrap w:val="0"/>
                  <w:vAlign w:val="center"/>
                </w:tcPr>
                <w:p w14:paraId="21FEBEDB">
                  <w:pPr>
                    <w:pStyle w:val="24"/>
                    <w:jc w:val="center"/>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管控要求</w:t>
                  </w:r>
                </w:p>
              </w:tc>
              <w:tc>
                <w:tcPr>
                  <w:tcW w:w="1959" w:type="dxa"/>
                  <w:tcBorders>
                    <w:tl2br w:val="nil"/>
                    <w:tr2bl w:val="nil"/>
                  </w:tcBorders>
                  <w:noWrap w:val="0"/>
                  <w:vAlign w:val="center"/>
                </w:tcPr>
                <w:p w14:paraId="189F4431">
                  <w:pPr>
                    <w:pStyle w:val="24"/>
                    <w:jc w:val="center"/>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项目情况</w:t>
                  </w:r>
                </w:p>
              </w:tc>
              <w:tc>
                <w:tcPr>
                  <w:tcW w:w="464" w:type="dxa"/>
                  <w:tcBorders>
                    <w:tl2br w:val="nil"/>
                    <w:tr2bl w:val="nil"/>
                  </w:tcBorders>
                  <w:noWrap w:val="0"/>
                  <w:vAlign w:val="center"/>
                </w:tcPr>
                <w:p w14:paraId="127D7AD0">
                  <w:pPr>
                    <w:pStyle w:val="24"/>
                    <w:jc w:val="center"/>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相符性</w:t>
                  </w:r>
                </w:p>
              </w:tc>
            </w:tr>
            <w:tr w14:paraId="04D6A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 w:type="dxa"/>
                  <w:vMerge w:val="restart"/>
                  <w:tcBorders>
                    <w:tl2br w:val="nil"/>
                    <w:tr2bl w:val="nil"/>
                  </w:tcBorders>
                  <w:noWrap w:val="0"/>
                  <w:vAlign w:val="center"/>
                </w:tcPr>
                <w:p w14:paraId="19A0552B">
                  <w:pPr>
                    <w:pStyle w:val="24"/>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375" w:type="dxa"/>
                  <w:vMerge w:val="restart"/>
                  <w:tcBorders>
                    <w:tl2br w:val="nil"/>
                    <w:tr2bl w:val="nil"/>
                  </w:tcBorders>
                  <w:noWrap w:val="0"/>
                  <w:vAlign w:val="center"/>
                </w:tcPr>
                <w:p w14:paraId="0CEA7D74">
                  <w:pPr>
                    <w:pStyle w:val="24"/>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陕西省宝鸡市凤翔区重点管控单元5</w:t>
                  </w:r>
                </w:p>
              </w:tc>
              <w:tc>
                <w:tcPr>
                  <w:tcW w:w="375" w:type="dxa"/>
                  <w:vMerge w:val="restart"/>
                  <w:tcBorders>
                    <w:tl2br w:val="nil"/>
                    <w:tr2bl w:val="nil"/>
                  </w:tcBorders>
                  <w:noWrap w:val="0"/>
                  <w:vAlign w:val="center"/>
                </w:tcPr>
                <w:p w14:paraId="50F4D476">
                  <w:pPr>
                    <w:pStyle w:val="24"/>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宝鸡市</w:t>
                  </w:r>
                </w:p>
              </w:tc>
              <w:tc>
                <w:tcPr>
                  <w:tcW w:w="488" w:type="dxa"/>
                  <w:vMerge w:val="restart"/>
                  <w:tcBorders>
                    <w:tl2br w:val="nil"/>
                    <w:tr2bl w:val="nil"/>
                  </w:tcBorders>
                  <w:noWrap w:val="0"/>
                  <w:vAlign w:val="center"/>
                </w:tcPr>
                <w:p w14:paraId="656AC46A">
                  <w:pPr>
                    <w:pStyle w:val="24"/>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凤翔区</w:t>
                  </w:r>
                </w:p>
              </w:tc>
              <w:tc>
                <w:tcPr>
                  <w:tcW w:w="425" w:type="dxa"/>
                  <w:vMerge w:val="restart"/>
                  <w:tcBorders>
                    <w:tl2br w:val="nil"/>
                    <w:tr2bl w:val="nil"/>
                  </w:tcBorders>
                  <w:noWrap w:val="0"/>
                  <w:vAlign w:val="center"/>
                </w:tcPr>
                <w:p w14:paraId="36B9AB70">
                  <w:pPr>
                    <w:pStyle w:val="24"/>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大气</w:t>
                  </w:r>
                </w:p>
                <w:p w14:paraId="3E8BA0E6">
                  <w:pPr>
                    <w:pStyle w:val="24"/>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w:t>
                  </w:r>
                </w:p>
                <w:p w14:paraId="139BE477">
                  <w:pPr>
                    <w:pStyle w:val="24"/>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布局</w:t>
                  </w:r>
                </w:p>
                <w:p w14:paraId="5D9D6BAA">
                  <w:pPr>
                    <w:pStyle w:val="24"/>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敏感</w:t>
                  </w:r>
                </w:p>
                <w:p w14:paraId="1FC21A09">
                  <w:pPr>
                    <w:pStyle w:val="24"/>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重点</w:t>
                  </w:r>
                </w:p>
                <w:p w14:paraId="1F5C4C8C">
                  <w:pPr>
                    <w:pStyle w:val="24"/>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管控</w:t>
                  </w:r>
                </w:p>
                <w:p w14:paraId="27D324DF">
                  <w:pPr>
                    <w:pStyle w:val="24"/>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区</w:t>
                  </w:r>
                </w:p>
              </w:tc>
              <w:tc>
                <w:tcPr>
                  <w:tcW w:w="400" w:type="dxa"/>
                  <w:tcBorders>
                    <w:tl2br w:val="nil"/>
                    <w:tr2bl w:val="nil"/>
                  </w:tcBorders>
                  <w:noWrap w:val="0"/>
                  <w:vAlign w:val="center"/>
                </w:tcPr>
                <w:p w14:paraId="3F14D80F">
                  <w:pPr>
                    <w:pStyle w:val="24"/>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空间布局约束</w:t>
                  </w:r>
                </w:p>
              </w:tc>
              <w:tc>
                <w:tcPr>
                  <w:tcW w:w="2280" w:type="dxa"/>
                  <w:tcBorders>
                    <w:tl2br w:val="nil"/>
                    <w:tr2bl w:val="nil"/>
                  </w:tcBorders>
                  <w:noWrap w:val="0"/>
                  <w:vAlign w:val="center"/>
                </w:tcPr>
                <w:p w14:paraId="36DD1E4E">
                  <w:pPr>
                    <w:pStyle w:val="24"/>
                    <w:numPr>
                      <w:ilvl w:val="0"/>
                      <w:numId w:val="0"/>
                    </w:numPr>
                    <w:ind w:leftChars="0"/>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大气环境布局敏感重点管控区：</w:t>
                  </w:r>
                </w:p>
                <w:p w14:paraId="21882829">
                  <w:pPr>
                    <w:pStyle w:val="24"/>
                    <w:numPr>
                      <w:ilvl w:val="0"/>
                      <w:numId w:val="0"/>
                    </w:numPr>
                    <w:jc w:val="both"/>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r>
                    <w:rPr>
                      <w:rFonts w:hint="default" w:ascii="Times New Roman" w:hAnsi="Times New Roman" w:cs="Times New Roman"/>
                      <w:color w:val="auto"/>
                      <w:sz w:val="21"/>
                      <w:szCs w:val="21"/>
                      <w:highlight w:val="none"/>
                      <w:vertAlign w:val="baseline"/>
                      <w:lang w:val="en-US" w:eastAsia="zh-CN"/>
                    </w:rPr>
                    <w:t>严格控制新增《陕西省</w:t>
                  </w:r>
                  <w:bookmarkStart w:id="4" w:name="OLE_LINK6"/>
                  <w:r>
                    <w:rPr>
                      <w:rFonts w:hint="eastAsia" w:ascii="宋体" w:hAnsi="宋体" w:eastAsia="宋体" w:cs="宋体"/>
                      <w:color w:val="auto"/>
                      <w:sz w:val="21"/>
                      <w:szCs w:val="21"/>
                      <w:highlight w:val="none"/>
                      <w:vertAlign w:val="baseline"/>
                      <w:lang w:val="en-US" w:eastAsia="zh-CN"/>
                    </w:rPr>
                    <w:t>“两高”</w:t>
                  </w:r>
                  <w:bookmarkEnd w:id="4"/>
                  <w:r>
                    <w:rPr>
                      <w:rFonts w:hint="default" w:ascii="Times New Roman" w:hAnsi="Times New Roman" w:cs="Times New Roman"/>
                      <w:color w:val="auto"/>
                      <w:sz w:val="21"/>
                      <w:szCs w:val="21"/>
                      <w:highlight w:val="none"/>
                      <w:vertAlign w:val="baseline"/>
                      <w:lang w:val="en-US" w:eastAsia="zh-CN"/>
                    </w:rPr>
                    <w:t>项目管理暂行目录》行业项目（民生等项目除外，后续对</w:t>
                  </w:r>
                  <w:bookmarkStart w:id="5" w:name="OLE_LINK7"/>
                  <w:r>
                    <w:rPr>
                      <w:rFonts w:hint="eastAsia" w:ascii="宋体" w:hAnsi="宋体" w:eastAsia="宋体" w:cs="宋体"/>
                      <w:color w:val="auto"/>
                      <w:sz w:val="21"/>
                      <w:szCs w:val="21"/>
                      <w:highlight w:val="none"/>
                      <w:vertAlign w:val="baseline"/>
                      <w:lang w:val="en-US" w:eastAsia="zh-CN"/>
                    </w:rPr>
                    <w:t>“两高”</w:t>
                  </w:r>
                  <w:bookmarkEnd w:id="5"/>
                  <w:r>
                    <w:rPr>
                      <w:rFonts w:hint="default" w:ascii="Times New Roman" w:hAnsi="Times New Roman" w:cs="Times New Roman"/>
                      <w:color w:val="auto"/>
                      <w:sz w:val="21"/>
                      <w:szCs w:val="21"/>
                      <w:highlight w:val="none"/>
                      <w:vertAlign w:val="baseline"/>
                      <w:lang w:val="en-US" w:eastAsia="zh-CN"/>
                    </w:rPr>
                    <w:t>范围国家如有新规定的，从其规定）。</w:t>
                  </w:r>
                </w:p>
                <w:p w14:paraId="39012116">
                  <w:pPr>
                    <w:pStyle w:val="24"/>
                    <w:numPr>
                      <w:ilvl w:val="0"/>
                      <w:numId w:val="0"/>
                    </w:numPr>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2.严禁新增钢铁、焦化、水泥熟料、平板玻璃、电解铝、氧化铝、煤化工</w:t>
                  </w:r>
                  <w:r>
                    <w:rPr>
                      <w:rFonts w:hint="eastAsia"/>
                      <w:lang w:val="en-US" w:eastAsia="zh-CN"/>
                    </w:rPr>
                    <w:t>等</w:t>
                  </w:r>
                  <w:r>
                    <w:rPr>
                      <w:rFonts w:hint="default" w:ascii="Times New Roman" w:hAnsi="Times New Roman" w:cs="Times New Roman"/>
                      <w:color w:val="auto"/>
                      <w:sz w:val="21"/>
                      <w:szCs w:val="21"/>
                      <w:highlight w:val="none"/>
                      <w:vertAlign w:val="baseline"/>
                      <w:lang w:val="en-US" w:eastAsia="zh-CN"/>
                    </w:rPr>
                    <w:t>产能。</w:t>
                  </w:r>
                </w:p>
                <w:p w14:paraId="6256B248">
                  <w:pPr>
                    <w:pStyle w:val="24"/>
                    <w:numPr>
                      <w:ilvl w:val="0"/>
                      <w:numId w:val="0"/>
                    </w:numPr>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3.推动重污染企业搬迁入园或依法关闭，实施工业企业退城搬迁改造。</w:t>
                  </w:r>
                </w:p>
              </w:tc>
              <w:tc>
                <w:tcPr>
                  <w:tcW w:w="1959" w:type="dxa"/>
                  <w:tcBorders>
                    <w:tl2br w:val="nil"/>
                    <w:tr2bl w:val="nil"/>
                  </w:tcBorders>
                  <w:noWrap w:val="0"/>
                  <w:vAlign w:val="center"/>
                </w:tcPr>
                <w:p w14:paraId="03AB44EC">
                  <w:pPr>
                    <w:pStyle w:val="24"/>
                    <w:jc w:val="both"/>
                    <w:rPr>
                      <w:rFonts w:hint="default" w:ascii="Times New Roman" w:hAnsi="Times New Roman" w:cs="Times New Roman" w:eastAsiaTheme="minorEastAsia"/>
                      <w:color w:val="auto"/>
                      <w:sz w:val="21"/>
                      <w:szCs w:val="21"/>
                      <w:highlight w:val="none"/>
                      <w:vertAlign w:val="baseline"/>
                      <w:lang w:val="en-US" w:eastAsia="zh-CN"/>
                    </w:rPr>
                  </w:pPr>
                  <w:r>
                    <w:rPr>
                      <w:rFonts w:hint="eastAsia" w:cs="Times New Roman" w:eastAsiaTheme="minorEastAsia"/>
                      <w:color w:val="auto"/>
                      <w:sz w:val="21"/>
                      <w:szCs w:val="21"/>
                      <w:highlight w:val="none"/>
                      <w:vertAlign w:val="baseline"/>
                      <w:lang w:val="en-US" w:eastAsia="zh-CN"/>
                    </w:rPr>
                    <w:t>本项目属于其他建筑材料制造，不属于严格控制新增的</w:t>
                  </w:r>
                  <w:r>
                    <w:rPr>
                      <w:rFonts w:hint="default" w:ascii="Times New Roman" w:hAnsi="Times New Roman" w:cs="Times New Roman"/>
                      <w:color w:val="auto"/>
                      <w:sz w:val="21"/>
                      <w:szCs w:val="21"/>
                      <w:highlight w:val="none"/>
                      <w:vertAlign w:val="baseline"/>
                      <w:lang w:val="en-US" w:eastAsia="zh-CN"/>
                    </w:rPr>
                    <w:t>《陕西省</w:t>
                  </w:r>
                  <w:r>
                    <w:rPr>
                      <w:rFonts w:hint="eastAsia" w:ascii="宋体" w:hAnsi="宋体" w:eastAsia="宋体" w:cs="宋体"/>
                      <w:color w:val="auto"/>
                      <w:sz w:val="21"/>
                      <w:szCs w:val="21"/>
                      <w:highlight w:val="none"/>
                      <w:vertAlign w:val="baseline"/>
                      <w:lang w:val="en-US" w:eastAsia="zh-CN"/>
                    </w:rPr>
                    <w:t>“两高”</w:t>
                  </w:r>
                  <w:r>
                    <w:rPr>
                      <w:rFonts w:hint="default" w:ascii="Times New Roman" w:hAnsi="Times New Roman" w:cs="Times New Roman"/>
                      <w:color w:val="auto"/>
                      <w:sz w:val="21"/>
                      <w:szCs w:val="21"/>
                      <w:highlight w:val="none"/>
                      <w:vertAlign w:val="baseline"/>
                      <w:lang w:val="en-US" w:eastAsia="zh-CN"/>
                    </w:rPr>
                    <w:t>项目管理暂行目录》</w:t>
                  </w:r>
                  <w:r>
                    <w:rPr>
                      <w:rFonts w:hint="eastAsia" w:ascii="Times New Roman" w:hAnsi="Times New Roman" w:cs="Times New Roman"/>
                      <w:color w:val="auto"/>
                      <w:sz w:val="21"/>
                      <w:szCs w:val="21"/>
                      <w:highlight w:val="none"/>
                      <w:vertAlign w:val="baseline"/>
                      <w:lang w:val="en-US" w:eastAsia="zh-CN"/>
                    </w:rPr>
                    <w:t>中的</w:t>
                  </w:r>
                  <w:r>
                    <w:rPr>
                      <w:rFonts w:hint="default" w:ascii="Times New Roman" w:hAnsi="Times New Roman" w:cs="Times New Roman"/>
                      <w:color w:val="auto"/>
                      <w:sz w:val="21"/>
                      <w:szCs w:val="21"/>
                      <w:highlight w:val="none"/>
                      <w:vertAlign w:val="baseline"/>
                      <w:lang w:val="en-US" w:eastAsia="zh-CN"/>
                    </w:rPr>
                    <w:t>行业项目</w:t>
                  </w:r>
                  <w:r>
                    <w:rPr>
                      <w:rFonts w:hint="eastAsia" w:ascii="Times New Roman" w:hAnsi="Times New Roman" w:cs="Times New Roman"/>
                      <w:color w:val="auto"/>
                      <w:sz w:val="21"/>
                      <w:szCs w:val="21"/>
                      <w:highlight w:val="none"/>
                      <w:vertAlign w:val="baseline"/>
                      <w:lang w:val="en-US" w:eastAsia="zh-CN"/>
                    </w:rPr>
                    <w:t>，不属于严禁新增</w:t>
                  </w:r>
                  <w:r>
                    <w:rPr>
                      <w:rFonts w:hint="default" w:ascii="Times New Roman" w:hAnsi="Times New Roman" w:cs="Times New Roman"/>
                      <w:color w:val="auto"/>
                      <w:sz w:val="21"/>
                      <w:szCs w:val="21"/>
                      <w:highlight w:val="none"/>
                      <w:vertAlign w:val="baseline"/>
                      <w:lang w:val="en-US" w:eastAsia="zh-CN"/>
                    </w:rPr>
                    <w:t>钢铁、焦化、水泥熟料、平板玻璃、电解铝、氧化铝、煤化工</w:t>
                  </w:r>
                  <w:r>
                    <w:rPr>
                      <w:rFonts w:hint="eastAsia" w:ascii="Times New Roman" w:hAnsi="Times New Roman" w:cs="Times New Roman"/>
                      <w:color w:val="auto"/>
                      <w:sz w:val="21"/>
                      <w:szCs w:val="21"/>
                      <w:highlight w:val="none"/>
                      <w:vertAlign w:val="baseline"/>
                      <w:lang w:val="en-US" w:eastAsia="zh-CN"/>
                    </w:rPr>
                    <w:t>的</w:t>
                  </w:r>
                  <w:r>
                    <w:rPr>
                      <w:rFonts w:hint="default" w:ascii="Times New Roman" w:hAnsi="Times New Roman" w:cs="Times New Roman"/>
                      <w:color w:val="auto"/>
                      <w:sz w:val="21"/>
                      <w:szCs w:val="21"/>
                      <w:highlight w:val="none"/>
                      <w:vertAlign w:val="baseline"/>
                      <w:lang w:val="en-US" w:eastAsia="zh-CN"/>
                    </w:rPr>
                    <w:t>产能</w:t>
                  </w:r>
                  <w:r>
                    <w:rPr>
                      <w:rFonts w:hint="eastAsia" w:ascii="Times New Roman" w:hAnsi="Times New Roman" w:cs="Times New Roman"/>
                      <w:color w:val="auto"/>
                      <w:sz w:val="21"/>
                      <w:szCs w:val="21"/>
                      <w:highlight w:val="none"/>
                      <w:vertAlign w:val="baseline"/>
                      <w:lang w:val="en-US" w:eastAsia="zh-CN"/>
                    </w:rPr>
                    <w:t>。本项目位于宝鸡市凤翔区田家庄镇河北村村北，不在主城区范围内。</w:t>
                  </w:r>
                </w:p>
              </w:tc>
              <w:tc>
                <w:tcPr>
                  <w:tcW w:w="464" w:type="dxa"/>
                  <w:tcBorders>
                    <w:tl2br w:val="nil"/>
                    <w:tr2bl w:val="nil"/>
                  </w:tcBorders>
                  <w:noWrap w:val="0"/>
                  <w:vAlign w:val="center"/>
                </w:tcPr>
                <w:p w14:paraId="1FEA5052">
                  <w:pPr>
                    <w:pStyle w:val="24"/>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14:paraId="026AE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 w:type="dxa"/>
                  <w:vMerge w:val="continue"/>
                  <w:tcBorders>
                    <w:tl2br w:val="nil"/>
                    <w:tr2bl w:val="nil"/>
                  </w:tcBorders>
                  <w:noWrap w:val="0"/>
                  <w:vAlign w:val="center"/>
                </w:tcPr>
                <w:p w14:paraId="51C5A11E">
                  <w:pPr>
                    <w:pStyle w:val="24"/>
                    <w:jc w:val="center"/>
                    <w:rPr>
                      <w:rFonts w:hint="default" w:ascii="Times New Roman" w:hAnsi="Times New Roman" w:cs="Times New Roman"/>
                      <w:color w:val="auto"/>
                      <w:sz w:val="21"/>
                      <w:szCs w:val="21"/>
                      <w:highlight w:val="none"/>
                      <w:vertAlign w:val="baseline"/>
                      <w:lang w:val="en-US" w:eastAsia="zh-CN"/>
                    </w:rPr>
                  </w:pPr>
                </w:p>
              </w:tc>
              <w:tc>
                <w:tcPr>
                  <w:tcW w:w="375" w:type="dxa"/>
                  <w:vMerge w:val="continue"/>
                  <w:tcBorders>
                    <w:tl2br w:val="nil"/>
                    <w:tr2bl w:val="nil"/>
                  </w:tcBorders>
                  <w:noWrap w:val="0"/>
                  <w:vAlign w:val="center"/>
                </w:tcPr>
                <w:p w14:paraId="71471706">
                  <w:pPr>
                    <w:pStyle w:val="24"/>
                    <w:jc w:val="center"/>
                    <w:rPr>
                      <w:rFonts w:hint="default" w:ascii="Times New Roman" w:hAnsi="Times New Roman" w:cs="Times New Roman"/>
                      <w:color w:val="auto"/>
                      <w:sz w:val="21"/>
                      <w:szCs w:val="21"/>
                      <w:highlight w:val="none"/>
                      <w:vertAlign w:val="baseline"/>
                      <w:lang w:val="en-US" w:eastAsia="zh-CN"/>
                    </w:rPr>
                  </w:pPr>
                </w:p>
              </w:tc>
              <w:tc>
                <w:tcPr>
                  <w:tcW w:w="375" w:type="dxa"/>
                  <w:vMerge w:val="continue"/>
                  <w:tcBorders>
                    <w:tl2br w:val="nil"/>
                    <w:tr2bl w:val="nil"/>
                  </w:tcBorders>
                  <w:noWrap w:val="0"/>
                  <w:vAlign w:val="center"/>
                </w:tcPr>
                <w:p w14:paraId="36DC8F4F">
                  <w:pPr>
                    <w:pStyle w:val="24"/>
                    <w:jc w:val="center"/>
                    <w:rPr>
                      <w:rFonts w:hint="default" w:ascii="Times New Roman" w:hAnsi="Times New Roman" w:cs="Times New Roman"/>
                      <w:color w:val="auto"/>
                      <w:sz w:val="21"/>
                      <w:szCs w:val="21"/>
                      <w:highlight w:val="none"/>
                      <w:vertAlign w:val="baseline"/>
                      <w:lang w:val="en-US" w:eastAsia="zh-CN"/>
                    </w:rPr>
                  </w:pPr>
                </w:p>
              </w:tc>
              <w:tc>
                <w:tcPr>
                  <w:tcW w:w="488" w:type="dxa"/>
                  <w:vMerge w:val="continue"/>
                  <w:tcBorders>
                    <w:tl2br w:val="nil"/>
                    <w:tr2bl w:val="nil"/>
                  </w:tcBorders>
                  <w:noWrap w:val="0"/>
                  <w:vAlign w:val="center"/>
                </w:tcPr>
                <w:p w14:paraId="2C3CF461">
                  <w:pPr>
                    <w:pStyle w:val="24"/>
                    <w:jc w:val="center"/>
                    <w:rPr>
                      <w:rFonts w:hint="default" w:ascii="Times New Roman" w:hAnsi="Times New Roman" w:cs="Times New Roman"/>
                      <w:color w:val="auto"/>
                      <w:sz w:val="21"/>
                      <w:szCs w:val="21"/>
                      <w:highlight w:val="none"/>
                      <w:vertAlign w:val="baseline"/>
                      <w:lang w:val="en-US" w:eastAsia="zh-CN"/>
                    </w:rPr>
                  </w:pPr>
                </w:p>
              </w:tc>
              <w:tc>
                <w:tcPr>
                  <w:tcW w:w="425" w:type="dxa"/>
                  <w:vMerge w:val="continue"/>
                  <w:tcBorders>
                    <w:tl2br w:val="nil"/>
                    <w:tr2bl w:val="nil"/>
                  </w:tcBorders>
                  <w:noWrap w:val="0"/>
                  <w:vAlign w:val="center"/>
                </w:tcPr>
                <w:p w14:paraId="5A067997">
                  <w:pPr>
                    <w:pStyle w:val="24"/>
                    <w:jc w:val="center"/>
                    <w:rPr>
                      <w:rFonts w:hint="default" w:ascii="Times New Roman" w:hAnsi="Times New Roman" w:cs="Times New Roman"/>
                      <w:color w:val="auto"/>
                      <w:sz w:val="21"/>
                      <w:szCs w:val="21"/>
                      <w:highlight w:val="none"/>
                      <w:vertAlign w:val="baseline"/>
                      <w:lang w:val="en-US" w:eastAsia="zh-CN"/>
                    </w:rPr>
                  </w:pPr>
                </w:p>
              </w:tc>
              <w:tc>
                <w:tcPr>
                  <w:tcW w:w="400" w:type="dxa"/>
                  <w:tcBorders>
                    <w:tl2br w:val="nil"/>
                    <w:tr2bl w:val="nil"/>
                  </w:tcBorders>
                  <w:noWrap w:val="0"/>
                  <w:vAlign w:val="center"/>
                </w:tcPr>
                <w:p w14:paraId="06E11117">
                  <w:pPr>
                    <w:pStyle w:val="24"/>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污染物排放管控</w:t>
                  </w:r>
                </w:p>
              </w:tc>
              <w:tc>
                <w:tcPr>
                  <w:tcW w:w="2280" w:type="dxa"/>
                  <w:tcBorders>
                    <w:tl2br w:val="nil"/>
                    <w:tr2bl w:val="nil"/>
                  </w:tcBorders>
                  <w:noWrap w:val="0"/>
                  <w:vAlign w:val="center"/>
                </w:tcPr>
                <w:p w14:paraId="0556BB92">
                  <w:pPr>
                    <w:pStyle w:val="24"/>
                    <w:numPr>
                      <w:ilvl w:val="0"/>
                      <w:numId w:val="0"/>
                    </w:numPr>
                    <w:ind w:leftChars="0"/>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大气环境布局敏感重点管控区：</w:t>
                  </w:r>
                </w:p>
                <w:p w14:paraId="7CED42C6">
                  <w:pPr>
                    <w:pStyle w:val="24"/>
                    <w:numPr>
                      <w:ilvl w:val="0"/>
                      <w:numId w:val="0"/>
                    </w:numPr>
                    <w:jc w:val="both"/>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r>
                    <w:rPr>
                      <w:rFonts w:hint="default" w:ascii="Times New Roman" w:hAnsi="Times New Roman" w:cs="Times New Roman"/>
                      <w:color w:val="auto"/>
                      <w:sz w:val="21"/>
                      <w:szCs w:val="21"/>
                      <w:highlight w:val="none"/>
                      <w:vertAlign w:val="baseline"/>
                      <w:lang w:val="en-US" w:eastAsia="zh-CN"/>
                    </w:rPr>
                    <w:t>鼓励将老旧车辆和非道路移动机械替换为清洁能源车辆。推进新能源或清洁能源汽车使用。</w:t>
                  </w:r>
                </w:p>
                <w:p w14:paraId="7DBBAE0B">
                  <w:pPr>
                    <w:pStyle w:val="24"/>
                    <w:numPr>
                      <w:ilvl w:val="0"/>
                      <w:numId w:val="0"/>
                    </w:numPr>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2.巩固城市建成区、县（区）平原区域散煤动态清理成效。</w:t>
                  </w:r>
                </w:p>
              </w:tc>
              <w:tc>
                <w:tcPr>
                  <w:tcW w:w="1959" w:type="dxa"/>
                  <w:tcBorders>
                    <w:tl2br w:val="nil"/>
                    <w:tr2bl w:val="nil"/>
                  </w:tcBorders>
                  <w:noWrap w:val="0"/>
                  <w:vAlign w:val="center"/>
                </w:tcPr>
                <w:p w14:paraId="63C3D882">
                  <w:pPr>
                    <w:keepNext w:val="0"/>
                    <w:keepLines w:val="0"/>
                    <w:widowControl/>
                    <w:suppressLineNumbers w:val="0"/>
                    <w:spacing w:line="240" w:lineRule="auto"/>
                    <w:jc w:val="both"/>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本项目物料（除水泥罐式货车外）公路运输全部使用达到国五及以上排放标准</w:t>
                  </w:r>
                  <w:r>
                    <w:rPr>
                      <w:rFonts w:hint="eastAsia" w:cs="Times New Roman"/>
                      <w:i w:val="0"/>
                      <w:iCs w:val="0"/>
                      <w:color w:val="auto"/>
                      <w:kern w:val="0"/>
                      <w:sz w:val="21"/>
                      <w:szCs w:val="21"/>
                      <w:highlight w:val="none"/>
                      <w:u w:val="none"/>
                      <w:lang w:val="en-US" w:eastAsia="zh-CN"/>
                    </w:rPr>
                    <w:t>的</w:t>
                  </w:r>
                  <w:r>
                    <w:rPr>
                      <w:rFonts w:hint="default" w:ascii="Times New Roman" w:hAnsi="Times New Roman" w:eastAsia="宋体" w:cs="Times New Roman"/>
                      <w:i w:val="0"/>
                      <w:iCs w:val="0"/>
                      <w:color w:val="auto"/>
                      <w:kern w:val="0"/>
                      <w:sz w:val="21"/>
                      <w:szCs w:val="21"/>
                      <w:highlight w:val="none"/>
                      <w:u w:val="none"/>
                      <w:lang w:val="en-US" w:eastAsia="zh-CN"/>
                    </w:rPr>
                    <w:t>重型载货车辆（含燃气）或新能源车辆；厂内运输车辆全部达到国五及以上排放标准（含燃气）或使用新能源车辆；厂内非道路移动机械全部达到国三及以上排放标准或使用新能源机械</w:t>
                  </w:r>
                  <w:r>
                    <w:rPr>
                      <w:rFonts w:hint="eastAsia" w:ascii="Times New Roman" w:hAnsi="Times New Roman" w:eastAsia="宋体" w:cs="Times New Roman"/>
                      <w:i w:val="0"/>
                      <w:iCs w:val="0"/>
                      <w:color w:val="auto"/>
                      <w:kern w:val="0"/>
                      <w:sz w:val="21"/>
                      <w:szCs w:val="21"/>
                      <w:highlight w:val="none"/>
                      <w:u w:val="none"/>
                      <w:lang w:val="en-US" w:eastAsia="zh-CN"/>
                    </w:rPr>
                    <w:t>。</w:t>
                  </w:r>
                </w:p>
              </w:tc>
              <w:tc>
                <w:tcPr>
                  <w:tcW w:w="464" w:type="dxa"/>
                  <w:tcBorders>
                    <w:tl2br w:val="nil"/>
                    <w:tr2bl w:val="nil"/>
                  </w:tcBorders>
                  <w:noWrap w:val="0"/>
                  <w:vAlign w:val="center"/>
                </w:tcPr>
                <w:p w14:paraId="5BBC4F52">
                  <w:pPr>
                    <w:pStyle w:val="24"/>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bl>
          <w:p w14:paraId="717D0E64">
            <w:pPr>
              <w:numPr>
                <w:ilvl w:val="0"/>
                <w:numId w:val="0"/>
              </w:numPr>
              <w:spacing w:line="240" w:lineRule="auto"/>
              <w:ind w:firstLine="422" w:firstLineChars="20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表1-</w:t>
            </w:r>
            <w:r>
              <w:rPr>
                <w:rFonts w:hint="eastAsia" w:cs="Times New Roman"/>
                <w:b/>
                <w:bCs/>
                <w:color w:val="auto"/>
                <w:sz w:val="21"/>
                <w:szCs w:val="21"/>
                <w:highlight w:val="none"/>
                <w:lang w:val="en-US" w:eastAsia="zh-CN"/>
              </w:rPr>
              <w:t>2</w:t>
            </w:r>
            <w:r>
              <w:rPr>
                <w:rFonts w:hint="eastAsia" w:ascii="Times New Roman" w:hAnsi="Times New Roman" w:cs="Times New Roman"/>
                <w:b/>
                <w:bCs/>
                <w:color w:val="auto"/>
                <w:sz w:val="21"/>
                <w:szCs w:val="21"/>
                <w:highlight w:val="none"/>
                <w:lang w:val="en-US" w:eastAsia="zh-CN"/>
              </w:rPr>
              <w:t xml:space="preserve">  项目区域环境管控要求</w:t>
            </w:r>
          </w:p>
          <w:tbl>
            <w:tblPr>
              <w:tblStyle w:val="20"/>
              <w:tblW w:w="694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7"/>
              <w:gridCol w:w="375"/>
              <w:gridCol w:w="375"/>
              <w:gridCol w:w="488"/>
              <w:gridCol w:w="425"/>
              <w:gridCol w:w="2412"/>
              <w:gridCol w:w="2105"/>
              <w:gridCol w:w="408"/>
            </w:tblGrid>
            <w:tr w14:paraId="15BFA2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24" w:hRule="atLeast"/>
                <w:jc w:val="center"/>
              </w:trPr>
              <w:tc>
                <w:tcPr>
                  <w:tcW w:w="357" w:type="dxa"/>
                  <w:tcBorders>
                    <w:tl2br w:val="nil"/>
                    <w:tr2bl w:val="nil"/>
                  </w:tcBorders>
                  <w:noWrap w:val="0"/>
                  <w:vAlign w:val="center"/>
                </w:tcPr>
                <w:p w14:paraId="78CFC8CE">
                  <w:pPr>
                    <w:pStyle w:val="24"/>
                    <w:jc w:val="center"/>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序号</w:t>
                  </w:r>
                </w:p>
              </w:tc>
              <w:tc>
                <w:tcPr>
                  <w:tcW w:w="375" w:type="dxa"/>
                  <w:tcBorders>
                    <w:tl2br w:val="nil"/>
                    <w:tr2bl w:val="nil"/>
                  </w:tcBorders>
                  <w:noWrap w:val="0"/>
                  <w:vAlign w:val="center"/>
                </w:tcPr>
                <w:p w14:paraId="0F11664E">
                  <w:pPr>
                    <w:pStyle w:val="24"/>
                    <w:jc w:val="center"/>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涉及的环境管控单元</w:t>
                  </w:r>
                </w:p>
              </w:tc>
              <w:tc>
                <w:tcPr>
                  <w:tcW w:w="375" w:type="dxa"/>
                  <w:tcBorders>
                    <w:tl2br w:val="nil"/>
                    <w:tr2bl w:val="nil"/>
                  </w:tcBorders>
                  <w:noWrap w:val="0"/>
                  <w:vAlign w:val="center"/>
                </w:tcPr>
                <w:p w14:paraId="1AF2B13B">
                  <w:pPr>
                    <w:pStyle w:val="24"/>
                    <w:jc w:val="center"/>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区域名称</w:t>
                  </w:r>
                </w:p>
              </w:tc>
              <w:tc>
                <w:tcPr>
                  <w:tcW w:w="488" w:type="dxa"/>
                  <w:tcBorders>
                    <w:tl2br w:val="nil"/>
                    <w:tr2bl w:val="nil"/>
                  </w:tcBorders>
                  <w:noWrap w:val="0"/>
                  <w:vAlign w:val="center"/>
                </w:tcPr>
                <w:p w14:paraId="7A8F3343">
                  <w:pPr>
                    <w:pStyle w:val="24"/>
                    <w:jc w:val="center"/>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省份</w:t>
                  </w:r>
                </w:p>
              </w:tc>
              <w:tc>
                <w:tcPr>
                  <w:tcW w:w="425" w:type="dxa"/>
                  <w:tcBorders>
                    <w:tl2br w:val="nil"/>
                    <w:tr2bl w:val="nil"/>
                  </w:tcBorders>
                  <w:noWrap w:val="0"/>
                  <w:vAlign w:val="center"/>
                </w:tcPr>
                <w:p w14:paraId="5DE3E69E">
                  <w:pPr>
                    <w:pStyle w:val="24"/>
                    <w:jc w:val="center"/>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管控类别</w:t>
                  </w:r>
                </w:p>
              </w:tc>
              <w:tc>
                <w:tcPr>
                  <w:tcW w:w="2412" w:type="dxa"/>
                  <w:tcBorders>
                    <w:tl2br w:val="nil"/>
                    <w:tr2bl w:val="nil"/>
                  </w:tcBorders>
                  <w:noWrap w:val="0"/>
                  <w:vAlign w:val="center"/>
                </w:tcPr>
                <w:p w14:paraId="5A3B6138">
                  <w:pPr>
                    <w:pStyle w:val="24"/>
                    <w:jc w:val="center"/>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管控要求</w:t>
                  </w:r>
                </w:p>
              </w:tc>
              <w:tc>
                <w:tcPr>
                  <w:tcW w:w="2105" w:type="dxa"/>
                  <w:tcBorders>
                    <w:tl2br w:val="nil"/>
                    <w:tr2bl w:val="nil"/>
                  </w:tcBorders>
                  <w:noWrap w:val="0"/>
                  <w:vAlign w:val="center"/>
                </w:tcPr>
                <w:p w14:paraId="141EB4D4">
                  <w:pPr>
                    <w:pStyle w:val="24"/>
                    <w:jc w:val="center"/>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项目情况</w:t>
                  </w:r>
                </w:p>
              </w:tc>
              <w:tc>
                <w:tcPr>
                  <w:tcW w:w="408" w:type="dxa"/>
                  <w:tcBorders>
                    <w:tl2br w:val="nil"/>
                    <w:tr2bl w:val="nil"/>
                  </w:tcBorders>
                  <w:noWrap w:val="0"/>
                  <w:vAlign w:val="center"/>
                </w:tcPr>
                <w:p w14:paraId="605F1BC0">
                  <w:pPr>
                    <w:pStyle w:val="24"/>
                    <w:jc w:val="center"/>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相符性</w:t>
                  </w:r>
                </w:p>
              </w:tc>
            </w:tr>
            <w:tr w14:paraId="1C0FE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7" w:type="dxa"/>
                  <w:vMerge w:val="restart"/>
                  <w:tcBorders>
                    <w:tl2br w:val="nil"/>
                    <w:tr2bl w:val="nil"/>
                  </w:tcBorders>
                  <w:noWrap w:val="0"/>
                  <w:vAlign w:val="center"/>
                </w:tcPr>
                <w:p w14:paraId="28C7EA83">
                  <w:pPr>
                    <w:pStyle w:val="24"/>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375" w:type="dxa"/>
                  <w:vMerge w:val="restart"/>
                  <w:tcBorders>
                    <w:tl2br w:val="nil"/>
                    <w:tr2bl w:val="nil"/>
                  </w:tcBorders>
                  <w:noWrap w:val="0"/>
                  <w:vAlign w:val="center"/>
                </w:tcPr>
                <w:p w14:paraId="44E98421">
                  <w:pPr>
                    <w:pStyle w:val="24"/>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375" w:type="dxa"/>
                  <w:vMerge w:val="restart"/>
                  <w:tcBorders>
                    <w:tl2br w:val="nil"/>
                    <w:tr2bl w:val="nil"/>
                  </w:tcBorders>
                  <w:noWrap w:val="0"/>
                  <w:vAlign w:val="center"/>
                </w:tcPr>
                <w:p w14:paraId="54C030F9">
                  <w:pPr>
                    <w:pStyle w:val="24"/>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省域</w:t>
                  </w:r>
                </w:p>
              </w:tc>
              <w:tc>
                <w:tcPr>
                  <w:tcW w:w="488" w:type="dxa"/>
                  <w:vMerge w:val="restart"/>
                  <w:tcBorders>
                    <w:tl2br w:val="nil"/>
                    <w:tr2bl w:val="nil"/>
                  </w:tcBorders>
                  <w:noWrap w:val="0"/>
                  <w:vAlign w:val="center"/>
                </w:tcPr>
                <w:p w14:paraId="13E95502">
                  <w:pPr>
                    <w:pStyle w:val="24"/>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陕西省</w:t>
                  </w:r>
                </w:p>
              </w:tc>
              <w:tc>
                <w:tcPr>
                  <w:tcW w:w="425" w:type="dxa"/>
                  <w:tcBorders>
                    <w:tl2br w:val="nil"/>
                    <w:tr2bl w:val="nil"/>
                  </w:tcBorders>
                  <w:noWrap w:val="0"/>
                  <w:vAlign w:val="center"/>
                </w:tcPr>
                <w:p w14:paraId="22B6608B">
                  <w:pPr>
                    <w:pStyle w:val="24"/>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空间布局约束</w:t>
                  </w:r>
                </w:p>
              </w:tc>
              <w:tc>
                <w:tcPr>
                  <w:tcW w:w="2412" w:type="dxa"/>
                  <w:tcBorders>
                    <w:tl2br w:val="nil"/>
                    <w:tr2bl w:val="nil"/>
                  </w:tcBorders>
                  <w:noWrap w:val="0"/>
                  <w:vAlign w:val="center"/>
                </w:tcPr>
                <w:p w14:paraId="19C7CEF1">
                  <w:pPr>
                    <w:pStyle w:val="24"/>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r>
                    <w:rPr>
                      <w:rFonts w:hint="eastAsia"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执行国家及地方法律法规、规章对国家公园、自然保护区、风景名胜区、世界自然和文化遗产、饮用水水源保护区、生态保护红线、自然公园（森林公园、湿地公园、地质公园、沙漠公园等）、水产种质资源保护区、重要湿地、国家级公益林等保护区域的禁止性和限制性要求。</w:t>
                  </w:r>
                </w:p>
                <w:p w14:paraId="2B0FE67B">
                  <w:pPr>
                    <w:pStyle w:val="24"/>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r>
                    <w:rPr>
                      <w:rFonts w:hint="eastAsia"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执行《市场准入负面清单（2022年版）》《产业结构调整指导目录（2019年本）》及《国家发展改革委关于修改&lt;产业结构调整指导目录（2019年本）&gt;的决定》。</w:t>
                  </w:r>
                </w:p>
                <w:p w14:paraId="1010480A">
                  <w:pPr>
                    <w:pStyle w:val="24"/>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r>
                    <w:rPr>
                      <w:rFonts w:hint="eastAsia"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执行《矿产资源节约与综合利用鼓励、限制和淘汰技术目录》。</w:t>
                  </w:r>
                </w:p>
                <w:p w14:paraId="6501246F">
                  <w:pPr>
                    <w:pStyle w:val="24"/>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w:t>
                  </w:r>
                  <w:r>
                    <w:rPr>
                      <w:rFonts w:hint="eastAsia"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严把</w:t>
                  </w:r>
                  <w:bookmarkStart w:id="6" w:name="OLE_LINK21"/>
                  <w:r>
                    <w:rPr>
                      <w:rFonts w:hint="eastAsia" w:ascii="宋体" w:hAnsi="宋体" w:eastAsia="宋体" w:cs="宋体"/>
                      <w:color w:val="auto"/>
                      <w:sz w:val="21"/>
                      <w:szCs w:val="21"/>
                      <w:highlight w:val="none"/>
                      <w:vertAlign w:val="baseline"/>
                      <w:lang w:val="en-US" w:eastAsia="zh-CN"/>
                    </w:rPr>
                    <w:t>“两高”</w:t>
                  </w:r>
                  <w:bookmarkEnd w:id="6"/>
                  <w:r>
                    <w:rPr>
                      <w:rFonts w:hint="default" w:ascii="Times New Roman" w:hAnsi="Times New Roman" w:cs="Times New Roman"/>
                      <w:color w:val="auto"/>
                      <w:sz w:val="21"/>
                      <w:szCs w:val="21"/>
                      <w:highlight w:val="none"/>
                      <w:vertAlign w:val="baseline"/>
                      <w:lang w:val="en-US" w:eastAsia="zh-CN"/>
                    </w:rPr>
                    <w:t>项目环境准入关。坚决遏制高耗能、高排放项目盲目发展。</w:t>
                  </w:r>
                </w:p>
                <w:p w14:paraId="0AF4457F">
                  <w:pPr>
                    <w:pStyle w:val="24"/>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w:t>
                  </w:r>
                  <w:r>
                    <w:rPr>
                      <w:rFonts w:hint="eastAsia"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重点淘汰未完成超低排放改造的火电、钢铁、建材</w:t>
                  </w:r>
                  <w:r>
                    <w:rPr>
                      <w:rFonts w:hint="eastAsia" w:cs="Times New Roman"/>
                      <w:color w:val="auto"/>
                      <w:sz w:val="21"/>
                      <w:szCs w:val="21"/>
                      <w:highlight w:val="none"/>
                      <w:vertAlign w:val="baseline"/>
                      <w:lang w:val="en-US" w:eastAsia="zh-CN"/>
                    </w:rPr>
                    <w:t>等</w:t>
                  </w:r>
                  <w:r>
                    <w:rPr>
                      <w:rFonts w:hint="default" w:ascii="Times New Roman" w:hAnsi="Times New Roman" w:cs="Times New Roman"/>
                      <w:color w:val="auto"/>
                      <w:sz w:val="21"/>
                      <w:szCs w:val="21"/>
                      <w:highlight w:val="none"/>
                      <w:vertAlign w:val="baseline"/>
                      <w:lang w:val="en-US" w:eastAsia="zh-CN"/>
                    </w:rPr>
                    <w:t>行业产能。推动重污染企业搬迁入园或依法关闭。实施工业企业退城搬迁改造，除部分必须依托城市生产或直接服务于城市的工业企业外，原则上在2027年底前达不到能效标杆和环保绩效</w:t>
                  </w:r>
                  <w:r>
                    <w:rPr>
                      <w:rFonts w:hint="eastAsia" w:cs="Times New Roman"/>
                      <w:color w:val="auto"/>
                      <w:sz w:val="21"/>
                      <w:szCs w:val="21"/>
                      <w:highlight w:val="none"/>
                      <w:vertAlign w:val="baseline"/>
                      <w:lang w:val="en-US" w:eastAsia="zh-CN"/>
                    </w:rPr>
                    <w:t>等</w:t>
                  </w:r>
                  <w:r>
                    <w:rPr>
                      <w:rFonts w:hint="default" w:ascii="Times New Roman" w:hAnsi="Times New Roman" w:cs="Times New Roman"/>
                      <w:color w:val="auto"/>
                      <w:sz w:val="21"/>
                      <w:szCs w:val="21"/>
                      <w:highlight w:val="none"/>
                      <w:vertAlign w:val="baseline"/>
                      <w:lang w:val="en-US" w:eastAsia="zh-CN"/>
                    </w:rPr>
                    <w:t>级（含绩效引领）企业由当地政府组织搬迁至主城区以外的开发区和工业园区。</w:t>
                  </w:r>
                </w:p>
                <w:p w14:paraId="3FCF6F48">
                  <w:pPr>
                    <w:pStyle w:val="24"/>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w:t>
                  </w:r>
                  <w:r>
                    <w:rPr>
                      <w:rFonts w:hint="eastAsia"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不再新建燃煤集中供热站。各市（区）建成区禁止新建燃煤锅炉。</w:t>
                  </w:r>
                </w:p>
                <w:p w14:paraId="6633280A">
                  <w:pPr>
                    <w:pStyle w:val="24"/>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w:t>
                  </w:r>
                  <w:r>
                    <w:rPr>
                      <w:rFonts w:hint="eastAsia"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在永久基本农田集中区域，不得规划新建可能造成土壤污染的建设项目。</w:t>
                  </w:r>
                </w:p>
                <w:p w14:paraId="02112EFD">
                  <w:pPr>
                    <w:pStyle w:val="24"/>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8</w:t>
                  </w:r>
                  <w:r>
                    <w:rPr>
                      <w:rFonts w:hint="eastAsia"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执行《中华人民共和国黄河保护法》《黄河流域生态保护和高质量发展规划纲要》。</w:t>
                  </w:r>
                </w:p>
                <w:p w14:paraId="349AFE3B">
                  <w:pPr>
                    <w:pStyle w:val="24"/>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9</w:t>
                  </w:r>
                  <w:r>
                    <w:rPr>
                      <w:rFonts w:hint="eastAsia"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执行《陕西省黄河流域生态保护和高质量发展规划》《陕西省黄河流域生态环境保护规划》《陕西省黄河生态保护治理攻坚战实施方案》。</w:t>
                  </w:r>
                </w:p>
                <w:p w14:paraId="46EB08F3">
                  <w:pPr>
                    <w:pStyle w:val="24"/>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11</w:t>
                  </w:r>
                  <w:r>
                    <w:rPr>
                      <w:rFonts w:hint="eastAsia"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执行《陕西省秦岭生态环境保护条例》《陕西省秦岭重点保护区</w:t>
                  </w:r>
                  <w:r>
                    <w:rPr>
                      <w:rFonts w:hint="eastAsia"/>
                      <w:lang w:val="en-US" w:eastAsia="zh-CN"/>
                    </w:rPr>
                    <w:t>和</w:t>
                  </w:r>
                  <w:r>
                    <w:rPr>
                      <w:rFonts w:hint="default" w:ascii="Times New Roman" w:hAnsi="Times New Roman" w:cs="Times New Roman"/>
                      <w:color w:val="auto"/>
                      <w:sz w:val="21"/>
                      <w:szCs w:val="21"/>
                      <w:highlight w:val="none"/>
                      <w:vertAlign w:val="baseline"/>
                      <w:lang w:val="en-US" w:eastAsia="zh-CN"/>
                    </w:rPr>
                    <w:t>一般保护区产业准入清单》。</w:t>
                  </w:r>
                </w:p>
                <w:p w14:paraId="14186D69">
                  <w:pPr>
                    <w:pStyle w:val="24"/>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12</w:t>
                  </w:r>
                  <w:r>
                    <w:rPr>
                      <w:rFonts w:hint="eastAsia"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在秦岭核心保护区和重点保护区内禁止新设采矿权，秦岭主梁以北、封山育林区、禁牧区内禁止新设采石采矿权，严格控制和规范在秦岭一般保护区的露天采矿活动。</w:t>
                  </w:r>
                </w:p>
              </w:tc>
              <w:tc>
                <w:tcPr>
                  <w:tcW w:w="2105" w:type="dxa"/>
                  <w:tcBorders>
                    <w:tl2br w:val="nil"/>
                    <w:tr2bl w:val="nil"/>
                  </w:tcBorders>
                  <w:noWrap w:val="0"/>
                  <w:vAlign w:val="center"/>
                </w:tcPr>
                <w:p w14:paraId="0EA16F60">
                  <w:pPr>
                    <w:rPr>
                      <w:rFonts w:hint="eastAsia"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1.本项目位于陕西省宝鸡市凤翔区田家庄镇河北村村北金隅冀东凤翔环保科技有限公司厂区内，项目所在区域不涉及</w:t>
                  </w:r>
                  <w:r>
                    <w:rPr>
                      <w:rFonts w:hint="default" w:ascii="Times New Roman" w:hAnsi="Times New Roman" w:cs="Times New Roman"/>
                      <w:color w:val="auto"/>
                      <w:sz w:val="21"/>
                      <w:szCs w:val="21"/>
                      <w:highlight w:val="none"/>
                      <w:vertAlign w:val="baseline"/>
                      <w:lang w:val="en-US" w:eastAsia="zh-CN"/>
                    </w:rPr>
                    <w:t>自然保护区、风景名胜区、世界自然和文化遗产、饮用水水源保护区、生态保护红线、自然公园、水产种质资源保护区、重要湿地、国家级公益林等保护区域</w:t>
                  </w:r>
                  <w:r>
                    <w:rPr>
                      <w:rFonts w:hint="eastAsia" w:ascii="Times New Roman" w:hAnsi="Times New Roman" w:cs="Times New Roman"/>
                      <w:color w:val="auto"/>
                      <w:sz w:val="21"/>
                      <w:szCs w:val="21"/>
                      <w:highlight w:val="none"/>
                      <w:vertAlign w:val="baseline"/>
                      <w:lang w:val="en-US" w:eastAsia="zh-CN"/>
                    </w:rPr>
                    <w:t>。</w:t>
                  </w:r>
                </w:p>
                <w:p w14:paraId="5B095D31">
                  <w:pP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r>
                    <w:rPr>
                      <w:color w:val="auto"/>
                      <w:sz w:val="21"/>
                      <w:szCs w:val="21"/>
                      <w:highlight w:val="none"/>
                    </w:rPr>
                    <w:t>根据《市场准入负面清单》（202</w:t>
                  </w:r>
                  <w:r>
                    <w:rPr>
                      <w:rFonts w:hint="eastAsia"/>
                      <w:color w:val="auto"/>
                      <w:sz w:val="21"/>
                      <w:szCs w:val="21"/>
                      <w:highlight w:val="none"/>
                      <w:lang w:val="en-US" w:eastAsia="zh-CN"/>
                    </w:rPr>
                    <w:t>2</w:t>
                  </w:r>
                  <w:r>
                    <w:rPr>
                      <w:color w:val="auto"/>
                      <w:sz w:val="21"/>
                      <w:szCs w:val="21"/>
                      <w:highlight w:val="none"/>
                    </w:rPr>
                    <w:t>年版），本项目不属于清单内禁止准入类项目，可依法平等准入，符合政策要求</w:t>
                  </w:r>
                  <w:r>
                    <w:rPr>
                      <w:rFonts w:hint="eastAsia"/>
                      <w:color w:val="auto"/>
                      <w:sz w:val="21"/>
                      <w:szCs w:val="21"/>
                      <w:highlight w:val="none"/>
                      <w:lang w:eastAsia="zh-CN"/>
                    </w:rPr>
                    <w:t>；</w:t>
                  </w:r>
                  <w:r>
                    <w:rPr>
                      <w:rFonts w:hint="eastAsia"/>
                      <w:color w:val="auto"/>
                      <w:sz w:val="21"/>
                      <w:szCs w:val="21"/>
                      <w:highlight w:val="none"/>
                      <w:lang w:val="en-US" w:eastAsia="zh-CN"/>
                    </w:rPr>
                    <w:t>根据</w:t>
                  </w:r>
                  <w:r>
                    <w:rPr>
                      <w:rFonts w:hint="default" w:ascii="Times New Roman" w:hAnsi="Times New Roman" w:cs="Times New Roman"/>
                      <w:color w:val="auto"/>
                      <w:sz w:val="21"/>
                      <w:szCs w:val="21"/>
                      <w:highlight w:val="none"/>
                      <w:vertAlign w:val="baseline"/>
                      <w:lang w:val="en-US" w:eastAsia="zh-CN"/>
                    </w:rPr>
                    <w:t>《产业结构调整指导目录（</w:t>
                  </w:r>
                  <w:r>
                    <w:rPr>
                      <w:rFonts w:hint="eastAsia" w:ascii="Times New Roman" w:hAnsi="Times New Roman" w:cs="Times New Roman"/>
                      <w:color w:val="auto"/>
                      <w:sz w:val="21"/>
                      <w:szCs w:val="21"/>
                      <w:highlight w:val="none"/>
                      <w:vertAlign w:val="baseline"/>
                      <w:lang w:val="en-US" w:eastAsia="zh-CN"/>
                    </w:rPr>
                    <w:t>2024</w:t>
                  </w:r>
                  <w:r>
                    <w:rPr>
                      <w:rFonts w:hint="default" w:ascii="Times New Roman" w:hAnsi="Times New Roman" w:cs="Times New Roman"/>
                      <w:color w:val="auto"/>
                      <w:sz w:val="21"/>
                      <w:szCs w:val="21"/>
                      <w:highlight w:val="none"/>
                      <w:vertAlign w:val="baseline"/>
                      <w:lang w:val="en-US" w:eastAsia="zh-CN"/>
                    </w:rPr>
                    <w:t>年本）》</w:t>
                  </w:r>
                  <w:r>
                    <w:rPr>
                      <w:rFonts w:hint="eastAsia"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项目不属于鼓励类、限制类和淘汰类，属于允许类。</w:t>
                  </w:r>
                </w:p>
                <w:p w14:paraId="7741982A">
                  <w:pPr>
                    <w:pStyle w:val="23"/>
                    <w:rPr>
                      <w:rFonts w:hint="eastAsia" w:ascii="Times New Roman" w:hAnsi="Times New Roman" w:cs="Times New Roman"/>
                      <w:color w:val="auto"/>
                      <w:sz w:val="21"/>
                      <w:szCs w:val="21"/>
                      <w:highlight w:val="none"/>
                      <w:vertAlign w:val="baseline"/>
                      <w:lang w:val="en-US" w:eastAsia="zh-CN"/>
                    </w:rPr>
                  </w:pPr>
                  <w:r>
                    <w:rPr>
                      <w:rFonts w:hint="eastAsia" w:cs="Times New Roman" w:eastAsiaTheme="minorEastAsia"/>
                      <w:color w:val="auto"/>
                      <w:sz w:val="21"/>
                      <w:szCs w:val="21"/>
                      <w:highlight w:val="none"/>
                      <w:vertAlign w:val="baseline"/>
                      <w:lang w:val="en-US" w:eastAsia="zh-CN"/>
                    </w:rPr>
                    <w:t>4.本项目属于其他建筑材料制造业，不属于严格控制新增的</w:t>
                  </w:r>
                  <w:r>
                    <w:rPr>
                      <w:rFonts w:hint="default" w:ascii="Times New Roman" w:hAnsi="Times New Roman" w:cs="Times New Roman"/>
                      <w:color w:val="auto"/>
                      <w:sz w:val="21"/>
                      <w:szCs w:val="21"/>
                      <w:highlight w:val="none"/>
                      <w:vertAlign w:val="baseline"/>
                      <w:lang w:val="en-US" w:eastAsia="zh-CN"/>
                    </w:rPr>
                    <w:t>《陕西省</w:t>
                  </w:r>
                  <w:r>
                    <w:rPr>
                      <w:rFonts w:hint="eastAsia" w:ascii="宋体" w:hAnsi="宋体" w:eastAsia="宋体" w:cs="宋体"/>
                      <w:color w:val="auto"/>
                      <w:sz w:val="21"/>
                      <w:szCs w:val="21"/>
                      <w:highlight w:val="none"/>
                      <w:vertAlign w:val="baseline"/>
                      <w:lang w:val="en-US" w:eastAsia="zh-CN"/>
                    </w:rPr>
                    <w:t>“两高”</w:t>
                  </w:r>
                  <w:r>
                    <w:rPr>
                      <w:rFonts w:hint="default" w:ascii="Times New Roman" w:hAnsi="Times New Roman" w:cs="Times New Roman"/>
                      <w:color w:val="auto"/>
                      <w:sz w:val="21"/>
                      <w:szCs w:val="21"/>
                      <w:highlight w:val="none"/>
                      <w:vertAlign w:val="baseline"/>
                      <w:lang w:val="en-US" w:eastAsia="zh-CN"/>
                    </w:rPr>
                    <w:t>项目管理暂行目录》</w:t>
                  </w:r>
                  <w:r>
                    <w:rPr>
                      <w:rFonts w:hint="eastAsia" w:ascii="Times New Roman" w:hAnsi="Times New Roman" w:cs="Times New Roman"/>
                      <w:color w:val="auto"/>
                      <w:sz w:val="21"/>
                      <w:szCs w:val="21"/>
                      <w:highlight w:val="none"/>
                      <w:vertAlign w:val="baseline"/>
                      <w:lang w:val="en-US" w:eastAsia="zh-CN"/>
                    </w:rPr>
                    <w:t>中的</w:t>
                  </w:r>
                  <w:r>
                    <w:rPr>
                      <w:rFonts w:hint="default" w:ascii="Times New Roman" w:hAnsi="Times New Roman" w:cs="Times New Roman"/>
                      <w:color w:val="auto"/>
                      <w:sz w:val="21"/>
                      <w:szCs w:val="21"/>
                      <w:highlight w:val="none"/>
                      <w:vertAlign w:val="baseline"/>
                      <w:lang w:val="en-US" w:eastAsia="zh-CN"/>
                    </w:rPr>
                    <w:t>行业项目</w:t>
                  </w:r>
                  <w:r>
                    <w:rPr>
                      <w:rFonts w:hint="eastAsia" w:ascii="Times New Roman" w:hAnsi="Times New Roman" w:cs="Times New Roman"/>
                      <w:color w:val="auto"/>
                      <w:sz w:val="21"/>
                      <w:szCs w:val="21"/>
                      <w:highlight w:val="none"/>
                      <w:vertAlign w:val="baseline"/>
                      <w:lang w:val="en-US" w:eastAsia="zh-CN"/>
                    </w:rPr>
                    <w:t>。</w:t>
                  </w:r>
                </w:p>
                <w:p w14:paraId="155145A2">
                  <w:pPr>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5.本项目位于宝鸡市凤翔区田家庄镇河北村村北，不在主城区范围内。企业于2023年已获得水泥熟料行业环保绩效A级企业。</w:t>
                  </w:r>
                </w:p>
                <w:p w14:paraId="0AF90603">
                  <w:pPr>
                    <w:rPr>
                      <w:rFonts w:hint="eastAsia"/>
                      <w:color w:val="auto"/>
                      <w:highlight w:val="none"/>
                      <w:lang w:val="en-US" w:eastAsia="zh-CN"/>
                    </w:rPr>
                  </w:pPr>
                  <w:r>
                    <w:rPr>
                      <w:rFonts w:hint="eastAsia" w:ascii="Times New Roman" w:hAnsi="Times New Roman" w:cs="Times New Roman"/>
                      <w:color w:val="auto"/>
                      <w:sz w:val="21"/>
                      <w:szCs w:val="21"/>
                      <w:highlight w:val="none"/>
                      <w:vertAlign w:val="baseline"/>
                      <w:lang w:val="en-US" w:eastAsia="zh-CN"/>
                    </w:rPr>
                    <w:t>7.</w:t>
                  </w:r>
                  <w:r>
                    <w:rPr>
                      <w:rFonts w:hint="eastAsia"/>
                      <w:color w:val="auto"/>
                      <w:highlight w:val="none"/>
                      <w:lang w:val="en-US" w:eastAsia="zh-CN"/>
                    </w:rPr>
                    <w:t>本项目在金隅冀东凤翔环保科技有限公司现有厂区内进行建设，不新增用地；项目区用地属于工业用地，不涉及农用地。</w:t>
                  </w:r>
                </w:p>
                <w:p w14:paraId="1A362C16">
                  <w:pPr>
                    <w:rPr>
                      <w:rFonts w:hint="eastAsia"/>
                      <w:color w:val="auto"/>
                      <w:highlight w:val="none"/>
                      <w:lang w:val="en-US" w:eastAsia="zh-CN"/>
                    </w:rPr>
                  </w:pPr>
                  <w:r>
                    <w:rPr>
                      <w:rFonts w:hint="eastAsia"/>
                      <w:color w:val="auto"/>
                      <w:highlight w:val="none"/>
                      <w:lang w:val="en-US" w:eastAsia="zh-CN"/>
                    </w:rPr>
                    <w:t>8.本项目严格执行各类法律法规及规章制度的要求，依法生产，持证排污并确保各类污染物达标排放。</w:t>
                  </w:r>
                </w:p>
                <w:p w14:paraId="3D4EA815">
                  <w:pPr>
                    <w:rPr>
                      <w:rFonts w:hint="default"/>
                      <w:color w:val="auto"/>
                      <w:highlight w:val="none"/>
                      <w:lang w:val="en-US" w:eastAsia="zh-CN"/>
                    </w:rPr>
                  </w:pPr>
                  <w:r>
                    <w:rPr>
                      <w:rFonts w:hint="eastAsia"/>
                      <w:color w:val="auto"/>
                      <w:highlight w:val="none"/>
                      <w:lang w:val="en-US" w:eastAsia="zh-CN"/>
                    </w:rPr>
                    <w:t>11.</w:t>
                  </w:r>
                  <w:r>
                    <w:rPr>
                      <w:rFonts w:hint="eastAsia" w:cs="Times New Roman"/>
                      <w:color w:val="auto"/>
                      <w:sz w:val="21"/>
                      <w:szCs w:val="21"/>
                      <w:highlight w:val="none"/>
                      <w:vertAlign w:val="baseline"/>
                      <w:lang w:val="en-US" w:eastAsia="zh-CN"/>
                    </w:rPr>
                    <w:t>本项目位于陕西省宝鸡市凤翔区田家庄镇河北村村北金隅冀东凤翔环保科技有限公司厂区内，不在陕西省秦岭生态区保护范围内；项目区位于重点管控单元和一般管控单元，不涉及优先保护单元，不触碰生态保护红线。</w:t>
                  </w:r>
                </w:p>
              </w:tc>
              <w:tc>
                <w:tcPr>
                  <w:tcW w:w="408" w:type="dxa"/>
                  <w:tcBorders>
                    <w:tl2br w:val="nil"/>
                    <w:tr2bl w:val="nil"/>
                  </w:tcBorders>
                  <w:noWrap w:val="0"/>
                  <w:vAlign w:val="center"/>
                </w:tcPr>
                <w:p w14:paraId="57014F3F">
                  <w:pPr>
                    <w:pStyle w:val="24"/>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14:paraId="607B3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7" w:type="dxa"/>
                  <w:vMerge w:val="continue"/>
                  <w:tcBorders>
                    <w:tl2br w:val="nil"/>
                    <w:tr2bl w:val="nil"/>
                  </w:tcBorders>
                  <w:noWrap w:val="0"/>
                  <w:vAlign w:val="center"/>
                </w:tcPr>
                <w:p w14:paraId="052AC1AA">
                  <w:pPr>
                    <w:pStyle w:val="24"/>
                    <w:jc w:val="center"/>
                    <w:rPr>
                      <w:rFonts w:hint="eastAsia" w:ascii="Times New Roman" w:hAnsi="Times New Roman" w:cs="Times New Roman"/>
                      <w:color w:val="auto"/>
                      <w:sz w:val="21"/>
                      <w:szCs w:val="21"/>
                      <w:highlight w:val="none"/>
                      <w:vertAlign w:val="baseline"/>
                      <w:lang w:val="en-US" w:eastAsia="zh-CN"/>
                    </w:rPr>
                  </w:pPr>
                </w:p>
              </w:tc>
              <w:tc>
                <w:tcPr>
                  <w:tcW w:w="375" w:type="dxa"/>
                  <w:vMerge w:val="continue"/>
                  <w:tcBorders>
                    <w:tl2br w:val="nil"/>
                    <w:tr2bl w:val="nil"/>
                  </w:tcBorders>
                  <w:noWrap w:val="0"/>
                  <w:vAlign w:val="center"/>
                </w:tcPr>
                <w:p w14:paraId="2EAB5744">
                  <w:pPr>
                    <w:pStyle w:val="24"/>
                    <w:jc w:val="center"/>
                    <w:rPr>
                      <w:rFonts w:hint="eastAsia" w:cs="Times New Roman"/>
                      <w:color w:val="auto"/>
                      <w:sz w:val="21"/>
                      <w:szCs w:val="21"/>
                      <w:highlight w:val="none"/>
                      <w:vertAlign w:val="baseline"/>
                      <w:lang w:val="en-US" w:eastAsia="zh-CN"/>
                    </w:rPr>
                  </w:pPr>
                </w:p>
              </w:tc>
              <w:tc>
                <w:tcPr>
                  <w:tcW w:w="375" w:type="dxa"/>
                  <w:vMerge w:val="continue"/>
                  <w:tcBorders>
                    <w:tl2br w:val="nil"/>
                    <w:tr2bl w:val="nil"/>
                  </w:tcBorders>
                  <w:noWrap w:val="0"/>
                  <w:vAlign w:val="center"/>
                </w:tcPr>
                <w:p w14:paraId="79F6205E">
                  <w:pPr>
                    <w:pStyle w:val="24"/>
                    <w:jc w:val="center"/>
                    <w:rPr>
                      <w:rFonts w:hint="eastAsia" w:ascii="Times New Roman" w:hAnsi="Times New Roman" w:cs="Times New Roman"/>
                      <w:color w:val="auto"/>
                      <w:sz w:val="21"/>
                      <w:szCs w:val="21"/>
                      <w:highlight w:val="none"/>
                      <w:vertAlign w:val="baseline"/>
                      <w:lang w:val="en-US" w:eastAsia="zh-CN"/>
                    </w:rPr>
                  </w:pPr>
                </w:p>
              </w:tc>
              <w:tc>
                <w:tcPr>
                  <w:tcW w:w="488" w:type="dxa"/>
                  <w:vMerge w:val="continue"/>
                  <w:tcBorders>
                    <w:tl2br w:val="nil"/>
                    <w:tr2bl w:val="nil"/>
                  </w:tcBorders>
                  <w:noWrap w:val="0"/>
                  <w:vAlign w:val="center"/>
                </w:tcPr>
                <w:p w14:paraId="7C29D080">
                  <w:pPr>
                    <w:pStyle w:val="24"/>
                    <w:jc w:val="center"/>
                    <w:rPr>
                      <w:rFonts w:hint="eastAsia" w:ascii="Times New Roman" w:hAnsi="Times New Roman" w:cs="Times New Roman"/>
                      <w:color w:val="auto"/>
                      <w:sz w:val="21"/>
                      <w:szCs w:val="21"/>
                      <w:highlight w:val="none"/>
                      <w:vertAlign w:val="baseline"/>
                      <w:lang w:val="en-US" w:eastAsia="zh-CN"/>
                    </w:rPr>
                  </w:pPr>
                </w:p>
              </w:tc>
              <w:tc>
                <w:tcPr>
                  <w:tcW w:w="425" w:type="dxa"/>
                  <w:tcBorders>
                    <w:tl2br w:val="nil"/>
                    <w:tr2bl w:val="nil"/>
                  </w:tcBorders>
                  <w:noWrap w:val="0"/>
                  <w:vAlign w:val="center"/>
                </w:tcPr>
                <w:p w14:paraId="53AF299F">
                  <w:pPr>
                    <w:pStyle w:val="24"/>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污染物排放管控</w:t>
                  </w:r>
                </w:p>
              </w:tc>
              <w:tc>
                <w:tcPr>
                  <w:tcW w:w="2412" w:type="dxa"/>
                  <w:tcBorders>
                    <w:tl2br w:val="nil"/>
                    <w:tr2bl w:val="nil"/>
                  </w:tcBorders>
                  <w:noWrap w:val="0"/>
                  <w:vAlign w:val="center"/>
                </w:tcPr>
                <w:p w14:paraId="3D6B9FCE">
                  <w:pPr>
                    <w:pStyle w:val="24"/>
                    <w:jc w:val="both"/>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2.2025年底前，80%左右水泥熟料产能和60%左右独立粉磨站完成超低排放改造，西安市、咸阳市、渭南市全面完成改造，其他地区2027年底前全部完成。</w:t>
                  </w:r>
                </w:p>
                <w:p w14:paraId="2AFA21EE">
                  <w:pPr>
                    <w:pStyle w:val="24"/>
                    <w:jc w:val="both"/>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3.全省黄河流域城镇生活污水处理达到《陕西省黄河流域污水综合排放标准》（DB61/224-2018）排放限值要求。</w:t>
                  </w:r>
                </w:p>
              </w:tc>
              <w:tc>
                <w:tcPr>
                  <w:tcW w:w="2105" w:type="dxa"/>
                  <w:tcBorders>
                    <w:tl2br w:val="nil"/>
                    <w:tr2bl w:val="nil"/>
                  </w:tcBorders>
                  <w:noWrap w:val="0"/>
                  <w:vAlign w:val="center"/>
                </w:tcPr>
                <w:p w14:paraId="27F21BCD">
                  <w:pPr>
                    <w:rPr>
                      <w:rFonts w:hint="eastAsia"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项目运营期废气污染物主要为颗粒物，通过脉冲式布袋除尘器处理后，均可实现达标排放。</w:t>
                  </w:r>
                </w:p>
                <w:p w14:paraId="434126D2">
                  <w:pPr>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本项目无新增劳动定员，无新增生活污水。</w:t>
                  </w:r>
                </w:p>
              </w:tc>
              <w:tc>
                <w:tcPr>
                  <w:tcW w:w="408" w:type="dxa"/>
                  <w:tcBorders>
                    <w:tl2br w:val="nil"/>
                    <w:tr2bl w:val="nil"/>
                  </w:tcBorders>
                  <w:noWrap w:val="0"/>
                  <w:vAlign w:val="center"/>
                </w:tcPr>
                <w:p w14:paraId="1417089B">
                  <w:pPr>
                    <w:pStyle w:val="24"/>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符合</w:t>
                  </w:r>
                </w:p>
              </w:tc>
            </w:tr>
            <w:tr w14:paraId="59F91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7" w:type="dxa"/>
                  <w:vMerge w:val="continue"/>
                  <w:tcBorders>
                    <w:tl2br w:val="nil"/>
                    <w:tr2bl w:val="nil"/>
                  </w:tcBorders>
                  <w:noWrap w:val="0"/>
                  <w:vAlign w:val="center"/>
                </w:tcPr>
                <w:p w14:paraId="0C94A04D">
                  <w:pPr>
                    <w:pStyle w:val="24"/>
                    <w:jc w:val="center"/>
                    <w:rPr>
                      <w:rFonts w:hint="eastAsia" w:ascii="Times New Roman" w:hAnsi="Times New Roman" w:cs="Times New Roman"/>
                      <w:color w:val="auto"/>
                      <w:sz w:val="21"/>
                      <w:szCs w:val="21"/>
                      <w:highlight w:val="none"/>
                      <w:vertAlign w:val="baseline"/>
                      <w:lang w:val="en-US" w:eastAsia="zh-CN"/>
                    </w:rPr>
                  </w:pPr>
                </w:p>
              </w:tc>
              <w:tc>
                <w:tcPr>
                  <w:tcW w:w="375" w:type="dxa"/>
                  <w:vMerge w:val="continue"/>
                  <w:tcBorders>
                    <w:tl2br w:val="nil"/>
                    <w:tr2bl w:val="nil"/>
                  </w:tcBorders>
                  <w:noWrap w:val="0"/>
                  <w:vAlign w:val="center"/>
                </w:tcPr>
                <w:p w14:paraId="4711B2D8">
                  <w:pPr>
                    <w:pStyle w:val="24"/>
                    <w:jc w:val="center"/>
                    <w:rPr>
                      <w:rFonts w:hint="eastAsia" w:cs="Times New Roman"/>
                      <w:color w:val="auto"/>
                      <w:sz w:val="21"/>
                      <w:szCs w:val="21"/>
                      <w:highlight w:val="none"/>
                      <w:vertAlign w:val="baseline"/>
                      <w:lang w:val="en-US" w:eastAsia="zh-CN"/>
                    </w:rPr>
                  </w:pPr>
                </w:p>
              </w:tc>
              <w:tc>
                <w:tcPr>
                  <w:tcW w:w="375" w:type="dxa"/>
                  <w:vMerge w:val="continue"/>
                  <w:tcBorders>
                    <w:tl2br w:val="nil"/>
                    <w:tr2bl w:val="nil"/>
                  </w:tcBorders>
                  <w:noWrap w:val="0"/>
                  <w:vAlign w:val="center"/>
                </w:tcPr>
                <w:p w14:paraId="16FA529D">
                  <w:pPr>
                    <w:pStyle w:val="24"/>
                    <w:jc w:val="center"/>
                    <w:rPr>
                      <w:rFonts w:hint="eastAsia" w:ascii="Times New Roman" w:hAnsi="Times New Roman" w:cs="Times New Roman"/>
                      <w:color w:val="auto"/>
                      <w:sz w:val="21"/>
                      <w:szCs w:val="21"/>
                      <w:highlight w:val="none"/>
                      <w:vertAlign w:val="baseline"/>
                      <w:lang w:val="en-US" w:eastAsia="zh-CN"/>
                    </w:rPr>
                  </w:pPr>
                </w:p>
              </w:tc>
              <w:tc>
                <w:tcPr>
                  <w:tcW w:w="488" w:type="dxa"/>
                  <w:vMerge w:val="continue"/>
                  <w:tcBorders>
                    <w:tl2br w:val="nil"/>
                    <w:tr2bl w:val="nil"/>
                  </w:tcBorders>
                  <w:noWrap w:val="0"/>
                  <w:vAlign w:val="center"/>
                </w:tcPr>
                <w:p w14:paraId="4D5EB1B8">
                  <w:pPr>
                    <w:pStyle w:val="24"/>
                    <w:jc w:val="center"/>
                    <w:rPr>
                      <w:rFonts w:hint="eastAsia" w:ascii="Times New Roman" w:hAnsi="Times New Roman" w:cs="Times New Roman"/>
                      <w:color w:val="auto"/>
                      <w:sz w:val="21"/>
                      <w:szCs w:val="21"/>
                      <w:highlight w:val="none"/>
                      <w:vertAlign w:val="baseline"/>
                      <w:lang w:val="en-US" w:eastAsia="zh-CN"/>
                    </w:rPr>
                  </w:pPr>
                </w:p>
              </w:tc>
              <w:tc>
                <w:tcPr>
                  <w:tcW w:w="425" w:type="dxa"/>
                  <w:tcBorders>
                    <w:tl2br w:val="nil"/>
                    <w:tr2bl w:val="nil"/>
                  </w:tcBorders>
                  <w:noWrap w:val="0"/>
                  <w:vAlign w:val="center"/>
                </w:tcPr>
                <w:p w14:paraId="3063B550">
                  <w:pPr>
                    <w:pStyle w:val="24"/>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环境风险防控</w:t>
                  </w:r>
                </w:p>
              </w:tc>
              <w:tc>
                <w:tcPr>
                  <w:tcW w:w="2412" w:type="dxa"/>
                  <w:tcBorders>
                    <w:tl2br w:val="nil"/>
                    <w:tr2bl w:val="nil"/>
                  </w:tcBorders>
                  <w:noWrap w:val="0"/>
                  <w:vAlign w:val="center"/>
                </w:tcPr>
                <w:p w14:paraId="636922C8">
                  <w:pPr>
                    <w:pStyle w:val="24"/>
                    <w:numPr>
                      <w:ilvl w:val="0"/>
                      <w:numId w:val="0"/>
                    </w:numPr>
                    <w:ind w:left="0" w:leftChars="0" w:firstLine="0" w:firstLineChars="0"/>
                    <w:jc w:val="both"/>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将环境风险纳入常态化管理，推进危险废物、重金属及尾矿环境、核与辐射等重点领域环境风险防控，加强新污染物治理，健全环境应急体系，推动环境风险防控由应急管理向全过程管理转变，提升生态环境安全保障水平。</w:t>
                  </w:r>
                </w:p>
                <w:p w14:paraId="46DA24AB">
                  <w:pPr>
                    <w:pStyle w:val="24"/>
                    <w:numPr>
                      <w:ilvl w:val="0"/>
                      <w:numId w:val="0"/>
                    </w:numPr>
                    <w:ind w:left="0" w:leftChars="0" w:firstLine="0" w:firstLineChars="0"/>
                    <w:jc w:val="both"/>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落实工业企业环境风险防范主体责任。以石油加工、煤化工、化学原料和化学制品制造、涉重金属企业为重点，合理布设企业生产设施，强化工业企业应急导流槽、事故调蓄池、雨污总排口、应急闸坝等事故排水收集截留设施，以及传输泵、配套管线、应急发电等事故水输送设施等建设，合理设置消防处置用事故水池和雨水监测池。</w:t>
                  </w:r>
                </w:p>
                <w:p w14:paraId="1F9A060E">
                  <w:pPr>
                    <w:pStyle w:val="24"/>
                    <w:numPr>
                      <w:ilvl w:val="0"/>
                      <w:numId w:val="0"/>
                    </w:numPr>
                    <w:ind w:left="0" w:leftChars="0" w:firstLine="0" w:firstLineChars="0"/>
                    <w:jc w:val="both"/>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9.完善土壤、地下水和农业农村污染防治法规标准体系，健全风险管控和修复制度。强化监管执法和环境监测能力建设，健全环境监测网络。健全土壤、地下水污染防治数据管理信息系统平台，提升科技支撑能力，推进国家治理体系和治理能力现代化。</w:t>
                  </w:r>
                </w:p>
              </w:tc>
              <w:tc>
                <w:tcPr>
                  <w:tcW w:w="2105" w:type="dxa"/>
                  <w:tcBorders>
                    <w:tl2br w:val="nil"/>
                    <w:tr2bl w:val="nil"/>
                  </w:tcBorders>
                  <w:noWrap w:val="0"/>
                  <w:vAlign w:val="center"/>
                </w:tcPr>
                <w:p w14:paraId="6B093038">
                  <w:pPr>
                    <w:pStyle w:val="24"/>
                    <w:jc w:val="both"/>
                    <w:rPr>
                      <w:rFonts w:hint="default" w:cs="Times New Roman"/>
                      <w:color w:val="auto"/>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bidi="ar-SA"/>
                    </w:rPr>
                    <w:t>本项目涉及的风险物质主要为废润滑油，经收集后送至厂区现有危废贮存库暂存，依托现有水泥窑协同处置100000t/a危险废物项目进行协同处置。项目危废贮存库</w:t>
                  </w:r>
                  <w:r>
                    <w:rPr>
                      <w:rFonts w:hint="eastAsia" w:cs="Times New Roman"/>
                      <w:color w:val="auto"/>
                      <w:sz w:val="21"/>
                      <w:szCs w:val="21"/>
                      <w:highlight w:val="none"/>
                      <w:vertAlign w:val="baseline"/>
                      <w:lang w:val="en-US" w:eastAsia="zh-CN"/>
                    </w:rPr>
                    <w:t>严格按照《危险废物贮存污染控制标准》（GB18597-2023）中的有关要求进行建设和管理，采取分区防渗、源头控制、过程防控等有效管理措施下，环境风险总体可控。</w:t>
                  </w:r>
                </w:p>
                <w:p w14:paraId="2C4A87A5">
                  <w:pPr>
                    <w:rPr>
                      <w:rFonts w:hint="default"/>
                      <w:color w:val="auto"/>
                      <w:highlight w:val="none"/>
                      <w:lang w:val="en-US" w:eastAsia="zh-CN"/>
                    </w:rPr>
                  </w:pPr>
                </w:p>
              </w:tc>
              <w:tc>
                <w:tcPr>
                  <w:tcW w:w="408" w:type="dxa"/>
                  <w:tcBorders>
                    <w:tl2br w:val="nil"/>
                    <w:tr2bl w:val="nil"/>
                  </w:tcBorders>
                  <w:noWrap w:val="0"/>
                  <w:vAlign w:val="center"/>
                </w:tcPr>
                <w:p w14:paraId="62C3DED0">
                  <w:pPr>
                    <w:pStyle w:val="24"/>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符合</w:t>
                  </w:r>
                </w:p>
              </w:tc>
            </w:tr>
            <w:tr w14:paraId="2E1F33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7" w:type="dxa"/>
                  <w:vMerge w:val="continue"/>
                  <w:tcBorders>
                    <w:tl2br w:val="nil"/>
                    <w:tr2bl w:val="nil"/>
                  </w:tcBorders>
                  <w:noWrap w:val="0"/>
                  <w:vAlign w:val="center"/>
                </w:tcPr>
                <w:p w14:paraId="32D51914">
                  <w:pPr>
                    <w:pStyle w:val="24"/>
                    <w:jc w:val="center"/>
                    <w:rPr>
                      <w:rFonts w:hint="default" w:ascii="Times New Roman" w:hAnsi="Times New Roman" w:cs="Times New Roman"/>
                      <w:color w:val="auto"/>
                      <w:sz w:val="21"/>
                      <w:szCs w:val="21"/>
                      <w:highlight w:val="none"/>
                      <w:vertAlign w:val="baseline"/>
                      <w:lang w:val="en-US" w:eastAsia="zh-CN"/>
                    </w:rPr>
                  </w:pPr>
                </w:p>
              </w:tc>
              <w:tc>
                <w:tcPr>
                  <w:tcW w:w="375" w:type="dxa"/>
                  <w:vMerge w:val="continue"/>
                  <w:tcBorders>
                    <w:tl2br w:val="nil"/>
                    <w:tr2bl w:val="nil"/>
                  </w:tcBorders>
                  <w:noWrap w:val="0"/>
                  <w:vAlign w:val="center"/>
                </w:tcPr>
                <w:p w14:paraId="041AE5A0">
                  <w:pPr>
                    <w:pStyle w:val="24"/>
                    <w:jc w:val="center"/>
                    <w:rPr>
                      <w:rFonts w:hint="default" w:ascii="Times New Roman" w:hAnsi="Times New Roman" w:cs="Times New Roman"/>
                      <w:color w:val="auto"/>
                      <w:sz w:val="21"/>
                      <w:szCs w:val="21"/>
                      <w:highlight w:val="none"/>
                      <w:vertAlign w:val="baseline"/>
                      <w:lang w:val="en-US" w:eastAsia="zh-CN"/>
                    </w:rPr>
                  </w:pPr>
                </w:p>
              </w:tc>
              <w:tc>
                <w:tcPr>
                  <w:tcW w:w="375" w:type="dxa"/>
                  <w:vMerge w:val="continue"/>
                  <w:tcBorders>
                    <w:tl2br w:val="nil"/>
                    <w:tr2bl w:val="nil"/>
                  </w:tcBorders>
                  <w:noWrap w:val="0"/>
                  <w:vAlign w:val="center"/>
                </w:tcPr>
                <w:p w14:paraId="77DE6462">
                  <w:pPr>
                    <w:pStyle w:val="24"/>
                    <w:jc w:val="center"/>
                    <w:rPr>
                      <w:rFonts w:hint="default" w:ascii="Times New Roman" w:hAnsi="Times New Roman" w:cs="Times New Roman"/>
                      <w:color w:val="auto"/>
                      <w:sz w:val="21"/>
                      <w:szCs w:val="21"/>
                      <w:highlight w:val="none"/>
                      <w:vertAlign w:val="baseline"/>
                      <w:lang w:val="en-US" w:eastAsia="zh-CN"/>
                    </w:rPr>
                  </w:pPr>
                </w:p>
              </w:tc>
              <w:tc>
                <w:tcPr>
                  <w:tcW w:w="488" w:type="dxa"/>
                  <w:vMerge w:val="continue"/>
                  <w:tcBorders>
                    <w:tl2br w:val="nil"/>
                    <w:tr2bl w:val="nil"/>
                  </w:tcBorders>
                  <w:noWrap w:val="0"/>
                  <w:vAlign w:val="center"/>
                </w:tcPr>
                <w:p w14:paraId="61598541">
                  <w:pPr>
                    <w:pStyle w:val="24"/>
                    <w:jc w:val="center"/>
                    <w:rPr>
                      <w:rFonts w:hint="default" w:ascii="Times New Roman" w:hAnsi="Times New Roman" w:cs="Times New Roman"/>
                      <w:color w:val="auto"/>
                      <w:sz w:val="21"/>
                      <w:szCs w:val="21"/>
                      <w:highlight w:val="none"/>
                      <w:vertAlign w:val="baseline"/>
                      <w:lang w:val="en-US" w:eastAsia="zh-CN"/>
                    </w:rPr>
                  </w:pPr>
                </w:p>
              </w:tc>
              <w:tc>
                <w:tcPr>
                  <w:tcW w:w="425" w:type="dxa"/>
                  <w:tcBorders>
                    <w:tl2br w:val="nil"/>
                    <w:tr2bl w:val="nil"/>
                  </w:tcBorders>
                  <w:noWrap w:val="0"/>
                  <w:vAlign w:val="center"/>
                </w:tcPr>
                <w:p w14:paraId="47C5F2B7">
                  <w:pPr>
                    <w:pStyle w:val="24"/>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资源开发效率</w:t>
                  </w:r>
                </w:p>
              </w:tc>
              <w:tc>
                <w:tcPr>
                  <w:tcW w:w="2412" w:type="dxa"/>
                  <w:tcBorders>
                    <w:tl2br w:val="nil"/>
                    <w:tr2bl w:val="nil"/>
                  </w:tcBorders>
                  <w:noWrap w:val="0"/>
                  <w:vAlign w:val="center"/>
                </w:tcPr>
                <w:p w14:paraId="6ACDFBD4">
                  <w:pPr>
                    <w:pStyle w:val="24"/>
                    <w:numPr>
                      <w:ilvl w:val="0"/>
                      <w:numId w:val="0"/>
                    </w:numPr>
                    <w:ind w:leftChars="0"/>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w:t>
                  </w:r>
                  <w:r>
                    <w:rPr>
                      <w:rFonts w:hint="eastAsia"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推动能源供给体系清洁化、低碳化和终端能源消费电气化。推进煤炭绿色智能开采、清洁安全高效利用，发展清洁高效煤电。实施可再生能源替代行动。推进多元</w:t>
                  </w:r>
                  <w:r>
                    <w:rPr>
                      <w:rFonts w:hint="eastAsia" w:cs="Times New Roman"/>
                      <w:color w:val="auto"/>
                      <w:sz w:val="21"/>
                      <w:szCs w:val="21"/>
                      <w:highlight w:val="none"/>
                      <w:vertAlign w:val="baseline"/>
                      <w:lang w:val="en-US" w:eastAsia="zh-CN"/>
                    </w:rPr>
                    <w:t>化</w:t>
                  </w:r>
                  <w:r>
                    <w:rPr>
                      <w:rFonts w:hint="default" w:ascii="Times New Roman" w:hAnsi="Times New Roman" w:cs="Times New Roman"/>
                      <w:color w:val="auto"/>
                      <w:sz w:val="21"/>
                      <w:szCs w:val="21"/>
                      <w:highlight w:val="none"/>
                      <w:vertAlign w:val="baseline"/>
                      <w:lang w:val="en-US" w:eastAsia="zh-CN"/>
                    </w:rPr>
                    <w:t>储能系统建设与应用。持续推进冬季清洁取暖。实施城乡配电网建设和智能升级计划。</w:t>
                  </w:r>
                </w:p>
                <w:p w14:paraId="4C0D1484">
                  <w:pPr>
                    <w:pStyle w:val="24"/>
                    <w:numPr>
                      <w:ilvl w:val="0"/>
                      <w:numId w:val="0"/>
                    </w:numPr>
                    <w:ind w:leftChars="0"/>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8</w:t>
                  </w:r>
                  <w:r>
                    <w:rPr>
                      <w:rFonts w:hint="eastAsia"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加快固废综合利用和技术创新，推动冶炼废渣、脱硫石膏、结晶杂盐、金属镁渣、电石渣、气化渣、尾矿等大</w:t>
                  </w:r>
                  <w:r>
                    <w:rPr>
                      <w:rFonts w:hint="eastAsia" w:cs="Times New Roman"/>
                      <w:color w:val="auto"/>
                      <w:sz w:val="21"/>
                      <w:szCs w:val="21"/>
                      <w:highlight w:val="none"/>
                      <w:vertAlign w:val="baseline"/>
                      <w:lang w:val="en-US" w:eastAsia="zh-CN"/>
                    </w:rPr>
                    <w:t>宗工</w:t>
                  </w:r>
                  <w:r>
                    <w:rPr>
                      <w:rFonts w:hint="default" w:ascii="Times New Roman" w:hAnsi="Times New Roman" w:cs="Times New Roman"/>
                      <w:color w:val="auto"/>
                      <w:sz w:val="21"/>
                      <w:szCs w:val="21"/>
                      <w:highlight w:val="none"/>
                      <w:vertAlign w:val="baseline"/>
                      <w:lang w:val="en-US" w:eastAsia="zh-CN"/>
                    </w:rPr>
                    <w:t>业固废的高水平利用。</w:t>
                  </w:r>
                </w:p>
                <w:p w14:paraId="6D26CED8">
                  <w:pPr>
                    <w:pStyle w:val="24"/>
                    <w:numPr>
                      <w:ilvl w:val="0"/>
                      <w:numId w:val="0"/>
                    </w:numPr>
                    <w:ind w:leftChars="0"/>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9</w:t>
                  </w:r>
                  <w:r>
                    <w:rPr>
                      <w:rFonts w:hint="eastAsia"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到2025年，新增大宗固体废物综合利用率达到60%，存量大宗固体废物有序减少。</w:t>
                  </w:r>
                </w:p>
              </w:tc>
              <w:tc>
                <w:tcPr>
                  <w:tcW w:w="2105" w:type="dxa"/>
                  <w:tcBorders>
                    <w:tl2br w:val="nil"/>
                    <w:tr2bl w:val="nil"/>
                  </w:tcBorders>
                  <w:noWrap w:val="0"/>
                  <w:vAlign w:val="center"/>
                </w:tcPr>
                <w:p w14:paraId="14D6635B">
                  <w:pPr>
                    <w:pStyle w:val="24"/>
                    <w:jc w:val="both"/>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项目能源使用主要为电能，属于清洁能源。本项目运营期产生的固体废物主要为除尘器收集粉尘和废润滑油。除尘器收集粉尘经收集后全部回用于生产工序中作为生产原料使用；废润滑油经收集后送至厂区现有危废贮存库暂存，依托现有水泥窑协同处置100000t/a危险废物项目进行协同处置。</w:t>
                  </w:r>
                </w:p>
              </w:tc>
              <w:tc>
                <w:tcPr>
                  <w:tcW w:w="408" w:type="dxa"/>
                  <w:tcBorders>
                    <w:tl2br w:val="nil"/>
                    <w:tr2bl w:val="nil"/>
                  </w:tcBorders>
                  <w:noWrap w:val="0"/>
                  <w:vAlign w:val="center"/>
                </w:tcPr>
                <w:p w14:paraId="1103E831">
                  <w:pPr>
                    <w:pStyle w:val="24"/>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bl>
          <w:p w14:paraId="20D56C15">
            <w:pPr>
              <w:pStyle w:val="28"/>
              <w:keepNext/>
              <w:numPr>
                <w:ilvl w:val="0"/>
                <w:numId w:val="1"/>
              </w:numPr>
              <w:adjustRightInd w:val="0"/>
              <w:snapToGrid w:val="0"/>
              <w:spacing w:line="360" w:lineRule="auto"/>
              <w:ind w:left="0" w:leftChars="0" w:firstLine="480" w:firstLineChars="200"/>
              <w:jc w:val="both"/>
              <w:rPr>
                <w:rFonts w:hint="eastAsia" w:eastAsiaTheme="minorEastAsia"/>
                <w:b w:val="0"/>
                <w:bCs/>
                <w:color w:val="auto"/>
                <w:sz w:val="24"/>
                <w:szCs w:val="24"/>
                <w:highlight w:val="none"/>
                <w:lang w:eastAsia="zh-CN"/>
              </w:rPr>
            </w:pPr>
            <w:r>
              <w:rPr>
                <w:rFonts w:hint="eastAsia" w:eastAsiaTheme="minorEastAsia"/>
                <w:b w:val="0"/>
                <w:bCs/>
                <w:color w:val="auto"/>
                <w:sz w:val="24"/>
                <w:szCs w:val="24"/>
                <w:highlight w:val="none"/>
                <w:lang w:eastAsia="zh-CN"/>
              </w:rPr>
              <w:t>“</w:t>
            </w:r>
            <w:r>
              <w:rPr>
                <w:rFonts w:hint="eastAsia" w:eastAsiaTheme="minorEastAsia"/>
                <w:b w:val="0"/>
                <w:bCs/>
                <w:color w:val="auto"/>
                <w:sz w:val="24"/>
                <w:szCs w:val="24"/>
                <w:highlight w:val="none"/>
                <w:lang w:val="en-US" w:eastAsia="zh-CN"/>
              </w:rPr>
              <w:t>一说明</w:t>
            </w:r>
            <w:r>
              <w:rPr>
                <w:rFonts w:hint="eastAsia" w:eastAsiaTheme="minorEastAsia"/>
                <w:b w:val="0"/>
                <w:bCs/>
                <w:color w:val="auto"/>
                <w:sz w:val="24"/>
                <w:szCs w:val="24"/>
                <w:highlight w:val="none"/>
                <w:lang w:eastAsia="zh-CN"/>
              </w:rPr>
              <w:t>”</w:t>
            </w:r>
          </w:p>
          <w:p w14:paraId="534A325F">
            <w:pPr>
              <w:pStyle w:val="28"/>
              <w:keepNext/>
              <w:numPr>
                <w:ilvl w:val="0"/>
                <w:numId w:val="0"/>
              </w:numPr>
              <w:adjustRightInd w:val="0"/>
              <w:snapToGrid w:val="0"/>
              <w:spacing w:line="360" w:lineRule="auto"/>
              <w:ind w:firstLine="480" w:firstLineChars="200"/>
              <w:jc w:val="both"/>
              <w:rPr>
                <w:rFonts w:hint="eastAsia" w:eastAsiaTheme="minorEastAsia"/>
                <w:b w:val="0"/>
                <w:bCs/>
                <w:color w:val="auto"/>
                <w:sz w:val="24"/>
                <w:szCs w:val="24"/>
                <w:highlight w:val="none"/>
                <w:lang w:eastAsia="zh-CN"/>
              </w:rPr>
            </w:pPr>
            <w:r>
              <w:rPr>
                <w:rFonts w:hint="eastAsia" w:eastAsiaTheme="minorEastAsia"/>
                <w:b w:val="0"/>
                <w:bCs/>
                <w:color w:val="auto"/>
                <w:sz w:val="24"/>
                <w:szCs w:val="24"/>
                <w:highlight w:val="none"/>
                <w:lang w:eastAsia="zh-CN"/>
              </w:rPr>
              <w:t>本项目位于</w:t>
            </w:r>
            <w:r>
              <w:rPr>
                <w:rFonts w:hint="eastAsia" w:cs="Times New Roman" w:eastAsiaTheme="minorEastAsia"/>
                <w:color w:val="auto"/>
                <w:kern w:val="0"/>
                <w:sz w:val="24"/>
                <w:highlight w:val="none"/>
                <w:lang w:eastAsia="zh-CN"/>
              </w:rPr>
              <w:t>陕西省宝鸡市凤翔区田家庄镇河北村村北金隅冀东凤翔环保科技有限公司厂区内</w:t>
            </w:r>
            <w:r>
              <w:rPr>
                <w:rFonts w:hint="eastAsia" w:eastAsiaTheme="minorEastAsia"/>
                <w:b w:val="0"/>
                <w:bCs/>
                <w:color w:val="auto"/>
                <w:sz w:val="24"/>
                <w:szCs w:val="24"/>
                <w:highlight w:val="none"/>
                <w:lang w:eastAsia="zh-CN"/>
              </w:rPr>
              <w:t>，根据《宝鸡市人民政府关于印发</w:t>
            </w:r>
            <w:r>
              <w:rPr>
                <w:rFonts w:hint="eastAsia" w:ascii="宋体" w:hAnsi="宋体" w:eastAsia="宋体" w:cs="宋体"/>
                <w:b w:val="0"/>
                <w:bCs/>
                <w:color w:val="auto"/>
                <w:sz w:val="24"/>
                <w:szCs w:val="24"/>
                <w:highlight w:val="none"/>
                <w:lang w:eastAsia="zh-CN"/>
              </w:rPr>
              <w:t>“三线一单”</w:t>
            </w:r>
            <w:r>
              <w:rPr>
                <w:rFonts w:hint="eastAsia" w:eastAsiaTheme="minorEastAsia"/>
                <w:b w:val="0"/>
                <w:bCs/>
                <w:color w:val="auto"/>
                <w:sz w:val="24"/>
                <w:szCs w:val="24"/>
                <w:highlight w:val="none"/>
                <w:lang w:eastAsia="zh-CN"/>
              </w:rPr>
              <w:t>生态环境分区管控方案的通知》（市政发〔2021〕22号）以及陕西省“三线一单”数据应用系统平台分析，项目所在区域属于重点管控单元</w:t>
            </w:r>
            <w:r>
              <w:rPr>
                <w:rFonts w:hint="eastAsia" w:eastAsiaTheme="minorEastAsia"/>
                <w:b w:val="0"/>
                <w:bCs/>
                <w:color w:val="auto"/>
                <w:sz w:val="24"/>
                <w:szCs w:val="24"/>
                <w:highlight w:val="none"/>
                <w:lang w:val="en-US" w:eastAsia="zh-CN"/>
              </w:rPr>
              <w:t>和一般管控单元</w:t>
            </w:r>
            <w:r>
              <w:rPr>
                <w:rFonts w:hint="eastAsia" w:eastAsiaTheme="minorEastAsia"/>
                <w:b w:val="0"/>
                <w:bCs/>
                <w:color w:val="auto"/>
                <w:sz w:val="24"/>
                <w:szCs w:val="24"/>
                <w:highlight w:val="none"/>
                <w:lang w:eastAsia="zh-CN"/>
              </w:rPr>
              <w:t>。“重点管控单元应优化空间布局和产业布局，结合生态环境质量达标情况以及经济社会发展水平等，按照差别化的生态环境准入要求，加强污染物排放控制和环境风险防控，不断提升资源利用效率，稳步改善生态环境质量。</w:t>
            </w:r>
            <w:r>
              <w:rPr>
                <w:rFonts w:hint="eastAsia" w:eastAsiaTheme="minorEastAsia"/>
                <w:b w:val="0"/>
                <w:bCs/>
                <w:color w:val="auto"/>
                <w:sz w:val="24"/>
                <w:szCs w:val="24"/>
                <w:highlight w:val="none"/>
                <w:lang w:val="en-US" w:eastAsia="zh-CN"/>
              </w:rPr>
              <w:t>本项目</w:t>
            </w:r>
            <w:r>
              <w:rPr>
                <w:rFonts w:hint="eastAsia" w:eastAsiaTheme="minorEastAsia"/>
                <w:b w:val="0"/>
                <w:bCs/>
                <w:color w:val="auto"/>
                <w:sz w:val="24"/>
                <w:szCs w:val="24"/>
                <w:highlight w:val="none"/>
                <w:lang w:eastAsia="zh-CN"/>
              </w:rPr>
              <w:t>在采取评价报告提出的</w:t>
            </w:r>
            <w:r>
              <w:rPr>
                <w:rFonts w:hint="eastAsia" w:eastAsiaTheme="minorEastAsia"/>
                <w:b w:val="0"/>
                <w:bCs/>
                <w:color w:val="auto"/>
                <w:sz w:val="24"/>
                <w:szCs w:val="24"/>
                <w:highlight w:val="none"/>
                <w:lang w:val="en-US" w:eastAsia="zh-CN"/>
              </w:rPr>
              <w:t>各项</w:t>
            </w:r>
            <w:r>
              <w:rPr>
                <w:rFonts w:hint="eastAsia" w:eastAsiaTheme="minorEastAsia"/>
                <w:b w:val="0"/>
                <w:bCs/>
                <w:color w:val="auto"/>
                <w:sz w:val="24"/>
                <w:szCs w:val="24"/>
                <w:highlight w:val="none"/>
                <w:lang w:eastAsia="zh-CN"/>
              </w:rPr>
              <w:t>污染防治措施后，各污染物均能得到合理的处理与处置，做到达标排放。”本项目满足重点管控单元</w:t>
            </w:r>
            <w:r>
              <w:rPr>
                <w:rFonts w:hint="eastAsia" w:eastAsiaTheme="minorEastAsia"/>
                <w:b w:val="0"/>
                <w:bCs/>
                <w:color w:val="auto"/>
                <w:sz w:val="24"/>
                <w:szCs w:val="24"/>
                <w:highlight w:val="none"/>
                <w:lang w:val="en-US" w:eastAsia="zh-CN"/>
              </w:rPr>
              <w:t>和一般管控单元</w:t>
            </w:r>
            <w:r>
              <w:rPr>
                <w:rFonts w:hint="eastAsia" w:eastAsiaTheme="minorEastAsia"/>
                <w:b w:val="0"/>
                <w:bCs/>
                <w:color w:val="auto"/>
                <w:sz w:val="24"/>
                <w:szCs w:val="24"/>
                <w:highlight w:val="none"/>
                <w:lang w:eastAsia="zh-CN"/>
              </w:rPr>
              <w:t>在空间布局约束、污染物排放管控、</w:t>
            </w:r>
            <w:r>
              <w:rPr>
                <w:rFonts w:hint="eastAsia" w:eastAsiaTheme="minorEastAsia"/>
                <w:b w:val="0"/>
                <w:bCs/>
                <w:color w:val="auto"/>
                <w:sz w:val="24"/>
                <w:szCs w:val="24"/>
                <w:highlight w:val="none"/>
                <w:lang w:val="en-US" w:eastAsia="zh-CN"/>
              </w:rPr>
              <w:t>环境风险防控、</w:t>
            </w:r>
            <w:r>
              <w:rPr>
                <w:rFonts w:hint="eastAsia" w:eastAsiaTheme="minorEastAsia"/>
                <w:b w:val="0"/>
                <w:bCs/>
                <w:color w:val="auto"/>
                <w:sz w:val="24"/>
                <w:szCs w:val="24"/>
                <w:highlight w:val="none"/>
                <w:lang w:eastAsia="zh-CN"/>
              </w:rPr>
              <w:t>资源利用效率等</w:t>
            </w:r>
            <w:r>
              <w:rPr>
                <w:rFonts w:hint="eastAsia" w:eastAsiaTheme="minorEastAsia"/>
                <w:b w:val="0"/>
                <w:bCs/>
                <w:color w:val="auto"/>
                <w:sz w:val="24"/>
                <w:szCs w:val="24"/>
                <w:highlight w:val="none"/>
                <w:lang w:val="en-US" w:eastAsia="zh-CN"/>
              </w:rPr>
              <w:t>方面的</w:t>
            </w:r>
            <w:r>
              <w:rPr>
                <w:rFonts w:hint="eastAsia" w:eastAsiaTheme="minorEastAsia"/>
                <w:b w:val="0"/>
                <w:bCs/>
                <w:color w:val="auto"/>
                <w:sz w:val="24"/>
                <w:szCs w:val="24"/>
                <w:highlight w:val="none"/>
                <w:lang w:eastAsia="zh-CN"/>
              </w:rPr>
              <w:t>管控要求，因此，本项目的建设符合宝鸡市“三线一单”生态环境分区管控要求。</w:t>
            </w:r>
          </w:p>
          <w:p w14:paraId="7B2FD5E3">
            <w:pPr>
              <w:pStyle w:val="28"/>
              <w:keepNext/>
              <w:numPr>
                <w:ilvl w:val="0"/>
                <w:numId w:val="0"/>
              </w:numPr>
              <w:adjustRightInd w:val="0"/>
              <w:snapToGrid w:val="0"/>
              <w:spacing w:line="360" w:lineRule="auto"/>
              <w:ind w:firstLine="480" w:firstLineChars="200"/>
              <w:jc w:val="both"/>
              <w:rPr>
                <w:rFonts w:hint="default" w:eastAsiaTheme="minorEastAsia"/>
                <w:b w:val="0"/>
                <w:bCs/>
                <w:color w:val="auto"/>
                <w:sz w:val="24"/>
                <w:szCs w:val="24"/>
                <w:highlight w:val="none"/>
                <w:lang w:val="en-US" w:eastAsia="zh-CN"/>
              </w:rPr>
            </w:pPr>
            <w:r>
              <w:rPr>
                <w:rFonts w:hint="eastAsia" w:eastAsiaTheme="minorEastAsia"/>
                <w:b w:val="0"/>
                <w:bCs/>
                <w:color w:val="auto"/>
                <w:sz w:val="24"/>
                <w:szCs w:val="24"/>
                <w:highlight w:val="none"/>
                <w:lang w:val="en-US" w:eastAsia="zh-CN"/>
              </w:rPr>
              <w:t>本项目“三线一单”符合性分析见表1-3。</w:t>
            </w:r>
          </w:p>
          <w:p w14:paraId="102DCEF9">
            <w:pPr>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w:t>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val="en-US" w:eastAsia="zh-CN"/>
              </w:rPr>
              <w:t>项目</w:t>
            </w:r>
            <w:r>
              <w:rPr>
                <w:rFonts w:hint="eastAsia" w:ascii="宋体" w:hAnsi="宋体" w:eastAsia="宋体" w:cs="宋体"/>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三线一单</w:t>
            </w:r>
            <w:r>
              <w:rPr>
                <w:rFonts w:hint="eastAsia" w:ascii="宋体" w:hAnsi="宋体" w:eastAsia="宋体" w:cs="宋体"/>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符合性分析表</w:t>
            </w:r>
          </w:p>
          <w:tbl>
            <w:tblPr>
              <w:tblStyle w:val="20"/>
              <w:tblW w:w="698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5849"/>
            </w:tblGrid>
            <w:tr w14:paraId="60A43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33" w:type="dxa"/>
                  <w:tcBorders>
                    <w:tl2br w:val="nil"/>
                    <w:tr2bl w:val="nil"/>
                  </w:tcBorders>
                  <w:noWrap w:val="0"/>
                  <w:vAlign w:val="center"/>
                </w:tcPr>
                <w:p w14:paraId="016DADAD">
                  <w:pPr>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三线一单</w:t>
                  </w:r>
                </w:p>
              </w:tc>
              <w:tc>
                <w:tcPr>
                  <w:tcW w:w="5849" w:type="dxa"/>
                  <w:tcBorders>
                    <w:tl2br w:val="nil"/>
                    <w:tr2bl w:val="nil"/>
                  </w:tcBorders>
                  <w:noWrap w:val="0"/>
                  <w:vAlign w:val="center"/>
                </w:tcPr>
                <w:p w14:paraId="18BD14CF">
                  <w:pPr>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w:t>
                  </w:r>
                  <w:r>
                    <w:rPr>
                      <w:rFonts w:hint="eastAsia" w:cs="Times New Roman"/>
                      <w:b/>
                      <w:bCs/>
                      <w:color w:val="auto"/>
                      <w:sz w:val="21"/>
                      <w:szCs w:val="21"/>
                      <w:highlight w:val="none"/>
                      <w:lang w:val="en-US" w:eastAsia="zh-CN"/>
                    </w:rPr>
                    <w:t>分析</w:t>
                  </w:r>
                </w:p>
              </w:tc>
            </w:tr>
            <w:tr w14:paraId="4F233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33" w:type="dxa"/>
                  <w:tcBorders>
                    <w:tl2br w:val="nil"/>
                    <w:tr2bl w:val="nil"/>
                  </w:tcBorders>
                  <w:noWrap w:val="0"/>
                  <w:vAlign w:val="center"/>
                </w:tcPr>
                <w:p w14:paraId="697E793C">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生态保护红线</w:t>
                  </w:r>
                </w:p>
              </w:tc>
              <w:tc>
                <w:tcPr>
                  <w:tcW w:w="5849" w:type="dxa"/>
                  <w:tcBorders>
                    <w:tl2br w:val="nil"/>
                    <w:tr2bl w:val="nil"/>
                  </w:tcBorders>
                  <w:noWrap w:val="0"/>
                  <w:vAlign w:val="center"/>
                </w:tcPr>
                <w:p w14:paraId="74EC078F">
                  <w:pPr>
                    <w:adjustRightInd w:val="0"/>
                    <w:snapToGrid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rPr>
                    <w:t>本项目位于</w:t>
                  </w:r>
                  <w:r>
                    <w:rPr>
                      <w:rFonts w:hint="eastAsia" w:cs="Times New Roman"/>
                      <w:color w:val="auto"/>
                      <w:szCs w:val="21"/>
                      <w:highlight w:val="none"/>
                      <w:lang w:eastAsia="zh-CN"/>
                    </w:rPr>
                    <w:t>陕西省宝鸡市凤翔区田家庄镇河北村村北金隅冀东凤翔环保科技有限公司厂区内</w:t>
                  </w:r>
                  <w:r>
                    <w:rPr>
                      <w:rFonts w:hint="default" w:ascii="Times New Roman" w:hAnsi="Times New Roman" w:cs="Times New Roman"/>
                      <w:color w:val="auto"/>
                      <w:szCs w:val="21"/>
                      <w:highlight w:val="none"/>
                    </w:rPr>
                    <w:t>，</w:t>
                  </w:r>
                  <w:r>
                    <w:rPr>
                      <w:rFonts w:hint="eastAsia" w:ascii="Times New Roman" w:hAnsi="Times New Roman"/>
                      <w:color w:val="auto"/>
                      <w:sz w:val="21"/>
                      <w:szCs w:val="21"/>
                      <w:highlight w:val="none"/>
                      <w:lang w:eastAsia="zh-CN"/>
                    </w:rPr>
                    <w:t>根据</w:t>
                  </w:r>
                  <w:r>
                    <w:rPr>
                      <w:rFonts w:hint="default" w:ascii="Times New Roman" w:hAnsi="Times New Roman"/>
                      <w:color w:val="auto"/>
                      <w:sz w:val="21"/>
                      <w:szCs w:val="21"/>
                      <w:highlight w:val="none"/>
                      <w:lang w:val="en-US" w:eastAsia="zh-CN"/>
                    </w:rPr>
                    <w:t>《陕西省人民政府关于加快实施</w:t>
                  </w:r>
                  <w:r>
                    <w:rPr>
                      <w:rFonts w:hint="eastAsia" w:ascii="Times New Roman" w:hAnsi="Times New Roman"/>
                      <w:color w:val="auto"/>
                      <w:sz w:val="21"/>
                      <w:szCs w:val="21"/>
                      <w:highlight w:val="none"/>
                      <w:lang w:val="en-US" w:eastAsia="zh-CN"/>
                    </w:rPr>
                    <w:t>“</w:t>
                  </w:r>
                  <w:r>
                    <w:rPr>
                      <w:rFonts w:hint="default" w:ascii="Times New Roman" w:hAnsi="Times New Roman"/>
                      <w:color w:val="auto"/>
                      <w:sz w:val="21"/>
                      <w:szCs w:val="21"/>
                      <w:highlight w:val="none"/>
                      <w:lang w:val="en-US" w:eastAsia="zh-CN"/>
                    </w:rPr>
                    <w:t>三</w:t>
                  </w:r>
                  <w:r>
                    <w:rPr>
                      <w:rFonts w:hint="default" w:ascii="Times New Roman" w:hAnsi="Times New Roman"/>
                      <w:color w:val="auto"/>
                      <w:szCs w:val="21"/>
                      <w:highlight w:val="none"/>
                      <w:lang w:val="en-US" w:eastAsia="zh-CN"/>
                    </w:rPr>
                    <w:t>线一单</w:t>
                  </w:r>
                  <w:r>
                    <w:rPr>
                      <w:rFonts w:hint="eastAsia" w:ascii="Times New Roman" w:hAnsi="Times New Roman"/>
                      <w:color w:val="auto"/>
                      <w:szCs w:val="21"/>
                      <w:highlight w:val="none"/>
                      <w:lang w:val="en-US" w:eastAsia="zh-CN"/>
                    </w:rPr>
                    <w:t>”</w:t>
                  </w:r>
                  <w:r>
                    <w:rPr>
                      <w:rFonts w:hint="default" w:ascii="Times New Roman" w:hAnsi="Times New Roman"/>
                      <w:color w:val="auto"/>
                      <w:szCs w:val="21"/>
                      <w:highlight w:val="none"/>
                      <w:lang w:val="en-US" w:eastAsia="zh-CN"/>
                    </w:rPr>
                    <w:t>生态环境分区管控的意见》</w:t>
                  </w:r>
                  <w:r>
                    <w:rPr>
                      <w:rFonts w:hint="eastAsia" w:ascii="Times New Roman" w:hAnsi="Times New Roman"/>
                      <w:color w:val="auto"/>
                      <w:szCs w:val="21"/>
                      <w:highlight w:val="none"/>
                      <w:lang w:val="en-US" w:eastAsia="zh-CN"/>
                    </w:rPr>
                    <w:t>（陕政发〔2020〕11号）和《</w:t>
                  </w:r>
                  <w:r>
                    <w:rPr>
                      <w:rFonts w:hint="eastAsia"/>
                      <w:color w:val="auto"/>
                      <w:szCs w:val="21"/>
                      <w:highlight w:val="none"/>
                      <w:lang w:val="en-US" w:eastAsia="zh-CN"/>
                    </w:rPr>
                    <w:t>宝鸡市</w:t>
                  </w:r>
                  <w:r>
                    <w:rPr>
                      <w:rFonts w:hint="eastAsia" w:ascii="Times New Roman" w:hAnsi="Times New Roman"/>
                      <w:color w:val="auto"/>
                      <w:szCs w:val="21"/>
                      <w:highlight w:val="none"/>
                      <w:lang w:val="en-US" w:eastAsia="zh-CN"/>
                    </w:rPr>
                    <w:t>人民政府关于印发</w:t>
                  </w:r>
                  <w:r>
                    <w:rPr>
                      <w:rFonts w:hint="eastAsia" w:ascii="Times New Roman" w:hAnsi="Times New Roman"/>
                      <w:color w:val="auto"/>
                      <w:sz w:val="21"/>
                      <w:szCs w:val="21"/>
                      <w:highlight w:val="none"/>
                      <w:lang w:val="en-US" w:eastAsia="zh-CN"/>
                    </w:rPr>
                    <w:t>“</w:t>
                  </w:r>
                  <w:r>
                    <w:rPr>
                      <w:rFonts w:hint="default" w:ascii="Times New Roman" w:hAnsi="Times New Roman"/>
                      <w:color w:val="auto"/>
                      <w:sz w:val="21"/>
                      <w:szCs w:val="21"/>
                      <w:highlight w:val="none"/>
                      <w:lang w:val="en-US" w:eastAsia="zh-CN"/>
                    </w:rPr>
                    <w:t>三</w:t>
                  </w:r>
                  <w:r>
                    <w:rPr>
                      <w:rFonts w:hint="default" w:ascii="Times New Roman" w:hAnsi="Times New Roman"/>
                      <w:color w:val="auto"/>
                      <w:szCs w:val="21"/>
                      <w:highlight w:val="none"/>
                      <w:lang w:val="en-US" w:eastAsia="zh-CN"/>
                    </w:rPr>
                    <w:t>线一单</w:t>
                  </w:r>
                  <w:r>
                    <w:rPr>
                      <w:rFonts w:hint="eastAsia" w:ascii="Times New Roman" w:hAnsi="Times New Roman"/>
                      <w:color w:val="auto"/>
                      <w:szCs w:val="21"/>
                      <w:highlight w:val="none"/>
                      <w:lang w:val="en-US" w:eastAsia="zh-CN"/>
                    </w:rPr>
                    <w:t>”生态环境分区管控方案的通知》（市政发〔2021〕22号），项目属于重点管控单元</w:t>
                  </w:r>
                  <w:r>
                    <w:rPr>
                      <w:rFonts w:hint="eastAsia"/>
                      <w:color w:val="auto"/>
                      <w:szCs w:val="21"/>
                      <w:highlight w:val="none"/>
                      <w:lang w:val="en-US" w:eastAsia="zh-CN"/>
                    </w:rPr>
                    <w:t>和一般管控单元</w:t>
                  </w:r>
                  <w:r>
                    <w:rPr>
                      <w:rFonts w:hint="eastAsia" w:ascii="Times New Roman" w:hAnsi="Times New Roman"/>
                      <w:color w:val="auto"/>
                      <w:szCs w:val="21"/>
                      <w:highlight w:val="none"/>
                      <w:lang w:val="en-US" w:eastAsia="zh-CN"/>
                    </w:rPr>
                    <w:t>，不属于优先保护单元，故不涉及</w:t>
                  </w:r>
                  <w:r>
                    <w:rPr>
                      <w:rFonts w:hint="eastAsia" w:ascii="Times New Roman" w:hAnsi="Times New Roman"/>
                      <w:color w:val="auto"/>
                      <w:szCs w:val="21"/>
                      <w:highlight w:val="none"/>
                    </w:rPr>
                    <w:t>生态保护红线、自然保护地、集中式饮用水水源保护区等生态功能重要区、生态环境敏感区</w:t>
                  </w:r>
                  <w:r>
                    <w:rPr>
                      <w:rFonts w:hint="eastAsia" w:ascii="Times New Roman" w:hAnsi="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项目</w:t>
                  </w:r>
                  <w:r>
                    <w:rPr>
                      <w:rFonts w:ascii="Times New Roman" w:hAnsi="Times New Roman"/>
                      <w:color w:val="auto"/>
                      <w:szCs w:val="21"/>
                      <w:highlight w:val="none"/>
                    </w:rPr>
                    <w:t>不在</w:t>
                  </w:r>
                  <w:r>
                    <w:rPr>
                      <w:rFonts w:hint="eastAsia" w:ascii="Times New Roman" w:hAnsi="Times New Roman"/>
                      <w:color w:val="auto"/>
                      <w:szCs w:val="21"/>
                      <w:highlight w:val="none"/>
                      <w:lang w:eastAsia="zh-CN"/>
                    </w:rPr>
                    <w:t>陕西</w:t>
                  </w:r>
                  <w:r>
                    <w:rPr>
                      <w:rFonts w:ascii="Times New Roman" w:hAnsi="Times New Roman"/>
                      <w:color w:val="auto"/>
                      <w:szCs w:val="21"/>
                      <w:highlight w:val="none"/>
                    </w:rPr>
                    <w:t>省</w:t>
                  </w:r>
                  <w:r>
                    <w:rPr>
                      <w:rFonts w:hint="eastAsia" w:ascii="Times New Roman" w:hAnsi="Times New Roman"/>
                      <w:color w:val="auto"/>
                      <w:szCs w:val="21"/>
                      <w:highlight w:val="none"/>
                      <w:lang w:eastAsia="zh-CN"/>
                    </w:rPr>
                    <w:t>和</w:t>
                  </w:r>
                  <w:r>
                    <w:rPr>
                      <w:rFonts w:hint="eastAsia"/>
                      <w:color w:val="auto"/>
                      <w:szCs w:val="21"/>
                      <w:highlight w:val="none"/>
                      <w:lang w:val="en-US" w:eastAsia="zh-CN"/>
                    </w:rPr>
                    <w:t>宝鸡市</w:t>
                  </w:r>
                  <w:r>
                    <w:rPr>
                      <w:rFonts w:ascii="Times New Roman" w:hAnsi="Times New Roman"/>
                      <w:color w:val="auto"/>
                      <w:szCs w:val="21"/>
                      <w:highlight w:val="none"/>
                    </w:rPr>
                    <w:t>划定的生态红线内，因此本项目符合生态保护红线要求。</w:t>
                  </w:r>
                </w:p>
              </w:tc>
            </w:tr>
            <w:tr w14:paraId="76A5DF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33" w:type="dxa"/>
                  <w:tcBorders>
                    <w:tl2br w:val="nil"/>
                    <w:tr2bl w:val="nil"/>
                  </w:tcBorders>
                  <w:noWrap w:val="0"/>
                  <w:vAlign w:val="center"/>
                </w:tcPr>
                <w:p w14:paraId="314BDB40">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环境质量底线</w:t>
                  </w:r>
                </w:p>
              </w:tc>
              <w:tc>
                <w:tcPr>
                  <w:tcW w:w="5849" w:type="dxa"/>
                  <w:tcBorders>
                    <w:tl2br w:val="nil"/>
                    <w:tr2bl w:val="nil"/>
                  </w:tcBorders>
                  <w:noWrap w:val="0"/>
                  <w:vAlign w:val="center"/>
                </w:tcPr>
                <w:p w14:paraId="6D7C542F">
                  <w:pPr>
                    <w:adjustRightInd w:val="0"/>
                    <w:snapToGrid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是国家和地方设置的大气、水和土壤环境质量目标，也是改善环境质量的基准线。本项目</w:t>
                  </w:r>
                  <w:r>
                    <w:rPr>
                      <w:rFonts w:hint="eastAsia" w:cs="Times New Roman"/>
                      <w:color w:val="auto"/>
                      <w:highlight w:val="none"/>
                      <w:lang w:val="en-US" w:eastAsia="zh-CN"/>
                    </w:rPr>
                    <w:t>为绿色环保新型建材园</w:t>
                  </w:r>
                  <w:r>
                    <w:rPr>
                      <w:rFonts w:hint="eastAsia"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，依据相关法律法规，深入分析项目建设对环境质量的影响，强化了污染防治措施和污染物排放控制要求。</w:t>
                  </w:r>
                  <w:r>
                    <w:rPr>
                      <w:rFonts w:hint="default" w:ascii="Times New Roman" w:hAnsi="Times New Roman" w:eastAsia="宋体" w:cs="Times New Roman"/>
                      <w:color w:val="auto"/>
                      <w:sz w:val="21"/>
                      <w:szCs w:val="21"/>
                      <w:highlight w:val="none"/>
                      <w:shd w:val="clear" w:color="auto" w:fill="FFFFFF"/>
                    </w:rPr>
                    <w:t>本项目</w:t>
                  </w:r>
                  <w:r>
                    <w:rPr>
                      <w:rFonts w:hint="default" w:ascii="Times New Roman" w:hAnsi="Times New Roman" w:eastAsia="宋体" w:cs="Times New Roman"/>
                      <w:color w:val="auto"/>
                      <w:sz w:val="21"/>
                      <w:szCs w:val="21"/>
                      <w:highlight w:val="none"/>
                      <w:shd w:val="clear" w:color="auto" w:fill="FFFFFF"/>
                      <w:lang w:eastAsia="zh-CN"/>
                    </w:rPr>
                    <w:t>大气环境质量、水</w:t>
                  </w:r>
                  <w:r>
                    <w:rPr>
                      <w:rFonts w:hint="default" w:ascii="Times New Roman" w:hAnsi="Times New Roman" w:eastAsia="宋体" w:cs="Times New Roman"/>
                      <w:color w:val="auto"/>
                      <w:sz w:val="21"/>
                      <w:szCs w:val="21"/>
                      <w:highlight w:val="none"/>
                      <w:shd w:val="clear" w:color="auto" w:fill="FFFFFF"/>
                    </w:rPr>
                    <w:t>环境质量、声环境质量均能满足相应的标准要求，</w:t>
                  </w:r>
                  <w:r>
                    <w:rPr>
                      <w:rFonts w:hint="default" w:ascii="Times New Roman" w:hAnsi="Times New Roman" w:eastAsia="宋体" w:cs="Times New Roman"/>
                      <w:color w:val="auto"/>
                      <w:sz w:val="21"/>
                      <w:szCs w:val="21"/>
                      <w:highlight w:val="none"/>
                      <w:shd w:val="clear" w:color="auto" w:fill="FFFFFF"/>
                      <w:lang w:eastAsia="zh-CN"/>
                    </w:rPr>
                    <w:t>对周边</w:t>
                  </w:r>
                  <w:r>
                    <w:rPr>
                      <w:rFonts w:hint="default" w:ascii="Times New Roman" w:hAnsi="Times New Roman" w:cs="Times New Roman"/>
                      <w:color w:val="auto"/>
                      <w:highlight w:val="none"/>
                    </w:rPr>
                    <w:t>环境影响较小，不会降低环境质量等级</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符合</w:t>
                  </w:r>
                  <w:r>
                    <w:rPr>
                      <w:rFonts w:hint="default" w:ascii="Times New Roman" w:hAnsi="Times New Roman" w:cs="Times New Roman"/>
                      <w:color w:val="auto"/>
                      <w:highlight w:val="none"/>
                      <w:lang w:eastAsia="zh-CN"/>
                    </w:rPr>
                    <w:t>环境质量底线</w:t>
                  </w:r>
                  <w:r>
                    <w:rPr>
                      <w:rFonts w:hint="default" w:ascii="Times New Roman" w:hAnsi="Times New Roman" w:cs="Times New Roman"/>
                      <w:color w:val="auto"/>
                      <w:highlight w:val="none"/>
                    </w:rPr>
                    <w:t>要求。</w:t>
                  </w:r>
                </w:p>
              </w:tc>
            </w:tr>
            <w:tr w14:paraId="6BCA5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33" w:type="dxa"/>
                  <w:tcBorders>
                    <w:tl2br w:val="nil"/>
                    <w:tr2bl w:val="nil"/>
                  </w:tcBorders>
                  <w:noWrap w:val="0"/>
                  <w:vAlign w:val="center"/>
                </w:tcPr>
                <w:p w14:paraId="42B2E747">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资源利用上线</w:t>
                  </w:r>
                </w:p>
              </w:tc>
              <w:tc>
                <w:tcPr>
                  <w:tcW w:w="5849" w:type="dxa"/>
                  <w:tcBorders>
                    <w:tl2br w:val="nil"/>
                    <w:tr2bl w:val="nil"/>
                  </w:tcBorders>
                  <w:noWrap w:val="0"/>
                  <w:vAlign w:val="center"/>
                </w:tcPr>
                <w:p w14:paraId="4403D594">
                  <w:pPr>
                    <w:adjustRightInd w:val="0"/>
                    <w:snapToGrid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资源是环境的载体，资源利用上线是各地区能源、水、土地等资源消耗不得突破的</w:t>
                  </w:r>
                  <w:r>
                    <w:rPr>
                      <w:rFonts w:hint="eastAsia" w:ascii="宋体" w:hAnsi="宋体" w:eastAsia="宋体" w:cs="宋体"/>
                      <w:color w:val="auto"/>
                      <w:sz w:val="21"/>
                      <w:szCs w:val="21"/>
                      <w:highlight w:val="none"/>
                      <w:lang w:eastAsia="zh-CN"/>
                    </w:rPr>
                    <w:t>“</w:t>
                  </w:r>
                  <w:r>
                    <w:rPr>
                      <w:rFonts w:hint="default" w:ascii="Times New Roman" w:hAnsi="Times New Roman" w:eastAsia="宋体" w:cs="Times New Roman"/>
                      <w:color w:val="auto"/>
                      <w:sz w:val="21"/>
                      <w:szCs w:val="21"/>
                      <w:highlight w:val="none"/>
                    </w:rPr>
                    <w:t>天花板</w:t>
                  </w:r>
                  <w:r>
                    <w:rPr>
                      <w:rFonts w:hint="eastAsia" w:ascii="宋体" w:hAnsi="宋体" w:eastAsia="宋体" w:cs="宋体"/>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。本项目严守相关法律法规，依据相关资源利用上线进行区域开发</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kern w:val="24"/>
                      <w:highlight w:val="none"/>
                    </w:rPr>
                    <w:t>本项目</w:t>
                  </w:r>
                  <w:r>
                    <w:rPr>
                      <w:rFonts w:hint="default" w:ascii="Times New Roman" w:hAnsi="Times New Roman" w:cs="Times New Roman"/>
                      <w:color w:val="auto"/>
                      <w:kern w:val="24"/>
                      <w:highlight w:val="none"/>
                      <w:lang w:eastAsia="zh-CN"/>
                    </w:rPr>
                    <w:t>能源使用主要为电，属于清洁能源</w:t>
                  </w:r>
                  <w:r>
                    <w:rPr>
                      <w:rFonts w:hint="eastAsia" w:ascii="Times New Roman" w:hAnsi="Times New Roman" w:cs="Times New Roman"/>
                      <w:color w:val="auto"/>
                      <w:kern w:val="24"/>
                      <w:highlight w:val="none"/>
                      <w:lang w:eastAsia="zh-CN"/>
                    </w:rPr>
                    <w:t>；</w:t>
                  </w:r>
                  <w:r>
                    <w:rPr>
                      <w:rFonts w:hint="default" w:ascii="Times New Roman" w:hAnsi="Times New Roman" w:cs="Times New Roman"/>
                      <w:color w:val="auto"/>
                      <w:kern w:val="24"/>
                      <w:highlight w:val="none"/>
                      <w:lang w:eastAsia="zh-CN"/>
                    </w:rPr>
                    <w:t>本项目</w:t>
                  </w:r>
                  <w:r>
                    <w:rPr>
                      <w:rFonts w:hint="eastAsia" w:cs="Times New Roman"/>
                      <w:color w:val="auto"/>
                      <w:kern w:val="24"/>
                      <w:highlight w:val="none"/>
                      <w:lang w:val="en-US" w:eastAsia="zh-CN"/>
                    </w:rPr>
                    <w:t>精品湿砂生产用水和混凝土生产用水全部进入产品，无废水产生</w:t>
                  </w:r>
                  <w:r>
                    <w:rPr>
                      <w:rFonts w:hint="eastAsia" w:ascii="Times New Roman" w:hAnsi="Times New Roman" w:cs="Times New Roman"/>
                      <w:color w:val="auto"/>
                      <w:kern w:val="24"/>
                      <w:highlight w:val="none"/>
                      <w:lang w:eastAsia="zh-CN"/>
                    </w:rPr>
                    <w:t>；设备清洗废水经收集后，通过砂石分离设备配套的污水处理系统沉淀后回用于混凝土生产，不外排</w:t>
                  </w:r>
                  <w:r>
                    <w:rPr>
                      <w:rFonts w:hint="eastAsia" w:cs="Times New Roman"/>
                      <w:color w:val="auto"/>
                      <w:kern w:val="24"/>
                      <w:highlight w:val="none"/>
                      <w:lang w:eastAsia="zh-CN"/>
                    </w:rPr>
                    <w:t>；车辆冲洗废水经洗车平台沉淀池沉淀后回用于洗车，不外排。</w:t>
                  </w:r>
                  <w:r>
                    <w:rPr>
                      <w:rFonts w:hint="eastAsia" w:ascii="Times New Roman" w:hAnsi="Times New Roman" w:cs="Times New Roman"/>
                      <w:color w:val="auto"/>
                      <w:kern w:val="24"/>
                      <w:highlight w:val="none"/>
                      <w:lang w:val="en-US" w:eastAsia="zh-CN"/>
                    </w:rPr>
                    <w:t>项目</w:t>
                  </w:r>
                  <w:r>
                    <w:rPr>
                      <w:color w:val="auto"/>
                      <w:highlight w:val="none"/>
                    </w:rPr>
                    <w:t>用地规划用途为工业用地</w:t>
                  </w:r>
                  <w:r>
                    <w:rPr>
                      <w:rFonts w:hint="eastAsia"/>
                      <w:color w:val="auto"/>
                      <w:highlight w:val="none"/>
                      <w:lang w:eastAsia="zh-CN"/>
                    </w:rPr>
                    <w:t>。</w:t>
                  </w:r>
                  <w:r>
                    <w:rPr>
                      <w:rFonts w:hint="default" w:ascii="Times New Roman" w:hAnsi="Times New Roman" w:cs="Times New Roman"/>
                      <w:color w:val="auto"/>
                      <w:kern w:val="24"/>
                      <w:highlight w:val="none"/>
                      <w:lang w:eastAsia="zh-CN"/>
                    </w:rPr>
                    <w:t>项目在</w:t>
                  </w:r>
                  <w:r>
                    <w:rPr>
                      <w:rFonts w:hint="default" w:ascii="Times New Roman" w:hAnsi="Times New Roman" w:cs="Times New Roman"/>
                      <w:color w:val="auto"/>
                      <w:kern w:val="24"/>
                      <w:highlight w:val="none"/>
                    </w:rPr>
                    <w:t>运营过程</w:t>
                  </w:r>
                  <w:r>
                    <w:rPr>
                      <w:rFonts w:hint="default" w:ascii="Times New Roman" w:hAnsi="Times New Roman" w:cs="Times New Roman"/>
                      <w:color w:val="auto"/>
                      <w:kern w:val="24"/>
                      <w:highlight w:val="none"/>
                      <w:lang w:eastAsia="zh-CN"/>
                    </w:rPr>
                    <w:t>中</w:t>
                  </w:r>
                  <w:r>
                    <w:rPr>
                      <w:rFonts w:hint="default" w:ascii="Times New Roman" w:hAnsi="Times New Roman" w:cs="Times New Roman"/>
                      <w:color w:val="auto"/>
                      <w:kern w:val="24"/>
                      <w:highlight w:val="none"/>
                    </w:rPr>
                    <w:t>有效利用资源，满足《关于以改善环境质量为核心加强环境影响评价管理的通知》</w:t>
                  </w:r>
                  <w:r>
                    <w:rPr>
                      <w:rFonts w:hint="default" w:ascii="Times New Roman" w:hAnsi="Times New Roman" w:cs="Times New Roman"/>
                      <w:color w:val="auto"/>
                      <w:kern w:val="24"/>
                      <w:highlight w:val="none"/>
                      <w:lang w:eastAsia="zh-CN"/>
                    </w:rPr>
                    <w:t>（</w:t>
                  </w:r>
                  <w:r>
                    <w:rPr>
                      <w:rFonts w:hint="default" w:ascii="Times New Roman" w:hAnsi="Times New Roman" w:cs="Times New Roman"/>
                      <w:color w:val="auto"/>
                      <w:kern w:val="24"/>
                      <w:highlight w:val="none"/>
                    </w:rPr>
                    <w:t>环评〔2016〕150号</w:t>
                  </w:r>
                  <w:r>
                    <w:rPr>
                      <w:rFonts w:hint="default" w:ascii="Times New Roman" w:hAnsi="Times New Roman" w:cs="Times New Roman"/>
                      <w:color w:val="auto"/>
                      <w:kern w:val="24"/>
                      <w:highlight w:val="none"/>
                      <w:lang w:eastAsia="zh-CN"/>
                    </w:rPr>
                    <w:t>）</w:t>
                  </w:r>
                  <w:r>
                    <w:rPr>
                      <w:rFonts w:hint="default" w:ascii="Times New Roman" w:hAnsi="Times New Roman" w:cs="Times New Roman"/>
                      <w:color w:val="auto"/>
                      <w:kern w:val="24"/>
                      <w:highlight w:val="none"/>
                    </w:rPr>
                    <w:t>中对资源上限的要求。</w:t>
                  </w:r>
                </w:p>
              </w:tc>
            </w:tr>
            <w:tr w14:paraId="5371D5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33" w:type="dxa"/>
                  <w:tcBorders>
                    <w:tl2br w:val="nil"/>
                    <w:tr2bl w:val="nil"/>
                  </w:tcBorders>
                  <w:noWrap w:val="0"/>
                  <w:vAlign w:val="center"/>
                </w:tcPr>
                <w:p w14:paraId="2F281963">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环境准入负面清单</w:t>
                  </w:r>
                </w:p>
              </w:tc>
              <w:tc>
                <w:tcPr>
                  <w:tcW w:w="5849" w:type="dxa"/>
                  <w:tcBorders>
                    <w:tl2br w:val="nil"/>
                    <w:tr2bl w:val="nil"/>
                  </w:tcBorders>
                  <w:noWrap w:val="0"/>
                  <w:vAlign w:val="center"/>
                </w:tcPr>
                <w:p w14:paraId="35A6171A">
                  <w:pPr>
                    <w:keepNext w:val="0"/>
                    <w:keepLines w:val="0"/>
                    <w:widowControl/>
                    <w:suppressLineNumbers w:val="0"/>
                    <w:jc w:val="left"/>
                    <w:rPr>
                      <w:rFonts w:hint="default" w:ascii="Times New Roman" w:hAnsi="Times New Roman" w:cs="Times New Roman"/>
                      <w:color w:val="auto"/>
                      <w:highlight w:val="none"/>
                      <w:lang w:val="en-US" w:eastAsia="zh-CN"/>
                    </w:rPr>
                  </w:pPr>
                  <w:r>
                    <w:rPr>
                      <w:color w:val="auto"/>
                      <w:highlight w:val="none"/>
                    </w:rPr>
                    <w:t>本项目所在区域不属于《陕西省国家重点生态功能区产业准入负面清单（试行）》</w:t>
                  </w:r>
                  <w:r>
                    <w:rPr>
                      <w:rFonts w:hint="eastAsia"/>
                      <w:color w:val="auto"/>
                      <w:highlight w:val="none"/>
                      <w:lang w:eastAsia="zh-CN"/>
                    </w:rPr>
                    <w:t>（</w:t>
                  </w:r>
                  <w:r>
                    <w:rPr>
                      <w:rFonts w:hint="eastAsia"/>
                      <w:color w:val="auto"/>
                      <w:highlight w:val="none"/>
                    </w:rPr>
                    <w:t>陕发改规划〔2018〕213号</w:t>
                  </w:r>
                  <w:r>
                    <w:rPr>
                      <w:rFonts w:hint="eastAsia"/>
                      <w:color w:val="auto"/>
                      <w:highlight w:val="none"/>
                      <w:lang w:eastAsia="zh-CN"/>
                    </w:rPr>
                    <w:t>）规定的禁止开发区域和限制开发区域；</w:t>
                  </w:r>
                  <w:r>
                    <w:rPr>
                      <w:rFonts w:hint="eastAsia"/>
                      <w:color w:val="auto"/>
                      <w:highlight w:val="none"/>
                    </w:rPr>
                    <w:t>根据国家</w:t>
                  </w:r>
                  <w:r>
                    <w:rPr>
                      <w:rFonts w:hint="eastAsia"/>
                      <w:color w:val="auto"/>
                      <w:highlight w:val="none"/>
                      <w:lang w:eastAsia="zh-CN"/>
                    </w:rPr>
                    <w:t>发展和改革委员会令第</w:t>
                  </w:r>
                  <w:r>
                    <w:rPr>
                      <w:rFonts w:hint="eastAsia"/>
                      <w:color w:val="auto"/>
                      <w:highlight w:val="none"/>
                      <w:lang w:val="en-US" w:eastAsia="zh-CN"/>
                    </w:rPr>
                    <w:t>7号</w:t>
                  </w:r>
                  <w:r>
                    <w:rPr>
                      <w:rFonts w:hint="eastAsia"/>
                      <w:color w:val="auto"/>
                      <w:highlight w:val="none"/>
                    </w:rPr>
                    <w:t>《产业结构调整指导目录（20</w:t>
                  </w:r>
                  <w:r>
                    <w:rPr>
                      <w:rFonts w:hint="eastAsia"/>
                      <w:color w:val="auto"/>
                      <w:highlight w:val="none"/>
                      <w:lang w:val="en-US" w:eastAsia="zh-CN"/>
                    </w:rPr>
                    <w:t>24</w:t>
                  </w:r>
                  <w:r>
                    <w:rPr>
                      <w:rFonts w:hint="eastAsia"/>
                      <w:color w:val="auto"/>
                      <w:highlight w:val="none"/>
                    </w:rPr>
                    <w:t>年本）》，项目不属于鼓励类、限制类和淘汰类，属于允许类，符合国家产业政策</w:t>
                  </w:r>
                  <w:r>
                    <w:rPr>
                      <w:rFonts w:hint="eastAsia"/>
                      <w:color w:val="auto"/>
                      <w:highlight w:val="none"/>
                      <w:lang w:eastAsia="zh-CN"/>
                    </w:rPr>
                    <w:t>；</w:t>
                  </w:r>
                  <w:r>
                    <w:rPr>
                      <w:color w:val="auto"/>
                      <w:highlight w:val="none"/>
                    </w:rPr>
                    <w:t>根据《市场准入负面清单（202</w:t>
                  </w:r>
                  <w:r>
                    <w:rPr>
                      <w:rFonts w:hint="eastAsia"/>
                      <w:color w:val="auto"/>
                      <w:highlight w:val="none"/>
                      <w:lang w:val="en-US" w:eastAsia="zh-CN"/>
                    </w:rPr>
                    <w:t>2</w:t>
                  </w:r>
                  <w:r>
                    <w:rPr>
                      <w:color w:val="auto"/>
                      <w:highlight w:val="none"/>
                    </w:rPr>
                    <w:t>年版）》</w:t>
                  </w:r>
                  <w:r>
                    <w:rPr>
                      <w:rFonts w:hint="eastAsia"/>
                      <w:color w:val="auto"/>
                      <w:highlight w:val="none"/>
                    </w:rPr>
                    <w:t>（发改体改规〔2022〕397号）</w:t>
                  </w:r>
                  <w:r>
                    <w:rPr>
                      <w:color w:val="auto"/>
                      <w:highlight w:val="none"/>
                    </w:rPr>
                    <w:t>，本项目不属于清单内禁止准入类项目，可依法平等准入，符合政策要求</w:t>
                  </w:r>
                  <w:r>
                    <w:rPr>
                      <w:rFonts w:hint="eastAsia"/>
                      <w:color w:val="auto"/>
                      <w:highlight w:val="none"/>
                      <w:lang w:eastAsia="zh-CN"/>
                    </w:rPr>
                    <w:t>。</w:t>
                  </w:r>
                </w:p>
              </w:tc>
            </w:tr>
          </w:tbl>
          <w:p w14:paraId="26B4E557">
            <w:pPr>
              <w:widowControl/>
              <w:spacing w:line="360" w:lineRule="auto"/>
              <w:jc w:val="left"/>
              <w:rPr>
                <w:rFonts w:eastAsiaTheme="minorEastAsia"/>
                <w:b/>
                <w:bCs/>
                <w:color w:val="auto"/>
                <w:kern w:val="0"/>
                <w:sz w:val="24"/>
                <w:highlight w:val="none"/>
              </w:rPr>
            </w:pPr>
            <w:r>
              <w:rPr>
                <w:rFonts w:hint="eastAsia" w:eastAsiaTheme="minorEastAsia"/>
                <w:b/>
                <w:bCs/>
                <w:color w:val="auto"/>
                <w:kern w:val="0"/>
                <w:sz w:val="24"/>
                <w:highlight w:val="none"/>
                <w:lang w:val="en-US" w:eastAsia="zh-CN"/>
              </w:rPr>
              <w:t>2.</w:t>
            </w:r>
            <w:r>
              <w:rPr>
                <w:rFonts w:hint="default" w:ascii="Times New Roman" w:hAnsi="Times New Roman" w:cs="Times New Roman"/>
                <w:b/>
                <w:bCs/>
                <w:color w:val="auto"/>
                <w:sz w:val="24"/>
                <w:szCs w:val="24"/>
                <w:highlight w:val="none"/>
                <w:lang w:val="en-US" w:eastAsia="zh-CN"/>
              </w:rPr>
              <w:t>项目与相关生态环境保护法律法规政策</w:t>
            </w:r>
            <w:r>
              <w:rPr>
                <w:rFonts w:hint="default" w:ascii="Times New Roman" w:hAnsi="Times New Roman" w:cs="Times New Roman"/>
                <w:b/>
                <w:bCs/>
                <w:color w:val="auto"/>
                <w:sz w:val="24"/>
                <w:szCs w:val="24"/>
                <w:highlight w:val="none"/>
              </w:rPr>
              <w:t>符合性分析</w:t>
            </w:r>
          </w:p>
          <w:p w14:paraId="66ECC4D9">
            <w:pPr>
              <w:spacing w:line="360" w:lineRule="auto"/>
              <w:ind w:firstLine="480" w:firstLineChars="200"/>
              <w:rPr>
                <w:rFonts w:eastAsiaTheme="minorEastAsia"/>
                <w:color w:val="auto"/>
                <w:sz w:val="24"/>
                <w:highlight w:val="none"/>
              </w:rPr>
            </w:pPr>
            <w:r>
              <w:rPr>
                <w:rFonts w:hint="default" w:ascii="Times New Roman" w:hAnsi="Times New Roman" w:cs="Times New Roman"/>
                <w:bCs/>
                <w:color w:val="auto"/>
                <w:sz w:val="24"/>
                <w:szCs w:val="24"/>
                <w:highlight w:val="none"/>
              </w:rPr>
              <w:t>依据项目污染特征，</w:t>
            </w:r>
            <w:r>
              <w:rPr>
                <w:rFonts w:hint="default" w:ascii="Times New Roman" w:hAnsi="Times New Roman" w:cs="Times New Roman"/>
                <w:bCs/>
                <w:color w:val="auto"/>
                <w:sz w:val="24"/>
                <w:szCs w:val="24"/>
                <w:highlight w:val="none"/>
                <w:lang w:eastAsia="zh-CN"/>
              </w:rPr>
              <w:t>本项目与相关生态环境保护法律法规政策</w:t>
            </w:r>
            <w:r>
              <w:rPr>
                <w:rFonts w:hint="default" w:ascii="Times New Roman" w:hAnsi="Times New Roman" w:cs="Times New Roman"/>
                <w:bCs/>
                <w:color w:val="auto"/>
                <w:sz w:val="24"/>
                <w:szCs w:val="24"/>
                <w:highlight w:val="none"/>
              </w:rPr>
              <w:t>符合性分析</w:t>
            </w:r>
            <w:r>
              <w:rPr>
                <w:rFonts w:hint="default" w:ascii="Times New Roman" w:hAnsi="Times New Roman" w:cs="Times New Roman"/>
                <w:bCs/>
                <w:color w:val="auto"/>
                <w:sz w:val="24"/>
                <w:szCs w:val="24"/>
                <w:highlight w:val="none"/>
                <w:lang w:eastAsia="zh-CN"/>
              </w:rPr>
              <w:t>见</w:t>
            </w:r>
            <w:r>
              <w:rPr>
                <w:rFonts w:hint="default" w:ascii="Times New Roman" w:hAnsi="Times New Roman" w:cs="Times New Roman"/>
                <w:bCs/>
                <w:color w:val="auto"/>
                <w:sz w:val="24"/>
                <w:szCs w:val="24"/>
                <w:highlight w:val="none"/>
              </w:rPr>
              <w:t>表</w:t>
            </w:r>
            <w:r>
              <w:rPr>
                <w:rFonts w:hint="default" w:ascii="Times New Roman" w:hAnsi="Times New Roman" w:eastAsia="宋体" w:cs="Times New Roman"/>
                <w:bCs/>
                <w:color w:val="auto"/>
                <w:sz w:val="24"/>
                <w:szCs w:val="24"/>
                <w:highlight w:val="none"/>
                <w:lang w:val="en-US" w:eastAsia="zh-CN"/>
              </w:rPr>
              <w:t>1-</w:t>
            </w:r>
            <w:r>
              <w:rPr>
                <w:rFonts w:hint="eastAsia" w:cs="Times New Roman"/>
                <w:bCs/>
                <w:color w:val="auto"/>
                <w:sz w:val="24"/>
                <w:szCs w:val="24"/>
                <w:highlight w:val="none"/>
                <w:lang w:val="en-US" w:eastAsia="zh-CN"/>
              </w:rPr>
              <w:t>4</w:t>
            </w:r>
            <w:r>
              <w:rPr>
                <w:rFonts w:hint="eastAsia" w:ascii="Times New Roman" w:hAnsi="Times New Roman" w:eastAsia="宋体" w:cs="Times New Roman"/>
                <w:bCs/>
                <w:color w:val="auto"/>
                <w:sz w:val="24"/>
                <w:szCs w:val="24"/>
                <w:highlight w:val="none"/>
                <w:lang w:val="en-US" w:eastAsia="zh-CN"/>
              </w:rPr>
              <w:t>。</w:t>
            </w:r>
          </w:p>
          <w:p w14:paraId="4D5B6FAD">
            <w:pPr>
              <w:snapToGrid w:val="0"/>
              <w:jc w:val="center"/>
              <w:rPr>
                <w:rFonts w:eastAsiaTheme="minorEastAsia"/>
                <w:b/>
                <w:color w:val="auto"/>
                <w:szCs w:val="21"/>
                <w:highlight w:val="none"/>
              </w:rPr>
            </w:pPr>
            <w:r>
              <w:rPr>
                <w:rFonts w:eastAsiaTheme="minorEastAsia"/>
                <w:b/>
                <w:color w:val="auto"/>
                <w:szCs w:val="21"/>
                <w:highlight w:val="none"/>
              </w:rPr>
              <w:t>表1-</w:t>
            </w:r>
            <w:r>
              <w:rPr>
                <w:rFonts w:hint="eastAsia" w:eastAsiaTheme="minorEastAsia"/>
                <w:b/>
                <w:color w:val="auto"/>
                <w:szCs w:val="21"/>
                <w:highlight w:val="none"/>
                <w:lang w:val="en-US" w:eastAsia="zh-CN"/>
              </w:rPr>
              <w:t>4</w:t>
            </w:r>
            <w:r>
              <w:rPr>
                <w:rFonts w:eastAsiaTheme="minorEastAsia"/>
                <w:b/>
                <w:color w:val="auto"/>
                <w:szCs w:val="21"/>
                <w:highlight w:val="none"/>
              </w:rPr>
              <w:t xml:space="preserve">  </w:t>
            </w:r>
            <w:r>
              <w:rPr>
                <w:rFonts w:hint="default" w:ascii="Times New Roman" w:hAnsi="Times New Roman" w:eastAsia="宋体" w:cs="Times New Roman"/>
                <w:b/>
                <w:bCs/>
                <w:color w:val="auto"/>
                <w:sz w:val="21"/>
                <w:szCs w:val="21"/>
                <w:highlight w:val="none"/>
              </w:rPr>
              <w:t>项目</w:t>
            </w:r>
            <w:r>
              <w:rPr>
                <w:rFonts w:hint="eastAsia" w:ascii="Times New Roman" w:hAnsi="Times New Roman" w:eastAsia="宋体" w:cs="Times New Roman"/>
                <w:b/>
                <w:bCs/>
                <w:color w:val="auto"/>
                <w:sz w:val="21"/>
                <w:szCs w:val="21"/>
                <w:highlight w:val="none"/>
                <w:lang w:val="en-US" w:eastAsia="zh-CN"/>
              </w:rPr>
              <w:t>与相关生态环境保护法律法规政策符合性</w:t>
            </w:r>
            <w:r>
              <w:rPr>
                <w:rFonts w:hint="default" w:ascii="Times New Roman" w:hAnsi="Times New Roman" w:eastAsia="宋体" w:cs="Times New Roman"/>
                <w:b/>
                <w:bCs/>
                <w:color w:val="auto"/>
                <w:sz w:val="21"/>
                <w:szCs w:val="21"/>
                <w:highlight w:val="none"/>
              </w:rPr>
              <w:t>分析</w:t>
            </w:r>
            <w:r>
              <w:rPr>
                <w:rFonts w:hint="eastAsia" w:ascii="Times New Roman" w:hAnsi="Times New Roman" w:eastAsia="宋体" w:cs="Times New Roman"/>
                <w:b/>
                <w:bCs/>
                <w:color w:val="auto"/>
                <w:sz w:val="21"/>
                <w:szCs w:val="21"/>
                <w:highlight w:val="none"/>
                <w:lang w:val="en-US" w:eastAsia="zh-CN"/>
              </w:rPr>
              <w:t>表</w:t>
            </w:r>
          </w:p>
          <w:tbl>
            <w:tblPr>
              <w:tblStyle w:val="19"/>
              <w:tblW w:w="70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3250"/>
              <w:gridCol w:w="1930"/>
              <w:gridCol w:w="714"/>
            </w:tblGrid>
            <w:tr w14:paraId="405D9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tcBorders>
                    <w:tl2br w:val="nil"/>
                    <w:tr2bl w:val="nil"/>
                  </w:tcBorders>
                  <w:noWrap/>
                  <w:vAlign w:val="center"/>
                </w:tcPr>
                <w:p w14:paraId="38F296BE">
                  <w:pPr>
                    <w:jc w:val="center"/>
                    <w:rPr>
                      <w:rFonts w:hint="default" w:eastAsiaTheme="minorEastAsia"/>
                      <w:b/>
                      <w:bCs/>
                      <w:color w:val="auto"/>
                      <w:szCs w:val="21"/>
                      <w:highlight w:val="none"/>
                      <w:lang w:val="en-US" w:eastAsia="zh-CN"/>
                    </w:rPr>
                  </w:pPr>
                  <w:r>
                    <w:rPr>
                      <w:rFonts w:hint="eastAsia" w:eastAsiaTheme="minorEastAsia"/>
                      <w:b/>
                      <w:bCs/>
                      <w:color w:val="auto"/>
                      <w:szCs w:val="21"/>
                      <w:highlight w:val="none"/>
                      <w:lang w:val="en-US" w:eastAsia="zh-CN"/>
                    </w:rPr>
                    <w:t>文件名称</w:t>
                  </w:r>
                </w:p>
              </w:tc>
              <w:tc>
                <w:tcPr>
                  <w:tcW w:w="2315" w:type="pct"/>
                  <w:tcBorders>
                    <w:tl2br w:val="nil"/>
                    <w:tr2bl w:val="nil"/>
                  </w:tcBorders>
                  <w:noWrap/>
                  <w:vAlign w:val="center"/>
                </w:tcPr>
                <w:p w14:paraId="223EFE45">
                  <w:pPr>
                    <w:jc w:val="center"/>
                    <w:rPr>
                      <w:rFonts w:hint="default" w:eastAsiaTheme="minorEastAsia"/>
                      <w:b/>
                      <w:bCs/>
                      <w:color w:val="auto"/>
                      <w:szCs w:val="21"/>
                      <w:highlight w:val="none"/>
                      <w:lang w:val="en-US" w:eastAsia="zh-CN"/>
                    </w:rPr>
                  </w:pPr>
                  <w:r>
                    <w:rPr>
                      <w:rFonts w:hint="eastAsia" w:eastAsiaTheme="minorEastAsia"/>
                      <w:b/>
                      <w:bCs/>
                      <w:color w:val="auto"/>
                      <w:szCs w:val="21"/>
                      <w:highlight w:val="none"/>
                      <w:lang w:val="en-US" w:eastAsia="zh-CN"/>
                    </w:rPr>
                    <w:t>文件内容</w:t>
                  </w:r>
                </w:p>
              </w:tc>
              <w:tc>
                <w:tcPr>
                  <w:tcW w:w="1375" w:type="pct"/>
                  <w:tcBorders>
                    <w:tl2br w:val="nil"/>
                    <w:tr2bl w:val="nil"/>
                  </w:tcBorders>
                  <w:noWrap/>
                  <w:vAlign w:val="center"/>
                </w:tcPr>
                <w:p w14:paraId="55B2AAA4">
                  <w:pPr>
                    <w:jc w:val="center"/>
                    <w:rPr>
                      <w:rFonts w:hint="default" w:eastAsiaTheme="minorEastAsia"/>
                      <w:b/>
                      <w:bCs/>
                      <w:color w:val="auto"/>
                      <w:szCs w:val="21"/>
                      <w:highlight w:val="none"/>
                      <w:lang w:val="en-US" w:eastAsia="zh-CN"/>
                    </w:rPr>
                  </w:pPr>
                  <w:r>
                    <w:rPr>
                      <w:rFonts w:hint="eastAsia" w:eastAsiaTheme="minorEastAsia"/>
                      <w:b/>
                      <w:bCs/>
                      <w:color w:val="auto"/>
                      <w:szCs w:val="21"/>
                      <w:highlight w:val="none"/>
                      <w:lang w:val="en-US" w:eastAsia="zh-CN"/>
                    </w:rPr>
                    <w:t>项目情况</w:t>
                  </w:r>
                </w:p>
              </w:tc>
              <w:tc>
                <w:tcPr>
                  <w:tcW w:w="509" w:type="pct"/>
                  <w:tcBorders>
                    <w:tl2br w:val="nil"/>
                    <w:tr2bl w:val="nil"/>
                  </w:tcBorders>
                  <w:noWrap/>
                  <w:vAlign w:val="center"/>
                </w:tcPr>
                <w:p w14:paraId="0D2BF077">
                  <w:pPr>
                    <w:jc w:val="center"/>
                    <w:rPr>
                      <w:rFonts w:eastAsiaTheme="minorEastAsia"/>
                      <w:b/>
                      <w:bCs/>
                      <w:color w:val="auto"/>
                      <w:szCs w:val="21"/>
                      <w:highlight w:val="none"/>
                    </w:rPr>
                  </w:pPr>
                  <w:r>
                    <w:rPr>
                      <w:rFonts w:eastAsiaTheme="minorEastAsia"/>
                      <w:b/>
                      <w:bCs/>
                      <w:color w:val="auto"/>
                      <w:szCs w:val="21"/>
                      <w:highlight w:val="none"/>
                    </w:rPr>
                    <w:t>符合性</w:t>
                  </w:r>
                </w:p>
              </w:tc>
            </w:tr>
            <w:tr w14:paraId="5DD27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restart"/>
                  <w:tcBorders>
                    <w:tl2br w:val="nil"/>
                    <w:tr2bl w:val="nil"/>
                  </w:tcBorders>
                  <w:noWrap/>
                  <w:vAlign w:val="center"/>
                </w:tcPr>
                <w:p w14:paraId="40451C41">
                  <w:pPr>
                    <w:jc w:val="center"/>
                    <w:rPr>
                      <w:rFonts w:hint="eastAsia" w:eastAsiaTheme="minorEastAsia"/>
                      <w:b w:val="0"/>
                      <w:bCs w:val="0"/>
                      <w:color w:val="auto"/>
                      <w:szCs w:val="21"/>
                      <w:highlight w:val="none"/>
                      <w:lang w:val="en-US" w:eastAsia="zh-CN"/>
                    </w:rPr>
                  </w:pPr>
                  <w:r>
                    <w:rPr>
                      <w:rFonts w:hint="eastAsia" w:eastAsiaTheme="minorEastAsia"/>
                      <w:b w:val="0"/>
                      <w:bCs w:val="0"/>
                      <w:color w:val="auto"/>
                      <w:szCs w:val="21"/>
                      <w:highlight w:val="none"/>
                      <w:lang w:val="en-US" w:eastAsia="zh-CN"/>
                    </w:rPr>
                    <w:t>《陕西省生态环境厅关于进一步加强关中地区涉气重点行业项目环评管理的通知》</w:t>
                  </w:r>
                  <w:r>
                    <w:rPr>
                      <w:rFonts w:eastAsiaTheme="minorEastAsia"/>
                      <w:color w:val="auto"/>
                      <w:szCs w:val="21"/>
                      <w:highlight w:val="none"/>
                    </w:rPr>
                    <w:t>（</w:t>
                  </w:r>
                  <w:r>
                    <w:rPr>
                      <w:rFonts w:hint="eastAsia" w:eastAsiaTheme="minorEastAsia"/>
                      <w:color w:val="auto"/>
                      <w:szCs w:val="21"/>
                      <w:highlight w:val="none"/>
                      <w:lang w:val="en-US" w:eastAsia="zh-CN"/>
                    </w:rPr>
                    <w:t>陕环环评函</w:t>
                  </w:r>
                  <w:r>
                    <w:rPr>
                      <w:rFonts w:hint="eastAsia" w:eastAsiaTheme="minorEastAsia"/>
                      <w:color w:val="auto"/>
                      <w:szCs w:val="21"/>
                      <w:highlight w:val="none"/>
                    </w:rPr>
                    <w:t>〔20</w:t>
                  </w:r>
                  <w:r>
                    <w:rPr>
                      <w:rFonts w:hint="eastAsia" w:eastAsiaTheme="minorEastAsia"/>
                      <w:color w:val="auto"/>
                      <w:szCs w:val="21"/>
                      <w:highlight w:val="none"/>
                      <w:lang w:val="en-US" w:eastAsia="zh-CN"/>
                    </w:rPr>
                    <w:t>23</w:t>
                  </w:r>
                  <w:r>
                    <w:rPr>
                      <w:rFonts w:hint="eastAsia" w:eastAsiaTheme="minorEastAsia"/>
                      <w:color w:val="auto"/>
                      <w:szCs w:val="21"/>
                      <w:highlight w:val="none"/>
                    </w:rPr>
                    <w:t>〕</w:t>
                  </w:r>
                  <w:r>
                    <w:rPr>
                      <w:rFonts w:hint="eastAsia" w:eastAsiaTheme="minorEastAsia"/>
                      <w:color w:val="auto"/>
                      <w:szCs w:val="21"/>
                      <w:highlight w:val="none"/>
                      <w:lang w:val="en-US" w:eastAsia="zh-CN"/>
                    </w:rPr>
                    <w:t>76</w:t>
                  </w:r>
                  <w:r>
                    <w:rPr>
                      <w:rFonts w:eastAsiaTheme="minorEastAsia"/>
                      <w:color w:val="auto"/>
                      <w:szCs w:val="21"/>
                      <w:highlight w:val="none"/>
                    </w:rPr>
                    <w:t>号）</w:t>
                  </w:r>
                </w:p>
              </w:tc>
              <w:tc>
                <w:tcPr>
                  <w:tcW w:w="2315" w:type="pct"/>
                  <w:tcBorders>
                    <w:tl2br w:val="nil"/>
                    <w:tr2bl w:val="nil"/>
                  </w:tcBorders>
                  <w:noWrap/>
                  <w:vAlign w:val="center"/>
                </w:tcPr>
                <w:p w14:paraId="51D3F9ED">
                  <w:pPr>
                    <w:jc w:val="left"/>
                    <w:rPr>
                      <w:rFonts w:hint="eastAsia" w:eastAsiaTheme="minorEastAsia"/>
                      <w:b w:val="0"/>
                      <w:bCs w:val="0"/>
                      <w:color w:val="auto"/>
                      <w:szCs w:val="21"/>
                      <w:highlight w:val="none"/>
                      <w:lang w:val="en-US" w:eastAsia="zh-CN"/>
                    </w:rPr>
                  </w:pPr>
                  <w:r>
                    <w:rPr>
                      <w:rFonts w:hint="eastAsia" w:eastAsiaTheme="minorEastAsia"/>
                      <w:b w:val="0"/>
                      <w:bCs w:val="0"/>
                      <w:color w:val="auto"/>
                      <w:szCs w:val="21"/>
                      <w:highlight w:val="none"/>
                      <w:lang w:val="en-US" w:eastAsia="zh-CN"/>
                    </w:rPr>
                    <w:t>一、关中地区涉气重点行业项目范围为生态环境部确定的39个重点行业的新改扩建项目，涉及关中各市（区）辖区及开发区范围内的应达到环保绩效A级、绩效引领性水平要求。</w:t>
                  </w:r>
                </w:p>
              </w:tc>
              <w:tc>
                <w:tcPr>
                  <w:tcW w:w="1375" w:type="pct"/>
                  <w:tcBorders>
                    <w:tl2br w:val="nil"/>
                    <w:tr2bl w:val="nil"/>
                  </w:tcBorders>
                  <w:noWrap/>
                  <w:vAlign w:val="center"/>
                </w:tcPr>
                <w:p w14:paraId="5E1A50A8">
                  <w:pPr>
                    <w:jc w:val="left"/>
                    <w:rPr>
                      <w:rFonts w:hint="eastAsia" w:eastAsiaTheme="minorEastAsia"/>
                      <w:b w:val="0"/>
                      <w:bCs w:val="0"/>
                      <w:color w:val="auto"/>
                      <w:szCs w:val="21"/>
                      <w:highlight w:val="none"/>
                      <w:lang w:val="en-US" w:eastAsia="zh-CN"/>
                    </w:rPr>
                  </w:pPr>
                  <w:r>
                    <w:rPr>
                      <w:rFonts w:hint="eastAsia" w:cs="Times New Roman"/>
                      <w:color w:val="auto"/>
                      <w:sz w:val="21"/>
                      <w:szCs w:val="21"/>
                      <w:highlight w:val="none"/>
                      <w:lang w:val="en-US" w:eastAsia="zh-CN"/>
                    </w:rPr>
                    <w:t>本项目干混砂浆生产线使用原料为水泥，机制砂，不属于涉气重点行业中的水泥制品，</w:t>
                  </w:r>
                  <w:r>
                    <w:rPr>
                      <w:rFonts w:hint="eastAsia" w:ascii="Times New Roman" w:hAnsi="Times New Roman" w:cs="Times New Roman"/>
                      <w:color w:val="auto"/>
                      <w:sz w:val="21"/>
                      <w:szCs w:val="21"/>
                      <w:highlight w:val="none"/>
                      <w:vertAlign w:val="baseline"/>
                      <w:lang w:val="en-US" w:eastAsia="zh-CN"/>
                    </w:rPr>
                    <w:t>企业于2023年已获得水泥熟料行业环保绩效A级企业。</w:t>
                  </w:r>
                </w:p>
              </w:tc>
              <w:tc>
                <w:tcPr>
                  <w:tcW w:w="509" w:type="pct"/>
                  <w:tcBorders>
                    <w:tl2br w:val="nil"/>
                    <w:tr2bl w:val="nil"/>
                  </w:tcBorders>
                  <w:noWrap/>
                  <w:vAlign w:val="center"/>
                </w:tcPr>
                <w:p w14:paraId="55FE260B">
                  <w:pPr>
                    <w:jc w:val="center"/>
                    <w:rPr>
                      <w:rFonts w:hint="eastAsia" w:eastAsiaTheme="minorEastAsia"/>
                      <w:b w:val="0"/>
                      <w:bCs w:val="0"/>
                      <w:color w:val="auto"/>
                      <w:szCs w:val="21"/>
                      <w:highlight w:val="none"/>
                      <w:lang w:val="en-US" w:eastAsia="zh-CN"/>
                    </w:rPr>
                  </w:pPr>
                  <w:r>
                    <w:rPr>
                      <w:rFonts w:hint="eastAsia" w:eastAsiaTheme="minorEastAsia"/>
                      <w:b w:val="0"/>
                      <w:bCs w:val="0"/>
                      <w:color w:val="auto"/>
                      <w:szCs w:val="21"/>
                      <w:highlight w:val="none"/>
                      <w:lang w:val="en-US" w:eastAsia="zh-CN"/>
                    </w:rPr>
                    <w:t>符合</w:t>
                  </w:r>
                </w:p>
              </w:tc>
            </w:tr>
            <w:tr w14:paraId="3DE275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continue"/>
                  <w:tcBorders>
                    <w:tl2br w:val="nil"/>
                    <w:tr2bl w:val="nil"/>
                  </w:tcBorders>
                  <w:noWrap/>
                  <w:vAlign w:val="center"/>
                </w:tcPr>
                <w:p w14:paraId="568F3343">
                  <w:pPr>
                    <w:jc w:val="center"/>
                    <w:rPr>
                      <w:rFonts w:hint="eastAsia" w:eastAsiaTheme="minorEastAsia"/>
                      <w:b w:val="0"/>
                      <w:bCs w:val="0"/>
                      <w:color w:val="auto"/>
                      <w:szCs w:val="21"/>
                      <w:highlight w:val="none"/>
                      <w:lang w:val="en-US" w:eastAsia="zh-CN"/>
                    </w:rPr>
                  </w:pPr>
                </w:p>
              </w:tc>
              <w:tc>
                <w:tcPr>
                  <w:tcW w:w="2315" w:type="pct"/>
                  <w:tcBorders>
                    <w:tl2br w:val="nil"/>
                    <w:tr2bl w:val="nil"/>
                  </w:tcBorders>
                  <w:noWrap/>
                  <w:vAlign w:val="center"/>
                </w:tcPr>
                <w:p w14:paraId="5869FCDB">
                  <w:pPr>
                    <w:jc w:val="left"/>
                    <w:rPr>
                      <w:rFonts w:hint="eastAsia" w:eastAsiaTheme="minorEastAsia"/>
                      <w:b w:val="0"/>
                      <w:bCs w:val="0"/>
                      <w:color w:val="auto"/>
                      <w:szCs w:val="21"/>
                      <w:highlight w:val="none"/>
                      <w:lang w:val="en-US" w:eastAsia="zh-CN"/>
                    </w:rPr>
                  </w:pPr>
                  <w:r>
                    <w:rPr>
                      <w:rFonts w:hint="eastAsia" w:eastAsiaTheme="minorEastAsia"/>
                      <w:b w:val="0"/>
                      <w:bCs w:val="0"/>
                      <w:color w:val="auto"/>
                      <w:szCs w:val="21"/>
                      <w:highlight w:val="none"/>
                      <w:lang w:val="en-US" w:eastAsia="zh-CN"/>
                    </w:rPr>
                    <w:t>二、关中地区涉气重点行业新、改、扩建项目环境影响报告书（表）应编制环保绩效管理篇章，按照环办大气函</w:t>
                  </w:r>
                  <w:r>
                    <w:rPr>
                      <w:rFonts w:hint="eastAsia" w:eastAsiaTheme="minorEastAsia"/>
                      <w:color w:val="auto"/>
                      <w:szCs w:val="21"/>
                      <w:highlight w:val="none"/>
                    </w:rPr>
                    <w:t>〔20</w:t>
                  </w:r>
                  <w:r>
                    <w:rPr>
                      <w:rFonts w:hint="eastAsia" w:eastAsiaTheme="minorEastAsia"/>
                      <w:color w:val="auto"/>
                      <w:szCs w:val="21"/>
                      <w:highlight w:val="none"/>
                      <w:lang w:val="en-US" w:eastAsia="zh-CN"/>
                    </w:rPr>
                    <w:t>20</w:t>
                  </w:r>
                  <w:r>
                    <w:rPr>
                      <w:rFonts w:hint="eastAsia" w:eastAsiaTheme="minorEastAsia"/>
                      <w:color w:val="auto"/>
                      <w:szCs w:val="21"/>
                      <w:highlight w:val="none"/>
                    </w:rPr>
                    <w:t>〕</w:t>
                  </w:r>
                  <w:r>
                    <w:rPr>
                      <w:rFonts w:hint="eastAsia" w:eastAsiaTheme="minorEastAsia"/>
                      <w:b w:val="0"/>
                      <w:bCs w:val="0"/>
                      <w:color w:val="auto"/>
                      <w:szCs w:val="21"/>
                      <w:highlight w:val="none"/>
                      <w:lang w:val="en-US" w:eastAsia="zh-CN"/>
                    </w:rPr>
                    <w:t>340号文件从建设项目的装备水平（生产工艺）、污染治理技术、排放限值、无组织管控要求、监测监控水平、环境管理水平、运输方式和管控要求等方面，专项分析拟建和已建项目建设内容、生态环境保护措施与对应环保绩效分级、绩效引领性水平的相符性。</w:t>
                  </w:r>
                </w:p>
              </w:tc>
              <w:tc>
                <w:tcPr>
                  <w:tcW w:w="1375" w:type="pct"/>
                  <w:tcBorders>
                    <w:tl2br w:val="nil"/>
                    <w:tr2bl w:val="nil"/>
                  </w:tcBorders>
                  <w:noWrap/>
                  <w:vAlign w:val="center"/>
                </w:tcPr>
                <w:p w14:paraId="0300B6FF">
                  <w:pPr>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本项目干混砂浆生产线使用原料为水泥，机制砂，不属于涉气重点行业中的水泥制品，该</w:t>
                  </w:r>
                  <w:r>
                    <w:rPr>
                      <w:rFonts w:hint="eastAsia" w:ascii="Times New Roman" w:hAnsi="Times New Roman" w:cs="Times New Roman"/>
                      <w:color w:val="auto"/>
                      <w:sz w:val="21"/>
                      <w:szCs w:val="21"/>
                      <w:highlight w:val="none"/>
                      <w:vertAlign w:val="baseline"/>
                      <w:lang w:val="en-US" w:eastAsia="zh-CN"/>
                    </w:rPr>
                    <w:t>企业于2023年已获得水泥熟料行业环保绩效A级企业。</w:t>
                  </w:r>
                </w:p>
              </w:tc>
              <w:tc>
                <w:tcPr>
                  <w:tcW w:w="509" w:type="pct"/>
                  <w:tcBorders>
                    <w:tl2br w:val="nil"/>
                    <w:tr2bl w:val="nil"/>
                  </w:tcBorders>
                  <w:noWrap/>
                  <w:vAlign w:val="center"/>
                </w:tcPr>
                <w:p w14:paraId="3BE650F9">
                  <w:pPr>
                    <w:jc w:val="center"/>
                    <w:rPr>
                      <w:rFonts w:hint="default" w:eastAsiaTheme="minorEastAsia"/>
                      <w:b w:val="0"/>
                      <w:bCs w:val="0"/>
                      <w:color w:val="auto"/>
                      <w:szCs w:val="21"/>
                      <w:highlight w:val="none"/>
                      <w:lang w:val="en-US" w:eastAsia="zh-CN"/>
                    </w:rPr>
                  </w:pPr>
                  <w:r>
                    <w:rPr>
                      <w:rFonts w:hint="eastAsia" w:eastAsiaTheme="minorEastAsia"/>
                      <w:b w:val="0"/>
                      <w:bCs w:val="0"/>
                      <w:color w:val="auto"/>
                      <w:szCs w:val="21"/>
                      <w:highlight w:val="none"/>
                      <w:lang w:val="en-US" w:eastAsia="zh-CN"/>
                    </w:rPr>
                    <w:t>符合</w:t>
                  </w:r>
                </w:p>
              </w:tc>
            </w:tr>
            <w:tr w14:paraId="640A14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continue"/>
                  <w:tcBorders>
                    <w:tl2br w:val="nil"/>
                    <w:tr2bl w:val="nil"/>
                  </w:tcBorders>
                  <w:noWrap/>
                  <w:vAlign w:val="center"/>
                </w:tcPr>
                <w:p w14:paraId="41C26946">
                  <w:pPr>
                    <w:jc w:val="center"/>
                    <w:rPr>
                      <w:rFonts w:hint="eastAsia" w:eastAsiaTheme="minorEastAsia"/>
                      <w:b w:val="0"/>
                      <w:bCs w:val="0"/>
                      <w:color w:val="auto"/>
                      <w:szCs w:val="21"/>
                      <w:highlight w:val="none"/>
                      <w:lang w:val="en-US" w:eastAsia="zh-CN"/>
                    </w:rPr>
                  </w:pPr>
                </w:p>
              </w:tc>
              <w:tc>
                <w:tcPr>
                  <w:tcW w:w="2315" w:type="pct"/>
                  <w:tcBorders>
                    <w:tl2br w:val="nil"/>
                    <w:tr2bl w:val="nil"/>
                  </w:tcBorders>
                  <w:noWrap/>
                  <w:vAlign w:val="center"/>
                </w:tcPr>
                <w:p w14:paraId="26E17DCD">
                  <w:pPr>
                    <w:jc w:val="left"/>
                    <w:rPr>
                      <w:rFonts w:hint="eastAsia" w:eastAsiaTheme="minorEastAsia"/>
                      <w:b w:val="0"/>
                      <w:bCs w:val="0"/>
                      <w:color w:val="auto"/>
                      <w:szCs w:val="21"/>
                      <w:highlight w:val="none"/>
                      <w:lang w:val="en-US" w:eastAsia="zh-CN"/>
                    </w:rPr>
                  </w:pPr>
                  <w:r>
                    <w:rPr>
                      <w:rFonts w:hint="eastAsia" w:eastAsiaTheme="minorEastAsia"/>
                      <w:b w:val="0"/>
                      <w:bCs w:val="0"/>
                      <w:color w:val="auto"/>
                      <w:szCs w:val="21"/>
                      <w:highlight w:val="none"/>
                      <w:lang w:val="en-US" w:eastAsia="zh-CN"/>
                    </w:rPr>
                    <w:t>三、涉及改、扩建项目的企业应出具环保绩效达级承诺书，原则上应在拟建项目建成时且在专项行动方案或市级生态环境部门规定时限内完成环保绩效达级。承诺书与项目环评文件一并报送环评审批部门，并纳入竣工验收管理。</w:t>
                  </w:r>
                </w:p>
              </w:tc>
              <w:tc>
                <w:tcPr>
                  <w:tcW w:w="1375" w:type="pct"/>
                  <w:tcBorders>
                    <w:tl2br w:val="nil"/>
                    <w:tr2bl w:val="nil"/>
                  </w:tcBorders>
                  <w:noWrap/>
                  <w:vAlign w:val="center"/>
                </w:tcPr>
                <w:p w14:paraId="01EB70B9">
                  <w:pPr>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按照文件要求，建设单位出具了环保绩效达标承诺书，承诺在规定时限内完成环保绩效达级（详见附件12）。承诺书与项目环评文件一并报送环评审批部门，并纳入竣工验收管理。</w:t>
                  </w:r>
                </w:p>
              </w:tc>
              <w:tc>
                <w:tcPr>
                  <w:tcW w:w="509" w:type="pct"/>
                  <w:tcBorders>
                    <w:tl2br w:val="nil"/>
                    <w:tr2bl w:val="nil"/>
                  </w:tcBorders>
                  <w:noWrap/>
                  <w:vAlign w:val="center"/>
                </w:tcPr>
                <w:p w14:paraId="6574393F">
                  <w:pPr>
                    <w:jc w:val="center"/>
                    <w:rPr>
                      <w:rFonts w:hint="default" w:eastAsiaTheme="minorEastAsia"/>
                      <w:b w:val="0"/>
                      <w:bCs w:val="0"/>
                      <w:color w:val="auto"/>
                      <w:szCs w:val="21"/>
                      <w:highlight w:val="none"/>
                      <w:lang w:val="en-US" w:eastAsia="zh-CN"/>
                    </w:rPr>
                  </w:pPr>
                  <w:r>
                    <w:rPr>
                      <w:rFonts w:hint="eastAsia" w:eastAsiaTheme="minorEastAsia"/>
                      <w:b w:val="0"/>
                      <w:bCs w:val="0"/>
                      <w:color w:val="auto"/>
                      <w:szCs w:val="21"/>
                      <w:highlight w:val="none"/>
                      <w:lang w:val="en-US" w:eastAsia="zh-CN"/>
                    </w:rPr>
                    <w:t>符合</w:t>
                  </w:r>
                </w:p>
              </w:tc>
            </w:tr>
            <w:tr w14:paraId="2DCF44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restart"/>
                  <w:tcBorders>
                    <w:tl2br w:val="nil"/>
                    <w:tr2bl w:val="nil"/>
                  </w:tcBorders>
                  <w:noWrap/>
                  <w:vAlign w:val="center"/>
                </w:tcPr>
                <w:p w14:paraId="741CDFB9">
                  <w:pPr>
                    <w:spacing w:line="320" w:lineRule="exact"/>
                    <w:jc w:val="center"/>
                    <w:rPr>
                      <w:rFonts w:eastAsiaTheme="minorEastAsia"/>
                      <w:color w:val="auto"/>
                      <w:szCs w:val="21"/>
                      <w:highlight w:val="none"/>
                    </w:rPr>
                  </w:pPr>
                  <w:r>
                    <w:rPr>
                      <w:rFonts w:eastAsiaTheme="minorEastAsia"/>
                      <w:color w:val="auto"/>
                      <w:szCs w:val="21"/>
                      <w:highlight w:val="none"/>
                    </w:rPr>
                    <w:t>《陕西省</w:t>
                  </w:r>
                  <w:r>
                    <w:rPr>
                      <w:rFonts w:hint="eastAsia" w:ascii="宋体" w:hAnsi="宋体" w:eastAsia="宋体" w:cs="宋体"/>
                      <w:color w:val="auto"/>
                      <w:szCs w:val="21"/>
                      <w:highlight w:val="none"/>
                    </w:rPr>
                    <w:t>“十四五”</w:t>
                  </w:r>
                  <w:r>
                    <w:rPr>
                      <w:rFonts w:eastAsiaTheme="minorEastAsia"/>
                      <w:color w:val="auto"/>
                      <w:szCs w:val="21"/>
                      <w:highlight w:val="none"/>
                    </w:rPr>
                    <w:t>生态环境保护规划》（陕政办发</w:t>
                  </w:r>
                  <w:r>
                    <w:rPr>
                      <w:rFonts w:hint="eastAsia" w:eastAsiaTheme="minorEastAsia"/>
                      <w:color w:val="auto"/>
                      <w:szCs w:val="21"/>
                      <w:highlight w:val="none"/>
                    </w:rPr>
                    <w:t>〔2019〕</w:t>
                  </w:r>
                  <w:r>
                    <w:rPr>
                      <w:rFonts w:eastAsiaTheme="minorEastAsia"/>
                      <w:color w:val="auto"/>
                      <w:szCs w:val="21"/>
                      <w:highlight w:val="none"/>
                    </w:rPr>
                    <w:t>25号）</w:t>
                  </w:r>
                </w:p>
              </w:tc>
              <w:tc>
                <w:tcPr>
                  <w:tcW w:w="2315" w:type="pct"/>
                  <w:tcBorders>
                    <w:tl2br w:val="nil"/>
                    <w:tr2bl w:val="nil"/>
                  </w:tcBorders>
                  <w:noWrap/>
                  <w:vAlign w:val="center"/>
                </w:tcPr>
                <w:p w14:paraId="0A9F6DCA">
                  <w:pPr>
                    <w:widowControl/>
                    <w:numPr>
                      <w:ilvl w:val="0"/>
                      <w:numId w:val="2"/>
                    </w:numPr>
                    <w:jc w:val="left"/>
                    <w:rPr>
                      <w:rFonts w:hint="eastAsia" w:eastAsiaTheme="minorEastAsia"/>
                      <w:b/>
                      <w:bCs/>
                      <w:color w:val="auto"/>
                      <w:szCs w:val="21"/>
                      <w:highlight w:val="none"/>
                      <w:lang w:val="en-US" w:eastAsia="zh-CN"/>
                    </w:rPr>
                  </w:pPr>
                  <w:r>
                    <w:rPr>
                      <w:rFonts w:hint="eastAsia" w:eastAsiaTheme="minorEastAsia"/>
                      <w:b/>
                      <w:bCs/>
                      <w:color w:val="auto"/>
                      <w:szCs w:val="21"/>
                      <w:highlight w:val="none"/>
                      <w:lang w:val="en-US" w:eastAsia="zh-CN"/>
                    </w:rPr>
                    <w:t>贯彻新发展理念，推动绿色低碳发展 第一节 优化布局促进区域绿色低碳发展</w:t>
                  </w:r>
                </w:p>
                <w:p w14:paraId="6F0FBC7D">
                  <w:pPr>
                    <w:widowControl/>
                    <w:numPr>
                      <w:ilvl w:val="0"/>
                      <w:numId w:val="0"/>
                    </w:numPr>
                    <w:jc w:val="left"/>
                    <w:rPr>
                      <w:rFonts w:eastAsiaTheme="minorEastAsia"/>
                      <w:color w:val="auto"/>
                      <w:szCs w:val="21"/>
                      <w:highlight w:val="none"/>
                    </w:rPr>
                  </w:pPr>
                  <w:r>
                    <w:rPr>
                      <w:rFonts w:eastAsiaTheme="minorEastAsia"/>
                      <w:color w:val="auto"/>
                      <w:szCs w:val="21"/>
                      <w:highlight w:val="none"/>
                    </w:rPr>
                    <w:t>建立健全生态环境分区管控体系。立足资源环境承载能力，发挥各地比较优势，优化重大基础设施、重大生产力和公共资源布局，建立以</w:t>
                  </w:r>
                  <w:r>
                    <w:rPr>
                      <w:rFonts w:hint="eastAsia" w:ascii="宋体" w:hAnsi="宋体" w:eastAsia="宋体" w:cs="宋体"/>
                      <w:color w:val="auto"/>
                      <w:szCs w:val="21"/>
                      <w:highlight w:val="none"/>
                    </w:rPr>
                    <w:t>“三线一单”为核</w:t>
                  </w:r>
                  <w:r>
                    <w:rPr>
                      <w:rFonts w:eastAsiaTheme="minorEastAsia"/>
                      <w:color w:val="auto"/>
                      <w:szCs w:val="21"/>
                      <w:highlight w:val="none"/>
                    </w:rPr>
                    <w:t>心的全省生态环境分区管控体系。各市（区</w:t>
                  </w:r>
                  <w:r>
                    <w:rPr>
                      <w:rFonts w:hint="eastAsia" w:eastAsiaTheme="minorEastAsia"/>
                      <w:color w:val="auto"/>
                      <w:szCs w:val="21"/>
                      <w:highlight w:val="none"/>
                      <w:lang w:eastAsia="zh-CN"/>
                    </w:rPr>
                    <w:t>）要</w:t>
                  </w:r>
                  <w:r>
                    <w:rPr>
                      <w:rFonts w:eastAsiaTheme="minorEastAsia"/>
                      <w:color w:val="auto"/>
                      <w:szCs w:val="21"/>
                      <w:highlight w:val="none"/>
                    </w:rPr>
                    <w:t>按照关中地区发展先进制造业和现代服务业、陕北地区能源化工转型升级、陕南地区做强做大绿色生态产业的战略定位，做好</w:t>
                  </w:r>
                  <w:r>
                    <w:rPr>
                      <w:rFonts w:hint="eastAsia" w:ascii="宋体" w:hAnsi="宋体" w:eastAsia="宋体" w:cs="宋体"/>
                      <w:color w:val="auto"/>
                      <w:szCs w:val="21"/>
                      <w:highlight w:val="none"/>
                    </w:rPr>
                    <w:t>“三线一单”</w:t>
                  </w:r>
                  <w:r>
                    <w:rPr>
                      <w:rFonts w:eastAsiaTheme="minorEastAsia"/>
                      <w:color w:val="auto"/>
                      <w:szCs w:val="21"/>
                      <w:highlight w:val="none"/>
                    </w:rPr>
                    <w:t>成果优化完善工作，进一步细化生态环境分区管控要求和准入清单，在生态环境准入清单中深</w:t>
                  </w:r>
                  <w:r>
                    <w:rPr>
                      <w:rFonts w:hint="eastAsia" w:ascii="宋体" w:hAnsi="宋体" w:eastAsia="宋体" w:cs="宋体"/>
                      <w:color w:val="auto"/>
                      <w:szCs w:val="21"/>
                      <w:highlight w:val="none"/>
                    </w:rPr>
                    <w:t>化“两高”</w:t>
                  </w:r>
                  <w:r>
                    <w:rPr>
                      <w:rFonts w:eastAsiaTheme="minorEastAsia"/>
                      <w:color w:val="auto"/>
                      <w:szCs w:val="21"/>
                      <w:highlight w:val="none"/>
                    </w:rPr>
                    <w:t>项目环境准入及管控要求。</w:t>
                  </w:r>
                </w:p>
              </w:tc>
              <w:tc>
                <w:tcPr>
                  <w:tcW w:w="1375" w:type="pct"/>
                  <w:tcBorders>
                    <w:tl2br w:val="nil"/>
                    <w:tr2bl w:val="nil"/>
                  </w:tcBorders>
                  <w:noWrap/>
                  <w:vAlign w:val="center"/>
                </w:tcPr>
                <w:p w14:paraId="70810639">
                  <w:pPr>
                    <w:widowControl/>
                    <w:jc w:val="left"/>
                    <w:rPr>
                      <w:rFonts w:eastAsiaTheme="minorEastAsia"/>
                      <w:color w:val="auto"/>
                      <w:szCs w:val="21"/>
                      <w:highlight w:val="none"/>
                    </w:rPr>
                  </w:pPr>
                  <w:r>
                    <w:rPr>
                      <w:rFonts w:hint="eastAsia" w:ascii="Times New Roman" w:cs="Times New Roman"/>
                      <w:color w:val="auto"/>
                      <w:sz w:val="21"/>
                      <w:szCs w:val="21"/>
                      <w:highlight w:val="none"/>
                      <w:lang w:val="en-US" w:eastAsia="zh-CN"/>
                    </w:rPr>
                    <w:t>本项目位于</w:t>
                  </w:r>
                  <w:r>
                    <w:rPr>
                      <w:rFonts w:hint="eastAsia" w:cs="Times New Roman"/>
                      <w:color w:val="auto"/>
                      <w:sz w:val="21"/>
                      <w:szCs w:val="21"/>
                      <w:highlight w:val="none"/>
                      <w:lang w:val="en-US" w:eastAsia="zh-CN"/>
                    </w:rPr>
                    <w:t>陕西省宝鸡市凤翔区田家庄镇河北村村北金隅冀东凤翔环保科技有限公司厂区内</w:t>
                  </w:r>
                  <w:r>
                    <w:rPr>
                      <w:rFonts w:eastAsiaTheme="minorEastAsia"/>
                      <w:color w:val="auto"/>
                      <w:szCs w:val="21"/>
                      <w:highlight w:val="none"/>
                    </w:rPr>
                    <w:t>，项目建设区域位于《</w:t>
                  </w:r>
                  <w:r>
                    <w:rPr>
                      <w:rFonts w:hint="eastAsia" w:eastAsiaTheme="minorEastAsia"/>
                      <w:color w:val="auto"/>
                      <w:szCs w:val="21"/>
                      <w:highlight w:val="none"/>
                      <w:lang w:eastAsia="zh-CN"/>
                    </w:rPr>
                    <w:t>宝鸡市</w:t>
                  </w:r>
                  <w:r>
                    <w:rPr>
                      <w:rFonts w:hint="eastAsia" w:ascii="宋体" w:hAnsi="宋体" w:eastAsia="宋体" w:cs="宋体"/>
                      <w:color w:val="auto"/>
                      <w:szCs w:val="21"/>
                      <w:highlight w:val="none"/>
                    </w:rPr>
                    <w:t>“三线一单”</w:t>
                  </w:r>
                  <w:r>
                    <w:rPr>
                      <w:rFonts w:eastAsiaTheme="minorEastAsia"/>
                      <w:color w:val="auto"/>
                      <w:szCs w:val="21"/>
                      <w:highlight w:val="none"/>
                    </w:rPr>
                    <w:t>生态环境分区管控方案》中重点管控单元</w:t>
                  </w:r>
                  <w:r>
                    <w:rPr>
                      <w:rFonts w:hint="eastAsia" w:eastAsiaTheme="minorEastAsia"/>
                      <w:color w:val="auto"/>
                      <w:szCs w:val="21"/>
                      <w:highlight w:val="none"/>
                      <w:lang w:val="en-US" w:eastAsia="zh-CN"/>
                    </w:rPr>
                    <w:t>和一般管控单元</w:t>
                  </w:r>
                  <w:r>
                    <w:rPr>
                      <w:rFonts w:hint="eastAsia" w:eastAsiaTheme="minorEastAsia"/>
                      <w:color w:val="auto"/>
                      <w:szCs w:val="21"/>
                      <w:highlight w:val="none"/>
                      <w:lang w:eastAsia="zh-CN"/>
                    </w:rPr>
                    <w:t>，</w:t>
                  </w:r>
                  <w:r>
                    <w:rPr>
                      <w:rFonts w:hint="eastAsia" w:eastAsiaTheme="minorEastAsia"/>
                      <w:color w:val="auto"/>
                      <w:szCs w:val="21"/>
                      <w:highlight w:val="none"/>
                      <w:lang w:val="en-US" w:eastAsia="zh-CN"/>
                    </w:rPr>
                    <w:t>符合“三线一单”管控要求</w:t>
                  </w:r>
                  <w:r>
                    <w:rPr>
                      <w:rFonts w:eastAsiaTheme="minorEastAsia"/>
                      <w:color w:val="auto"/>
                      <w:szCs w:val="21"/>
                      <w:highlight w:val="none"/>
                    </w:rPr>
                    <w:t>。</w:t>
                  </w:r>
                  <w:r>
                    <w:rPr>
                      <w:rFonts w:hint="eastAsia" w:cs="Times New Roman" w:eastAsiaTheme="minorEastAsia"/>
                      <w:color w:val="auto"/>
                      <w:sz w:val="21"/>
                      <w:szCs w:val="21"/>
                      <w:highlight w:val="none"/>
                      <w:vertAlign w:val="baseline"/>
                      <w:lang w:val="en-US" w:eastAsia="zh-CN"/>
                    </w:rPr>
                    <w:t>本项目属于其他建筑材料制造业，不属于严格控制新增的</w:t>
                  </w:r>
                  <w:r>
                    <w:rPr>
                      <w:rFonts w:hint="default" w:ascii="Times New Roman" w:hAnsi="Times New Roman" w:cs="Times New Roman"/>
                      <w:color w:val="auto"/>
                      <w:sz w:val="21"/>
                      <w:szCs w:val="21"/>
                      <w:highlight w:val="none"/>
                      <w:vertAlign w:val="baseline"/>
                      <w:lang w:val="en-US" w:eastAsia="zh-CN"/>
                    </w:rPr>
                    <w:t>《陕西省</w:t>
                  </w:r>
                  <w:r>
                    <w:rPr>
                      <w:rFonts w:hint="eastAsia" w:ascii="宋体" w:hAnsi="宋体" w:eastAsia="宋体" w:cs="宋体"/>
                      <w:color w:val="auto"/>
                      <w:sz w:val="21"/>
                      <w:szCs w:val="21"/>
                      <w:highlight w:val="none"/>
                      <w:vertAlign w:val="baseline"/>
                      <w:lang w:val="en-US" w:eastAsia="zh-CN"/>
                    </w:rPr>
                    <w:t>“两高”</w:t>
                  </w:r>
                  <w:r>
                    <w:rPr>
                      <w:rFonts w:hint="default" w:ascii="Times New Roman" w:hAnsi="Times New Roman" w:cs="Times New Roman"/>
                      <w:color w:val="auto"/>
                      <w:sz w:val="21"/>
                      <w:szCs w:val="21"/>
                      <w:highlight w:val="none"/>
                      <w:vertAlign w:val="baseline"/>
                      <w:lang w:val="en-US" w:eastAsia="zh-CN"/>
                    </w:rPr>
                    <w:t>项目管理暂行目录》</w:t>
                  </w:r>
                  <w:r>
                    <w:rPr>
                      <w:rFonts w:hint="eastAsia" w:ascii="Times New Roman" w:hAnsi="Times New Roman" w:cs="Times New Roman"/>
                      <w:color w:val="auto"/>
                      <w:sz w:val="21"/>
                      <w:szCs w:val="21"/>
                      <w:highlight w:val="none"/>
                      <w:vertAlign w:val="baseline"/>
                      <w:lang w:val="en-US" w:eastAsia="zh-CN"/>
                    </w:rPr>
                    <w:t>中的</w:t>
                  </w:r>
                  <w:r>
                    <w:rPr>
                      <w:rFonts w:hint="default" w:ascii="Times New Roman" w:hAnsi="Times New Roman" w:cs="Times New Roman"/>
                      <w:color w:val="auto"/>
                      <w:sz w:val="21"/>
                      <w:szCs w:val="21"/>
                      <w:highlight w:val="none"/>
                      <w:vertAlign w:val="baseline"/>
                      <w:lang w:val="en-US" w:eastAsia="zh-CN"/>
                    </w:rPr>
                    <w:t>行业项目</w:t>
                  </w:r>
                  <w:r>
                    <w:rPr>
                      <w:rFonts w:hint="eastAsia" w:ascii="Times New Roman" w:hAnsi="Times New Roman" w:cs="Times New Roman"/>
                      <w:color w:val="auto"/>
                      <w:sz w:val="21"/>
                      <w:szCs w:val="21"/>
                      <w:highlight w:val="none"/>
                      <w:vertAlign w:val="baseline"/>
                      <w:lang w:val="en-US" w:eastAsia="zh-CN"/>
                    </w:rPr>
                    <w:t>。</w:t>
                  </w:r>
                </w:p>
              </w:tc>
              <w:tc>
                <w:tcPr>
                  <w:tcW w:w="509" w:type="pct"/>
                  <w:tcBorders>
                    <w:tl2br w:val="nil"/>
                    <w:tr2bl w:val="nil"/>
                  </w:tcBorders>
                  <w:noWrap/>
                  <w:vAlign w:val="center"/>
                </w:tcPr>
                <w:p w14:paraId="2CFAFFCB">
                  <w:pPr>
                    <w:spacing w:line="320" w:lineRule="exact"/>
                    <w:jc w:val="center"/>
                    <w:rPr>
                      <w:rFonts w:eastAsiaTheme="minorEastAsia"/>
                      <w:color w:val="auto"/>
                      <w:szCs w:val="21"/>
                      <w:highlight w:val="none"/>
                    </w:rPr>
                  </w:pPr>
                  <w:r>
                    <w:rPr>
                      <w:rFonts w:eastAsiaTheme="minorEastAsia"/>
                      <w:color w:val="auto"/>
                      <w:szCs w:val="21"/>
                      <w:highlight w:val="none"/>
                    </w:rPr>
                    <w:t>符合</w:t>
                  </w:r>
                </w:p>
              </w:tc>
            </w:tr>
            <w:tr w14:paraId="68ED08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continue"/>
                  <w:tcBorders>
                    <w:tl2br w:val="nil"/>
                    <w:tr2bl w:val="nil"/>
                  </w:tcBorders>
                  <w:noWrap/>
                  <w:vAlign w:val="center"/>
                </w:tcPr>
                <w:p w14:paraId="75C7BF1A">
                  <w:pPr>
                    <w:widowControl/>
                    <w:jc w:val="center"/>
                    <w:rPr>
                      <w:rFonts w:eastAsiaTheme="minorEastAsia"/>
                      <w:color w:val="auto"/>
                      <w:highlight w:val="none"/>
                    </w:rPr>
                  </w:pPr>
                </w:p>
              </w:tc>
              <w:tc>
                <w:tcPr>
                  <w:tcW w:w="2315" w:type="pct"/>
                  <w:tcBorders>
                    <w:tl2br w:val="nil"/>
                    <w:tr2bl w:val="nil"/>
                  </w:tcBorders>
                  <w:noWrap/>
                  <w:vAlign w:val="center"/>
                </w:tcPr>
                <w:p w14:paraId="1D330412">
                  <w:pPr>
                    <w:widowControl/>
                    <w:numPr>
                      <w:ilvl w:val="0"/>
                      <w:numId w:val="0"/>
                    </w:numPr>
                    <w:ind w:leftChars="0"/>
                    <w:jc w:val="left"/>
                    <w:rPr>
                      <w:rFonts w:hint="eastAsia"/>
                      <w:b/>
                      <w:bCs/>
                      <w:color w:val="auto"/>
                      <w:szCs w:val="21"/>
                      <w:highlight w:val="none"/>
                      <w:lang w:val="en-US" w:eastAsia="zh-CN"/>
                    </w:rPr>
                  </w:pPr>
                  <w:r>
                    <w:rPr>
                      <w:rFonts w:hint="eastAsia"/>
                      <w:b/>
                      <w:bCs/>
                      <w:color w:val="auto"/>
                      <w:szCs w:val="21"/>
                      <w:highlight w:val="none"/>
                      <w:lang w:val="en-US" w:eastAsia="zh-CN"/>
                    </w:rPr>
                    <w:t>第五章 强化协同控制，改善汾渭平原大气环境 第二节 持续推进重点污染源治理</w:t>
                  </w:r>
                </w:p>
                <w:p w14:paraId="0EBA3D63">
                  <w:pPr>
                    <w:widowControl/>
                    <w:numPr>
                      <w:ilvl w:val="0"/>
                      <w:numId w:val="0"/>
                    </w:numPr>
                    <w:ind w:leftChars="0"/>
                    <w:jc w:val="left"/>
                    <w:rPr>
                      <w:rFonts w:eastAsiaTheme="minorEastAsia"/>
                      <w:color w:val="auto"/>
                      <w:szCs w:val="21"/>
                      <w:highlight w:val="none"/>
                    </w:rPr>
                  </w:pPr>
                  <w:r>
                    <w:rPr>
                      <w:rFonts w:hint="eastAsia" w:eastAsiaTheme="minorEastAsia"/>
                      <w:color w:val="auto"/>
                      <w:szCs w:val="21"/>
                      <w:highlight w:val="none"/>
                    </w:rPr>
                    <w:t>加强扬尘精细化管控。建立扬尘污染源清单，实现扬尘污染源动态管理，构建“过程全覆盖、管理全方位、责任全链条”的扬尘</w:t>
                  </w:r>
                  <w:r>
                    <w:rPr>
                      <w:rFonts w:hint="eastAsia" w:eastAsiaTheme="minorEastAsia"/>
                      <w:color w:val="auto"/>
                      <w:szCs w:val="21"/>
                      <w:highlight w:val="none"/>
                      <w:lang w:val="en-US" w:eastAsia="zh-CN"/>
                    </w:rPr>
                    <w:t>污染</w:t>
                  </w:r>
                  <w:r>
                    <w:rPr>
                      <w:rFonts w:hint="eastAsia" w:eastAsiaTheme="minorEastAsia"/>
                      <w:color w:val="auto"/>
                      <w:szCs w:val="21"/>
                      <w:highlight w:val="none"/>
                    </w:rPr>
                    <w:t>防治体系。全面推行绿色施工，将绿色施工纳入企业资质和信用评价。对重点区域道路、水务等线性工程进行分段施工。大力推进低尘机械化湿式清扫作业，加大重要路段冲洗保洁力度，</w:t>
                  </w:r>
                  <w:r>
                    <w:rPr>
                      <w:rFonts w:hint="eastAsia" w:eastAsiaTheme="minorEastAsia"/>
                      <w:color w:val="auto"/>
                      <w:szCs w:val="21"/>
                      <w:highlight w:val="none"/>
                      <w:lang w:val="en-US" w:eastAsia="zh-CN"/>
                    </w:rPr>
                    <w:t>实施</w:t>
                  </w:r>
                  <w:r>
                    <w:rPr>
                      <w:rFonts w:hint="eastAsia" w:eastAsiaTheme="minorEastAsia"/>
                      <w:color w:val="auto"/>
                      <w:szCs w:val="21"/>
                      <w:highlight w:val="none"/>
                    </w:rPr>
                    <w:t>渣土车硬覆盖与全密闭运输，强化道路绿化用地扬尘治理。大型煤炭、矿石、干散货堆场，全面完成抑尘设施建设和物料输送系统封闭改造。鼓励有条件的堆场实施全封闭改造。</w:t>
                  </w:r>
                </w:p>
              </w:tc>
              <w:tc>
                <w:tcPr>
                  <w:tcW w:w="1375" w:type="pct"/>
                  <w:tcBorders>
                    <w:tl2br w:val="nil"/>
                    <w:tr2bl w:val="nil"/>
                  </w:tcBorders>
                  <w:noWrap/>
                  <w:vAlign w:val="center"/>
                </w:tcPr>
                <w:p w14:paraId="4A6A7C3D">
                  <w:pPr>
                    <w:widowControl/>
                    <w:jc w:val="left"/>
                    <w:rPr>
                      <w:rFonts w:hint="default" w:eastAsiaTheme="minorEastAsia"/>
                      <w:color w:val="auto"/>
                      <w:szCs w:val="21"/>
                      <w:highlight w:val="none"/>
                      <w:lang w:val="en-US"/>
                    </w:rPr>
                  </w:pPr>
                  <w:r>
                    <w:rPr>
                      <w:rFonts w:hint="eastAsia"/>
                      <w:color w:val="auto"/>
                      <w:sz w:val="21"/>
                      <w:szCs w:val="21"/>
                      <w:highlight w:val="none"/>
                      <w:vertAlign w:val="baseline"/>
                      <w:lang w:val="en-US" w:eastAsia="zh-CN"/>
                    </w:rPr>
                    <w:t>项目施工期间，建设单位严格执行</w:t>
                  </w:r>
                  <w:r>
                    <w:rPr>
                      <w:rFonts w:hint="default"/>
                      <w:color w:val="auto"/>
                      <w:sz w:val="21"/>
                      <w:szCs w:val="21"/>
                      <w:highlight w:val="none"/>
                      <w:lang w:eastAsia="zh-CN"/>
                    </w:rPr>
                    <w:t>《陕西地区施工现场扬尘专项治理方案》</w:t>
                  </w:r>
                  <w:r>
                    <w:rPr>
                      <w:rFonts w:hint="eastAsia"/>
                      <w:color w:val="auto"/>
                      <w:sz w:val="21"/>
                      <w:szCs w:val="21"/>
                      <w:highlight w:val="none"/>
                      <w:lang w:val="en-US" w:eastAsia="zh-CN"/>
                    </w:rPr>
                    <w:t>和</w:t>
                  </w:r>
                  <w:r>
                    <w:rPr>
                      <w:rFonts w:hint="default"/>
                      <w:color w:val="auto"/>
                      <w:sz w:val="21"/>
                      <w:szCs w:val="21"/>
                      <w:highlight w:val="none"/>
                      <w:lang w:eastAsia="zh-CN"/>
                    </w:rPr>
                    <w:t>《建筑施工扬尘治理措施16条》</w:t>
                  </w:r>
                  <w:r>
                    <w:rPr>
                      <w:rFonts w:hint="eastAsia"/>
                      <w:color w:val="auto"/>
                      <w:sz w:val="21"/>
                      <w:szCs w:val="21"/>
                      <w:highlight w:val="none"/>
                      <w:lang w:eastAsia="zh-CN"/>
                    </w:rPr>
                    <w:t>，</w:t>
                  </w:r>
                  <w:r>
                    <w:rPr>
                      <w:rFonts w:hint="eastAsia"/>
                      <w:color w:val="auto"/>
                      <w:sz w:val="21"/>
                      <w:szCs w:val="21"/>
                      <w:highlight w:val="none"/>
                      <w:lang w:val="en-US" w:eastAsia="zh-CN"/>
                    </w:rPr>
                    <w:t>严格控制施工扬尘，落实六个100%措施。运营期物料的输送与储存通过全密闭皮带输送系统进行，混凝土搅拌站整个生产系统、制砂楼全部置于封闭式生产车间内；</w:t>
                  </w:r>
                  <w:r>
                    <w:rPr>
                      <w:rFonts w:hint="eastAsia" w:eastAsiaTheme="minorEastAsia"/>
                      <w:color w:val="auto"/>
                      <w:szCs w:val="21"/>
                      <w:highlight w:val="none"/>
                      <w:lang w:val="en-US" w:eastAsia="zh-CN"/>
                    </w:rPr>
                    <w:t>10mm～25mm骨料成品仓、</w:t>
                  </w:r>
                  <w:r>
                    <w:rPr>
                      <w:rFonts w:hint="eastAsia"/>
                      <w:color w:val="auto"/>
                      <w:sz w:val="21"/>
                      <w:szCs w:val="21"/>
                      <w:highlight w:val="none"/>
                      <w:lang w:val="en-US" w:eastAsia="zh-CN"/>
                    </w:rPr>
                    <w:t>机制砂原料仓、机制砂成品仓均为密闭式钢板仓；水泥仓、粉煤灰仓、矿粉仓、外加剂仓、配料仓均为密闭式筒仓且全部置于封闭式生产车间内；项目运营期废气污染物主要为颗粒物，经收集后，通过脉冲式布袋除尘器进行处理后可实现达标排放。</w:t>
                  </w:r>
                  <w:r>
                    <w:rPr>
                      <w:rFonts w:hint="eastAsia" w:cs="Times New Roman" w:eastAsiaTheme="minorEastAsia"/>
                      <w:color w:val="auto"/>
                      <w:kern w:val="2"/>
                      <w:sz w:val="21"/>
                      <w:szCs w:val="21"/>
                      <w:highlight w:val="none"/>
                      <w:lang w:val="en-US" w:eastAsia="zh-CN" w:bidi="ar-SA"/>
                    </w:rPr>
                    <w:t>车辆运输扬尘采取覆盖等封闭方式进行运输，设置洗车台，厂区地面硬化并加大对地面的清扫和洒水频率等措施，减少车辆运输产生的扬尘。</w:t>
                  </w:r>
                </w:p>
              </w:tc>
              <w:tc>
                <w:tcPr>
                  <w:tcW w:w="509" w:type="pct"/>
                  <w:tcBorders>
                    <w:tl2br w:val="nil"/>
                    <w:tr2bl w:val="nil"/>
                  </w:tcBorders>
                  <w:noWrap/>
                  <w:vAlign w:val="center"/>
                </w:tcPr>
                <w:p w14:paraId="7C14CE39">
                  <w:pPr>
                    <w:spacing w:line="320" w:lineRule="exact"/>
                    <w:jc w:val="center"/>
                    <w:rPr>
                      <w:rFonts w:eastAsiaTheme="minorEastAsia"/>
                      <w:color w:val="auto"/>
                      <w:szCs w:val="21"/>
                      <w:highlight w:val="none"/>
                    </w:rPr>
                  </w:pPr>
                  <w:r>
                    <w:rPr>
                      <w:rFonts w:eastAsiaTheme="minorEastAsia"/>
                      <w:color w:val="auto"/>
                      <w:szCs w:val="21"/>
                      <w:highlight w:val="none"/>
                    </w:rPr>
                    <w:t>符合</w:t>
                  </w:r>
                </w:p>
              </w:tc>
            </w:tr>
            <w:tr w14:paraId="59F2CC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tcBorders>
                    <w:tl2br w:val="nil"/>
                    <w:tr2bl w:val="nil"/>
                  </w:tcBorders>
                  <w:noWrap/>
                  <w:vAlign w:val="center"/>
                </w:tcPr>
                <w:p w14:paraId="69A5A397">
                  <w:pPr>
                    <w:widowControl/>
                    <w:jc w:val="center"/>
                    <w:rPr>
                      <w:rFonts w:eastAsiaTheme="minorEastAsia"/>
                      <w:color w:val="auto"/>
                      <w:highlight w:val="none"/>
                    </w:rPr>
                  </w:pPr>
                  <w:r>
                    <w:rPr>
                      <w:rFonts w:eastAsiaTheme="minorEastAsia"/>
                      <w:color w:val="auto"/>
                      <w:szCs w:val="21"/>
                      <w:highlight w:val="none"/>
                    </w:rPr>
                    <w:t>《</w:t>
                  </w:r>
                  <w:r>
                    <w:rPr>
                      <w:rFonts w:hint="eastAsia" w:eastAsiaTheme="minorEastAsia"/>
                      <w:color w:val="auto"/>
                      <w:szCs w:val="21"/>
                      <w:highlight w:val="none"/>
                      <w:lang w:val="en-US" w:eastAsia="zh-CN"/>
                    </w:rPr>
                    <w:t>宝鸡市</w:t>
                  </w:r>
                  <w:r>
                    <w:rPr>
                      <w:rFonts w:hint="eastAsia" w:ascii="宋体" w:hAnsi="宋体" w:eastAsia="宋体" w:cs="宋体"/>
                      <w:color w:val="auto"/>
                      <w:szCs w:val="21"/>
                      <w:highlight w:val="none"/>
                    </w:rPr>
                    <w:t>“十四五”</w:t>
                  </w:r>
                  <w:r>
                    <w:rPr>
                      <w:rFonts w:eastAsiaTheme="minorEastAsia"/>
                      <w:color w:val="auto"/>
                      <w:szCs w:val="21"/>
                      <w:highlight w:val="none"/>
                    </w:rPr>
                    <w:t>生态环境保护规划》（</w:t>
                  </w:r>
                  <w:r>
                    <w:rPr>
                      <w:rFonts w:hint="eastAsia" w:eastAsiaTheme="minorEastAsia"/>
                      <w:color w:val="auto"/>
                      <w:szCs w:val="21"/>
                      <w:highlight w:val="none"/>
                      <w:lang w:val="en-US" w:eastAsia="zh-CN"/>
                    </w:rPr>
                    <w:t>市</w:t>
                  </w:r>
                  <w:r>
                    <w:rPr>
                      <w:rFonts w:eastAsiaTheme="minorEastAsia"/>
                      <w:color w:val="auto"/>
                      <w:szCs w:val="21"/>
                      <w:highlight w:val="none"/>
                    </w:rPr>
                    <w:t>政发</w:t>
                  </w:r>
                  <w:r>
                    <w:rPr>
                      <w:rFonts w:hint="eastAsia" w:eastAsiaTheme="minorEastAsia"/>
                      <w:color w:val="auto"/>
                      <w:szCs w:val="21"/>
                      <w:highlight w:val="none"/>
                    </w:rPr>
                    <w:t>〔20</w:t>
                  </w:r>
                  <w:r>
                    <w:rPr>
                      <w:rFonts w:hint="eastAsia" w:eastAsiaTheme="minorEastAsia"/>
                      <w:color w:val="auto"/>
                      <w:szCs w:val="21"/>
                      <w:highlight w:val="none"/>
                      <w:lang w:val="en-US" w:eastAsia="zh-CN"/>
                    </w:rPr>
                    <w:t>21</w:t>
                  </w:r>
                  <w:r>
                    <w:rPr>
                      <w:rFonts w:hint="eastAsia" w:eastAsiaTheme="minorEastAsia"/>
                      <w:color w:val="auto"/>
                      <w:szCs w:val="21"/>
                      <w:highlight w:val="none"/>
                    </w:rPr>
                    <w:t>〕</w:t>
                  </w:r>
                  <w:r>
                    <w:rPr>
                      <w:rFonts w:eastAsiaTheme="minorEastAsia"/>
                      <w:color w:val="auto"/>
                      <w:szCs w:val="21"/>
                      <w:highlight w:val="none"/>
                    </w:rPr>
                    <w:t>2</w:t>
                  </w:r>
                  <w:r>
                    <w:rPr>
                      <w:rFonts w:hint="eastAsia" w:eastAsiaTheme="minorEastAsia"/>
                      <w:color w:val="auto"/>
                      <w:szCs w:val="21"/>
                      <w:highlight w:val="none"/>
                      <w:lang w:val="en-US" w:eastAsia="zh-CN"/>
                    </w:rPr>
                    <w:t>1</w:t>
                  </w:r>
                  <w:r>
                    <w:rPr>
                      <w:rFonts w:eastAsiaTheme="minorEastAsia"/>
                      <w:color w:val="auto"/>
                      <w:szCs w:val="21"/>
                      <w:highlight w:val="none"/>
                    </w:rPr>
                    <w:t>号）</w:t>
                  </w:r>
                </w:p>
              </w:tc>
              <w:tc>
                <w:tcPr>
                  <w:tcW w:w="2315" w:type="pct"/>
                  <w:tcBorders>
                    <w:tl2br w:val="nil"/>
                    <w:tr2bl w:val="nil"/>
                  </w:tcBorders>
                  <w:noWrap/>
                  <w:vAlign w:val="center"/>
                </w:tcPr>
                <w:p w14:paraId="15D0C84E">
                  <w:pPr>
                    <w:numPr>
                      <w:ilvl w:val="0"/>
                      <w:numId w:val="2"/>
                    </w:numPr>
                    <w:spacing w:line="260" w:lineRule="exact"/>
                    <w:ind w:left="0" w:leftChars="0" w:firstLine="0" w:firstLineChars="0"/>
                    <w:rPr>
                      <w:b/>
                      <w:bCs/>
                      <w:color w:val="auto"/>
                      <w:highlight w:val="none"/>
                    </w:rPr>
                  </w:pPr>
                  <w:r>
                    <w:rPr>
                      <w:b/>
                      <w:bCs/>
                      <w:color w:val="auto"/>
                      <w:highlight w:val="none"/>
                    </w:rPr>
                    <w:t>协同管控 强化大气污染防治</w:t>
                  </w:r>
                  <w:r>
                    <w:rPr>
                      <w:rFonts w:hint="eastAsia"/>
                      <w:b/>
                      <w:bCs/>
                      <w:color w:val="auto"/>
                      <w:highlight w:val="none"/>
                      <w:lang w:val="en-US" w:eastAsia="zh-CN"/>
                    </w:rPr>
                    <w:t xml:space="preserve"> </w:t>
                  </w:r>
                </w:p>
                <w:p w14:paraId="087BF3DD">
                  <w:pPr>
                    <w:numPr>
                      <w:ilvl w:val="0"/>
                      <w:numId w:val="0"/>
                    </w:numPr>
                    <w:spacing w:line="260" w:lineRule="exact"/>
                    <w:ind w:leftChars="0"/>
                    <w:rPr>
                      <w:b/>
                      <w:bCs/>
                      <w:color w:val="auto"/>
                      <w:highlight w:val="none"/>
                    </w:rPr>
                  </w:pPr>
                  <w:r>
                    <w:rPr>
                      <w:b/>
                      <w:bCs/>
                      <w:color w:val="auto"/>
                      <w:highlight w:val="none"/>
                    </w:rPr>
                    <w:t>第二节</w:t>
                  </w:r>
                  <w:r>
                    <w:rPr>
                      <w:rFonts w:hint="eastAsia"/>
                      <w:b/>
                      <w:bCs/>
                      <w:color w:val="auto"/>
                      <w:highlight w:val="none"/>
                      <w:lang w:val="en-US" w:eastAsia="zh-CN"/>
                    </w:rPr>
                    <w:t xml:space="preserve"> </w:t>
                  </w:r>
                  <w:r>
                    <w:rPr>
                      <w:b/>
                      <w:bCs/>
                      <w:color w:val="auto"/>
                      <w:highlight w:val="none"/>
                    </w:rPr>
                    <w:t>持续推进大气污染治理</w:t>
                  </w:r>
                </w:p>
                <w:p w14:paraId="75AFEFC2">
                  <w:pPr>
                    <w:numPr>
                      <w:ilvl w:val="0"/>
                      <w:numId w:val="0"/>
                    </w:numPr>
                    <w:spacing w:line="260" w:lineRule="exact"/>
                    <w:ind w:leftChars="0"/>
                    <w:rPr>
                      <w:color w:val="auto"/>
                      <w:highlight w:val="none"/>
                    </w:rPr>
                  </w:pPr>
                  <w:r>
                    <w:rPr>
                      <w:color w:val="auto"/>
                      <w:highlight w:val="none"/>
                    </w:rPr>
                    <w:t>加强扬尘</w:t>
                  </w:r>
                  <w:r>
                    <w:rPr>
                      <w:rFonts w:hint="eastAsia"/>
                      <w:color w:val="auto"/>
                      <w:highlight w:val="none"/>
                      <w:lang w:val="en-US" w:eastAsia="zh-CN"/>
                    </w:rPr>
                    <w:t>污染</w:t>
                  </w:r>
                  <w:r>
                    <w:rPr>
                      <w:color w:val="auto"/>
                      <w:highlight w:val="none"/>
                    </w:rPr>
                    <w:t>面源管控。理顺建设工地及</w:t>
                  </w:r>
                  <w:r>
                    <w:rPr>
                      <w:rFonts w:hint="eastAsia" w:ascii="宋体" w:hAnsi="宋体" w:eastAsia="宋体" w:cs="宋体"/>
                      <w:color w:val="auto"/>
                      <w:highlight w:val="none"/>
                    </w:rPr>
                    <w:t>“两类企业”扬尘</w:t>
                  </w:r>
                  <w:r>
                    <w:rPr>
                      <w:color w:val="auto"/>
                      <w:highlight w:val="none"/>
                    </w:rPr>
                    <w:t>污染防治工作机制，严格落实施工企业的主体责任、区县（开发区）的属地管理和行业监督责任。督导建设工地严格落实建设工地扬尘污染防治措施，不断探索扬尘污染防治新模式；加</w:t>
                  </w:r>
                  <w:r>
                    <w:rPr>
                      <w:rFonts w:hint="eastAsia"/>
                      <w:color w:val="auto"/>
                      <w:highlight w:val="none"/>
                      <w:lang w:val="en-US" w:eastAsia="zh-CN"/>
                    </w:rPr>
                    <w:t>大</w:t>
                  </w:r>
                  <w:r>
                    <w:rPr>
                      <w:color w:val="auto"/>
                      <w:highlight w:val="none"/>
                    </w:rPr>
                    <w:t>督导检查惩处力度，全面推行绿色施工。建立标准化扬尘在线监控系统，对工地扬尘防治工作进行监管。</w:t>
                  </w:r>
                </w:p>
                <w:p w14:paraId="53ECE19A">
                  <w:pPr>
                    <w:widowControl/>
                    <w:numPr>
                      <w:ilvl w:val="0"/>
                      <w:numId w:val="3"/>
                    </w:numPr>
                    <w:ind w:leftChars="0"/>
                    <w:jc w:val="left"/>
                    <w:rPr>
                      <w:rFonts w:hint="eastAsia"/>
                      <w:b/>
                      <w:bCs/>
                      <w:color w:val="auto"/>
                      <w:sz w:val="21"/>
                      <w:szCs w:val="21"/>
                      <w:highlight w:val="none"/>
                      <w:lang w:val="en-US" w:eastAsia="zh-CN"/>
                    </w:rPr>
                  </w:pPr>
                  <w:r>
                    <w:rPr>
                      <w:b/>
                      <w:bCs/>
                      <w:color w:val="auto"/>
                      <w:sz w:val="21"/>
                      <w:szCs w:val="21"/>
                      <w:highlight w:val="none"/>
                    </w:rPr>
                    <w:t>加强噪声污染</w:t>
                  </w:r>
                  <w:r>
                    <w:rPr>
                      <w:rFonts w:hint="eastAsia"/>
                      <w:b/>
                      <w:bCs/>
                      <w:color w:val="auto"/>
                      <w:sz w:val="21"/>
                      <w:szCs w:val="21"/>
                      <w:highlight w:val="none"/>
                      <w:lang w:val="en-US" w:eastAsia="zh-CN"/>
                    </w:rPr>
                    <w:t>防治</w:t>
                  </w:r>
                </w:p>
                <w:p w14:paraId="54EF9189">
                  <w:pPr>
                    <w:widowControl/>
                    <w:numPr>
                      <w:ilvl w:val="0"/>
                      <w:numId w:val="0"/>
                    </w:numPr>
                    <w:jc w:val="left"/>
                    <w:rPr>
                      <w:color w:val="auto"/>
                      <w:szCs w:val="21"/>
                      <w:highlight w:val="none"/>
                    </w:rPr>
                  </w:pPr>
                  <w:r>
                    <w:rPr>
                      <w:b w:val="0"/>
                      <w:bCs w:val="0"/>
                      <w:color w:val="auto"/>
                      <w:sz w:val="21"/>
                      <w:szCs w:val="21"/>
                      <w:highlight w:val="none"/>
                    </w:rPr>
                    <w:t>建筑施工噪声</w:t>
                  </w:r>
                  <w:r>
                    <w:rPr>
                      <w:rFonts w:hint="eastAsia"/>
                      <w:b w:val="0"/>
                      <w:bCs w:val="0"/>
                      <w:color w:val="auto"/>
                      <w:sz w:val="21"/>
                      <w:szCs w:val="21"/>
                      <w:highlight w:val="none"/>
                      <w:lang w:val="en-US" w:eastAsia="zh-CN"/>
                    </w:rPr>
                    <w:t>污染</w:t>
                  </w:r>
                  <w:r>
                    <w:rPr>
                      <w:b w:val="0"/>
                      <w:bCs w:val="0"/>
                      <w:color w:val="auto"/>
                      <w:sz w:val="21"/>
                      <w:szCs w:val="21"/>
                      <w:highlight w:val="none"/>
                    </w:rPr>
                    <w:t>防治。</w:t>
                  </w:r>
                  <w:r>
                    <w:rPr>
                      <w:color w:val="auto"/>
                      <w:sz w:val="21"/>
                      <w:szCs w:val="21"/>
                      <w:highlight w:val="none"/>
                    </w:rPr>
                    <w:t>加强施工噪声管理，实施城市建筑施工环保公告制度，推进利用噪声自动监测系统对建筑施工进行实时监督的措施。在建筑施工过程中推广使用低噪声设备和工艺，科学合理安排工期，加大对夜间施工作业的管理力度，确保施工噪声达标排放。</w:t>
                  </w:r>
                </w:p>
              </w:tc>
              <w:tc>
                <w:tcPr>
                  <w:tcW w:w="1375" w:type="pct"/>
                  <w:tcBorders>
                    <w:tl2br w:val="nil"/>
                    <w:tr2bl w:val="nil"/>
                  </w:tcBorders>
                  <w:noWrap/>
                  <w:vAlign w:val="center"/>
                </w:tcPr>
                <w:p w14:paraId="7270D67E">
                  <w:pPr>
                    <w:widowControl/>
                    <w:jc w:val="left"/>
                    <w:rPr>
                      <w:rFonts w:hint="eastAsia"/>
                      <w:color w:val="auto"/>
                      <w:kern w:val="0"/>
                      <w:szCs w:val="21"/>
                      <w:highlight w:val="none"/>
                      <w:lang w:eastAsia="zh-CN"/>
                    </w:rPr>
                  </w:pPr>
                  <w:r>
                    <w:rPr>
                      <w:rFonts w:hint="eastAsia"/>
                      <w:color w:val="auto"/>
                      <w:sz w:val="21"/>
                      <w:szCs w:val="21"/>
                      <w:highlight w:val="none"/>
                      <w:vertAlign w:val="baseline"/>
                      <w:lang w:val="en-US" w:eastAsia="zh-CN"/>
                    </w:rPr>
                    <w:t>项目施工期间，建设单位严格执行</w:t>
                  </w:r>
                  <w:r>
                    <w:rPr>
                      <w:rFonts w:hint="default"/>
                      <w:color w:val="auto"/>
                      <w:sz w:val="21"/>
                      <w:szCs w:val="21"/>
                      <w:highlight w:val="none"/>
                      <w:lang w:eastAsia="zh-CN"/>
                    </w:rPr>
                    <w:t>《陕西地区施工现场扬尘专项治理方案》</w:t>
                  </w:r>
                  <w:r>
                    <w:rPr>
                      <w:rFonts w:hint="eastAsia"/>
                      <w:color w:val="auto"/>
                      <w:sz w:val="21"/>
                      <w:szCs w:val="21"/>
                      <w:highlight w:val="none"/>
                      <w:lang w:val="en-US" w:eastAsia="zh-CN"/>
                    </w:rPr>
                    <w:t>和</w:t>
                  </w:r>
                  <w:r>
                    <w:rPr>
                      <w:rFonts w:hint="default"/>
                      <w:color w:val="auto"/>
                      <w:sz w:val="21"/>
                      <w:szCs w:val="21"/>
                      <w:highlight w:val="none"/>
                      <w:lang w:eastAsia="zh-CN"/>
                    </w:rPr>
                    <w:t>《建筑施工扬尘治理措施16条》</w:t>
                  </w:r>
                  <w:r>
                    <w:rPr>
                      <w:rFonts w:hint="eastAsia"/>
                      <w:color w:val="auto"/>
                      <w:sz w:val="21"/>
                      <w:szCs w:val="21"/>
                      <w:highlight w:val="none"/>
                      <w:lang w:eastAsia="zh-CN"/>
                    </w:rPr>
                    <w:t>，</w:t>
                  </w:r>
                  <w:r>
                    <w:rPr>
                      <w:rFonts w:hint="eastAsia"/>
                      <w:color w:val="auto"/>
                      <w:sz w:val="21"/>
                      <w:szCs w:val="21"/>
                      <w:highlight w:val="none"/>
                      <w:lang w:val="en-US" w:eastAsia="zh-CN"/>
                    </w:rPr>
                    <w:t>严格控制施工扬尘，落实六个100%措施。</w:t>
                  </w:r>
                </w:p>
                <w:p w14:paraId="18B1367F">
                  <w:pPr>
                    <w:widowControl/>
                    <w:jc w:val="left"/>
                    <w:rPr>
                      <w:rFonts w:hint="eastAsia" w:eastAsia="宋体"/>
                      <w:color w:val="auto"/>
                      <w:szCs w:val="21"/>
                      <w:highlight w:val="none"/>
                      <w:lang w:eastAsia="zh-CN"/>
                    </w:rPr>
                  </w:pPr>
                  <w:r>
                    <w:rPr>
                      <w:color w:val="auto"/>
                      <w:szCs w:val="21"/>
                      <w:highlight w:val="none"/>
                      <w:lang w:val="en-GB"/>
                    </w:rPr>
                    <w:t>项目施工过程中，尽可能采用低噪声设备和施工工艺，夜间不进行装修施工作业，确保施工场界噪声达标</w:t>
                  </w:r>
                  <w:r>
                    <w:rPr>
                      <w:rFonts w:hint="eastAsia"/>
                      <w:color w:val="auto"/>
                      <w:szCs w:val="21"/>
                      <w:highlight w:val="none"/>
                      <w:lang w:val="en-GB" w:eastAsia="zh-CN"/>
                    </w:rPr>
                    <w:t>。</w:t>
                  </w:r>
                </w:p>
              </w:tc>
              <w:tc>
                <w:tcPr>
                  <w:tcW w:w="509" w:type="pct"/>
                  <w:tcBorders>
                    <w:tl2br w:val="nil"/>
                    <w:tr2bl w:val="nil"/>
                  </w:tcBorders>
                  <w:noWrap/>
                  <w:vAlign w:val="center"/>
                </w:tcPr>
                <w:p w14:paraId="6B23F71E">
                  <w:pPr>
                    <w:spacing w:line="320" w:lineRule="exact"/>
                    <w:jc w:val="center"/>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符合</w:t>
                  </w:r>
                </w:p>
              </w:tc>
            </w:tr>
            <w:tr w14:paraId="49A72D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restart"/>
                  <w:tcBorders>
                    <w:tl2br w:val="nil"/>
                    <w:tr2bl w:val="nil"/>
                  </w:tcBorders>
                  <w:noWrap/>
                  <w:vAlign w:val="center"/>
                </w:tcPr>
                <w:p w14:paraId="673CE1DE">
                  <w:pPr>
                    <w:autoSpaceDE w:val="0"/>
                    <w:autoSpaceDN w:val="0"/>
                    <w:adjustRightInd w:val="0"/>
                    <w:jc w:val="center"/>
                    <w:rPr>
                      <w:rFonts w:eastAsiaTheme="minorEastAsia"/>
                      <w:color w:val="auto"/>
                      <w:szCs w:val="21"/>
                      <w:highlight w:val="none"/>
                    </w:rPr>
                  </w:pPr>
                  <w:r>
                    <w:rPr>
                      <w:rFonts w:eastAsiaTheme="minorEastAsia"/>
                      <w:color w:val="auto"/>
                      <w:szCs w:val="21"/>
                      <w:highlight w:val="none"/>
                    </w:rPr>
                    <w:t>《陕西省大气污染治理专项行动方案（2023-2027）》</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陕发</w:t>
                  </w:r>
                  <w:r>
                    <w:rPr>
                      <w:rFonts w:hint="default" w:ascii="Times New Roman" w:hAnsi="Times New Roman" w:eastAsia="宋体" w:cs="Times New Roman"/>
                      <w:b w:val="0"/>
                      <w:bCs/>
                      <w:i w:val="0"/>
                      <w:caps w:val="0"/>
                      <w:color w:val="auto"/>
                      <w:spacing w:val="0"/>
                      <w:kern w:val="2"/>
                      <w:sz w:val="21"/>
                      <w:szCs w:val="21"/>
                      <w:highlight w:val="none"/>
                      <w:lang w:val="en-US" w:eastAsia="zh-CN" w:bidi="ar-SA"/>
                    </w:rPr>
                    <w:t>〔</w:t>
                  </w:r>
                  <w:r>
                    <w:rPr>
                      <w:rFonts w:hint="eastAsia" w:ascii="Times New Roman" w:hAnsi="Times New Roman" w:eastAsia="宋体" w:cs="Times New Roman"/>
                      <w:b w:val="0"/>
                      <w:bCs/>
                      <w:i w:val="0"/>
                      <w:caps w:val="0"/>
                      <w:color w:val="auto"/>
                      <w:spacing w:val="0"/>
                      <w:kern w:val="2"/>
                      <w:sz w:val="21"/>
                      <w:szCs w:val="21"/>
                      <w:highlight w:val="none"/>
                      <w:lang w:val="en-US" w:eastAsia="zh-CN" w:bidi="ar-SA"/>
                    </w:rPr>
                    <w:t>2023</w:t>
                  </w:r>
                  <w:r>
                    <w:rPr>
                      <w:rFonts w:hint="default" w:ascii="Times New Roman" w:hAnsi="Times New Roman" w:eastAsia="宋体" w:cs="Times New Roman"/>
                      <w:b w:val="0"/>
                      <w:bCs/>
                      <w:i w:val="0"/>
                      <w:caps w:val="0"/>
                      <w:color w:val="auto"/>
                      <w:spacing w:val="0"/>
                      <w:kern w:val="2"/>
                      <w:sz w:val="21"/>
                      <w:szCs w:val="21"/>
                      <w:highlight w:val="none"/>
                      <w:lang w:val="en-US" w:eastAsia="zh-CN" w:bidi="ar-SA"/>
                    </w:rPr>
                    <w:t>〕</w:t>
                  </w:r>
                  <w:r>
                    <w:rPr>
                      <w:rFonts w:hint="eastAsia" w:ascii="Times New Roman" w:hAnsi="Times New Roman" w:eastAsia="宋体" w:cs="Times New Roman"/>
                      <w:b w:val="0"/>
                      <w:bCs/>
                      <w:i w:val="0"/>
                      <w:caps w:val="0"/>
                      <w:color w:val="auto"/>
                      <w:spacing w:val="0"/>
                      <w:kern w:val="2"/>
                      <w:sz w:val="21"/>
                      <w:szCs w:val="21"/>
                      <w:highlight w:val="none"/>
                      <w:lang w:val="en-US" w:eastAsia="zh-CN" w:bidi="ar-SA"/>
                    </w:rPr>
                    <w:t>4</w:t>
                  </w:r>
                  <w:r>
                    <w:rPr>
                      <w:rFonts w:hint="default" w:ascii="Times New Roman" w:hAnsi="Times New Roman" w:eastAsia="宋体" w:cs="Times New Roman"/>
                      <w:b w:val="0"/>
                      <w:bCs/>
                      <w:i w:val="0"/>
                      <w:caps w:val="0"/>
                      <w:color w:val="auto"/>
                      <w:spacing w:val="0"/>
                      <w:kern w:val="2"/>
                      <w:sz w:val="21"/>
                      <w:szCs w:val="21"/>
                      <w:highlight w:val="none"/>
                      <w:lang w:val="en-US" w:eastAsia="zh-CN" w:bidi="ar-SA"/>
                    </w:rPr>
                    <w:t>号</w:t>
                  </w:r>
                  <w:r>
                    <w:rPr>
                      <w:rFonts w:hint="eastAsia" w:ascii="Times New Roman" w:hAnsi="Times New Roman" w:cs="Times New Roman"/>
                      <w:color w:val="auto"/>
                      <w:sz w:val="21"/>
                      <w:szCs w:val="21"/>
                      <w:highlight w:val="none"/>
                      <w:lang w:eastAsia="zh-CN"/>
                    </w:rPr>
                    <w:t>）</w:t>
                  </w:r>
                </w:p>
              </w:tc>
              <w:tc>
                <w:tcPr>
                  <w:tcW w:w="2315" w:type="pct"/>
                  <w:tcBorders>
                    <w:tl2br w:val="nil"/>
                    <w:tr2bl w:val="nil"/>
                  </w:tcBorders>
                  <w:noWrap/>
                  <w:vAlign w:val="center"/>
                </w:tcPr>
                <w:p w14:paraId="5294A85E">
                  <w:pPr>
                    <w:widowControl/>
                    <w:numPr>
                      <w:ilvl w:val="0"/>
                      <w:numId w:val="0"/>
                    </w:numPr>
                    <w:jc w:val="left"/>
                    <w:rPr>
                      <w:rFonts w:hint="eastAsia" w:eastAsiaTheme="minorEastAsia"/>
                      <w:b/>
                      <w:bCs/>
                      <w:color w:val="auto"/>
                      <w:szCs w:val="21"/>
                      <w:highlight w:val="none"/>
                    </w:rPr>
                  </w:pPr>
                  <w:r>
                    <w:rPr>
                      <w:rFonts w:hint="eastAsia" w:eastAsiaTheme="minorEastAsia"/>
                      <w:b/>
                      <w:bCs/>
                      <w:color w:val="auto"/>
                      <w:szCs w:val="21"/>
                      <w:highlight w:val="none"/>
                      <w:lang w:val="en-US" w:eastAsia="zh-CN"/>
                    </w:rPr>
                    <w:t>3.</w:t>
                  </w:r>
                  <w:r>
                    <w:rPr>
                      <w:rFonts w:hint="eastAsia" w:eastAsiaTheme="minorEastAsia"/>
                      <w:b/>
                      <w:bCs/>
                      <w:color w:val="auto"/>
                      <w:szCs w:val="21"/>
                      <w:highlight w:val="none"/>
                    </w:rPr>
                    <w:t>产业结构调整。</w:t>
                  </w:r>
                </w:p>
                <w:p w14:paraId="62DA2CEB">
                  <w:pPr>
                    <w:widowControl/>
                    <w:numPr>
                      <w:ilvl w:val="0"/>
                      <w:numId w:val="0"/>
                    </w:numPr>
                    <w:jc w:val="left"/>
                    <w:rPr>
                      <w:rFonts w:eastAsiaTheme="minorEastAsia"/>
                      <w:color w:val="auto"/>
                      <w:szCs w:val="21"/>
                      <w:highlight w:val="none"/>
                    </w:rPr>
                  </w:pPr>
                  <w:r>
                    <w:rPr>
                      <w:rFonts w:hint="eastAsia" w:eastAsiaTheme="minorEastAsia"/>
                      <w:color w:val="auto"/>
                      <w:szCs w:val="21"/>
                      <w:highlight w:val="none"/>
                    </w:rPr>
                    <w:t>关中地区严禁新增钢铁、焦化、水泥熟料、平板玻璃、电解铝、氧化铝、煤化工</w:t>
                  </w:r>
                  <w:r>
                    <w:rPr>
                      <w:rFonts w:hint="eastAsia"/>
                      <w:lang w:val="en-US" w:eastAsia="zh-CN"/>
                    </w:rPr>
                    <w:t>等</w:t>
                  </w:r>
                  <w:r>
                    <w:rPr>
                      <w:rFonts w:hint="eastAsia" w:eastAsiaTheme="minorEastAsia"/>
                      <w:color w:val="auto"/>
                      <w:szCs w:val="21"/>
                      <w:highlight w:val="none"/>
                    </w:rPr>
                    <w:t>产能，合理控制煤油气产能规模，严控新增炼油产能。</w:t>
                  </w:r>
                </w:p>
                <w:p w14:paraId="6B330005">
                  <w:pPr>
                    <w:widowControl/>
                    <w:jc w:val="left"/>
                    <w:rPr>
                      <w:rFonts w:eastAsiaTheme="minorEastAsia"/>
                      <w:color w:val="auto"/>
                      <w:szCs w:val="21"/>
                      <w:highlight w:val="none"/>
                    </w:rPr>
                  </w:pPr>
                  <w:r>
                    <w:rPr>
                      <w:rFonts w:hint="eastAsia" w:eastAsiaTheme="minorEastAsia"/>
                      <w:color w:val="auto"/>
                      <w:szCs w:val="21"/>
                      <w:highlight w:val="none"/>
                    </w:rPr>
                    <w:t>关中地区市辖区及开发区范围内新、改、扩建涉气重点行业企业应达到环保绩效A级、绩效引领性水平，</w:t>
                  </w:r>
                  <w:r>
                    <w:rPr>
                      <w:rFonts w:hint="eastAsia" w:eastAsiaTheme="minorEastAsia"/>
                      <w:color w:val="auto"/>
                      <w:szCs w:val="21"/>
                      <w:highlight w:val="none"/>
                      <w:lang w:eastAsia="zh-CN"/>
                    </w:rPr>
                    <w:t>宝鸡市</w:t>
                  </w:r>
                  <w:r>
                    <w:rPr>
                      <w:rFonts w:hint="eastAsia" w:eastAsiaTheme="minorEastAsia"/>
                      <w:color w:val="auto"/>
                      <w:szCs w:val="21"/>
                      <w:highlight w:val="none"/>
                    </w:rPr>
                    <w:t>、咸阳市、渭南市的其他区域应达到环保绩效B级及以上水平。</w:t>
                  </w:r>
                </w:p>
              </w:tc>
              <w:tc>
                <w:tcPr>
                  <w:tcW w:w="1375" w:type="pct"/>
                  <w:tcBorders>
                    <w:tl2br w:val="nil"/>
                    <w:tr2bl w:val="nil"/>
                  </w:tcBorders>
                  <w:noWrap/>
                  <w:vAlign w:val="center"/>
                </w:tcPr>
                <w:p w14:paraId="1C0CEBB6">
                  <w:pPr>
                    <w:widowControl/>
                    <w:jc w:val="left"/>
                    <w:rPr>
                      <w:rFonts w:hint="eastAsia" w:eastAsia="宋体"/>
                      <w:color w:val="auto"/>
                      <w:szCs w:val="21"/>
                      <w:highlight w:val="none"/>
                      <w:lang w:eastAsia="zh-CN"/>
                    </w:rPr>
                  </w:pPr>
                  <w:r>
                    <w:rPr>
                      <w:rFonts w:hint="eastAsia"/>
                      <w:color w:val="auto"/>
                      <w:szCs w:val="21"/>
                      <w:highlight w:val="none"/>
                      <w:lang w:val="en-US" w:eastAsia="zh-CN"/>
                    </w:rPr>
                    <w:t>本项目属于其他建筑材料制造业，</w:t>
                  </w:r>
                  <w:r>
                    <w:rPr>
                      <w:color w:val="auto"/>
                      <w:szCs w:val="21"/>
                      <w:highlight w:val="none"/>
                      <w:lang w:val="en-GB"/>
                    </w:rPr>
                    <w:t>不属于</w:t>
                  </w:r>
                  <w:r>
                    <w:rPr>
                      <w:rFonts w:hint="eastAsia"/>
                      <w:color w:val="auto"/>
                      <w:szCs w:val="21"/>
                      <w:highlight w:val="none"/>
                      <w:lang w:val="en-US" w:eastAsia="zh-CN"/>
                    </w:rPr>
                    <w:t>关中地区</w:t>
                  </w:r>
                  <w:r>
                    <w:rPr>
                      <w:color w:val="auto"/>
                      <w:szCs w:val="21"/>
                      <w:highlight w:val="none"/>
                      <w:lang w:val="en-GB"/>
                    </w:rPr>
                    <w:t>产业发展结构中禁止产业</w:t>
                  </w:r>
                  <w:r>
                    <w:rPr>
                      <w:rFonts w:hint="eastAsia"/>
                      <w:color w:val="auto"/>
                      <w:szCs w:val="21"/>
                      <w:highlight w:val="none"/>
                      <w:lang w:val="en-GB" w:eastAsia="zh-CN"/>
                    </w:rPr>
                    <w:t>；</w:t>
                  </w:r>
                  <w:r>
                    <w:rPr>
                      <w:rFonts w:hint="eastAsia"/>
                      <w:color w:val="auto"/>
                      <w:szCs w:val="21"/>
                      <w:highlight w:val="none"/>
                      <w:lang w:val="en-US" w:eastAsia="zh-CN"/>
                    </w:rPr>
                    <w:t>本项目不属于</w:t>
                  </w:r>
                  <w:r>
                    <w:rPr>
                      <w:rFonts w:hint="eastAsia" w:cs="Times New Roman"/>
                      <w:color w:val="auto"/>
                      <w:sz w:val="21"/>
                      <w:szCs w:val="21"/>
                      <w:highlight w:val="none"/>
                      <w:lang w:val="en-US" w:eastAsia="zh-CN"/>
                    </w:rPr>
                    <w:t>涉气重点行业中的水泥制品，但该</w:t>
                  </w:r>
                  <w:r>
                    <w:rPr>
                      <w:rFonts w:hint="eastAsia" w:ascii="Times New Roman" w:hAnsi="Times New Roman" w:cs="Times New Roman"/>
                      <w:color w:val="auto"/>
                      <w:sz w:val="21"/>
                      <w:szCs w:val="21"/>
                      <w:highlight w:val="none"/>
                      <w:vertAlign w:val="baseline"/>
                      <w:lang w:val="en-US" w:eastAsia="zh-CN"/>
                    </w:rPr>
                    <w:t>企业于2023年已获得水泥熟料行业环保绩效A级企业。</w:t>
                  </w:r>
                </w:p>
              </w:tc>
              <w:tc>
                <w:tcPr>
                  <w:tcW w:w="509" w:type="pct"/>
                  <w:tcBorders>
                    <w:tl2br w:val="nil"/>
                    <w:tr2bl w:val="nil"/>
                  </w:tcBorders>
                  <w:noWrap/>
                  <w:vAlign w:val="center"/>
                </w:tcPr>
                <w:p w14:paraId="731100F4">
                  <w:pPr>
                    <w:jc w:val="center"/>
                    <w:rPr>
                      <w:rFonts w:eastAsiaTheme="minorEastAsia"/>
                      <w:color w:val="auto"/>
                      <w:szCs w:val="21"/>
                      <w:highlight w:val="none"/>
                    </w:rPr>
                  </w:pPr>
                  <w:r>
                    <w:rPr>
                      <w:rFonts w:hint="eastAsia" w:eastAsiaTheme="minorEastAsia"/>
                      <w:color w:val="auto"/>
                      <w:szCs w:val="21"/>
                      <w:highlight w:val="none"/>
                    </w:rPr>
                    <w:t>符合</w:t>
                  </w:r>
                </w:p>
              </w:tc>
            </w:tr>
            <w:tr w14:paraId="3A6B5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continue"/>
                  <w:tcBorders>
                    <w:tl2br w:val="nil"/>
                    <w:tr2bl w:val="nil"/>
                  </w:tcBorders>
                  <w:noWrap/>
                  <w:vAlign w:val="center"/>
                </w:tcPr>
                <w:p w14:paraId="045044DF">
                  <w:pPr>
                    <w:widowControl/>
                    <w:jc w:val="left"/>
                    <w:rPr>
                      <w:color w:val="auto"/>
                      <w:highlight w:val="none"/>
                    </w:rPr>
                  </w:pPr>
                </w:p>
              </w:tc>
              <w:tc>
                <w:tcPr>
                  <w:tcW w:w="2315" w:type="pct"/>
                  <w:tcBorders>
                    <w:tl2br w:val="nil"/>
                    <w:tr2bl w:val="nil"/>
                  </w:tcBorders>
                  <w:noWrap/>
                  <w:vAlign w:val="center"/>
                </w:tcPr>
                <w:p w14:paraId="4293C23D">
                  <w:pPr>
                    <w:widowControl/>
                    <w:numPr>
                      <w:ilvl w:val="0"/>
                      <w:numId w:val="0"/>
                    </w:numPr>
                    <w:jc w:val="left"/>
                    <w:rPr>
                      <w:rFonts w:hint="default" w:eastAsiaTheme="minorEastAsia"/>
                      <w:b/>
                      <w:bCs/>
                      <w:color w:val="auto"/>
                      <w:szCs w:val="21"/>
                      <w:highlight w:val="none"/>
                      <w:lang w:val="en-US" w:eastAsia="zh-CN"/>
                    </w:rPr>
                  </w:pPr>
                  <w:r>
                    <w:rPr>
                      <w:rFonts w:hint="eastAsia"/>
                      <w:b/>
                      <w:bCs/>
                      <w:color w:val="auto"/>
                      <w:sz w:val="21"/>
                      <w:szCs w:val="21"/>
                      <w:highlight w:val="none"/>
                      <w:lang w:val="en-US" w:eastAsia="zh-CN"/>
                    </w:rPr>
                    <w:t>8.</w:t>
                  </w:r>
                  <w:r>
                    <w:rPr>
                      <w:b/>
                      <w:bCs/>
                      <w:color w:val="auto"/>
                      <w:sz w:val="21"/>
                      <w:szCs w:val="21"/>
                      <w:highlight w:val="none"/>
                    </w:rPr>
                    <w:t>扬尘治理工程。</w:t>
                  </w:r>
                </w:p>
                <w:p w14:paraId="4E28C818">
                  <w:pPr>
                    <w:widowControl/>
                    <w:numPr>
                      <w:ilvl w:val="0"/>
                      <w:numId w:val="0"/>
                    </w:numPr>
                    <w:jc w:val="left"/>
                    <w:rPr>
                      <w:rFonts w:hint="eastAsia" w:eastAsia="宋体"/>
                      <w:color w:val="auto"/>
                      <w:szCs w:val="21"/>
                      <w:highlight w:val="none"/>
                      <w:lang w:val="en-US" w:eastAsia="zh-CN"/>
                    </w:rPr>
                  </w:pPr>
                  <w:r>
                    <w:rPr>
                      <w:rFonts w:hint="eastAsia"/>
                      <w:color w:val="auto"/>
                      <w:sz w:val="21"/>
                      <w:szCs w:val="21"/>
                      <w:highlight w:val="none"/>
                    </w:rPr>
                    <w:t>关中地区以降低PM</w:t>
                  </w:r>
                  <w:r>
                    <w:rPr>
                      <w:rFonts w:hint="eastAsia"/>
                      <w:color w:val="auto"/>
                      <w:sz w:val="21"/>
                      <w:szCs w:val="21"/>
                      <w:highlight w:val="none"/>
                      <w:vertAlign w:val="subscript"/>
                    </w:rPr>
                    <w:t>10</w:t>
                  </w:r>
                  <w:r>
                    <w:rPr>
                      <w:rFonts w:hint="eastAsia"/>
                      <w:color w:val="auto"/>
                      <w:sz w:val="21"/>
                      <w:szCs w:val="21"/>
                      <w:highlight w:val="none"/>
                    </w:rPr>
                    <w:t>指标为导向建立动态管控机制，施工场地严格执行“六个百分百”，施工工地扬尘排放超过《施工场界扬尘排放限值》（DB61/1078-2017）的立即停工整改，</w:t>
                  </w:r>
                  <w:r>
                    <w:rPr>
                      <w:rFonts w:hint="eastAsia"/>
                      <w:color w:val="auto"/>
                      <w:sz w:val="21"/>
                      <w:szCs w:val="21"/>
                      <w:highlight w:val="none"/>
                      <w:lang w:eastAsia="zh-CN"/>
                    </w:rPr>
                    <w:t>宝鸡市</w:t>
                  </w:r>
                  <w:r>
                    <w:rPr>
                      <w:rFonts w:hint="eastAsia"/>
                      <w:color w:val="auto"/>
                      <w:sz w:val="21"/>
                      <w:szCs w:val="21"/>
                      <w:highlight w:val="none"/>
                    </w:rPr>
                    <w:t>、咸阳市、渭南市除沙尘天气影响外，PM</w:t>
                  </w:r>
                  <w:r>
                    <w:rPr>
                      <w:rFonts w:hint="eastAsia"/>
                      <w:color w:val="auto"/>
                      <w:sz w:val="21"/>
                      <w:szCs w:val="21"/>
                      <w:highlight w:val="none"/>
                      <w:vertAlign w:val="subscript"/>
                    </w:rPr>
                    <w:t>10</w:t>
                  </w:r>
                  <w:r>
                    <w:rPr>
                      <w:rFonts w:hint="eastAsia"/>
                      <w:color w:val="auto"/>
                      <w:sz w:val="21"/>
                      <w:szCs w:val="21"/>
                      <w:highlight w:val="none"/>
                    </w:rPr>
                    <w:t>小时浓度连续3小时超过150微克/立方米时，暂停超过环境质量监测值2.5倍以上的施工工地作业。</w:t>
                  </w:r>
                </w:p>
              </w:tc>
              <w:tc>
                <w:tcPr>
                  <w:tcW w:w="1375" w:type="pct"/>
                  <w:tcBorders>
                    <w:tl2br w:val="nil"/>
                    <w:tr2bl w:val="nil"/>
                  </w:tcBorders>
                  <w:noWrap/>
                  <w:vAlign w:val="center"/>
                </w:tcPr>
                <w:p w14:paraId="2CDFE682">
                  <w:pPr>
                    <w:widowControl/>
                    <w:jc w:val="left"/>
                    <w:rPr>
                      <w:rFonts w:hint="default" w:eastAsia="宋体"/>
                      <w:color w:val="auto"/>
                      <w:szCs w:val="21"/>
                      <w:highlight w:val="none"/>
                      <w:lang w:val="en-US" w:eastAsia="zh-CN"/>
                    </w:rPr>
                  </w:pPr>
                  <w:r>
                    <w:rPr>
                      <w:rFonts w:hint="eastAsia"/>
                      <w:color w:val="auto"/>
                      <w:sz w:val="21"/>
                      <w:szCs w:val="21"/>
                      <w:highlight w:val="none"/>
                      <w:vertAlign w:val="baseline"/>
                      <w:lang w:val="en-US" w:eastAsia="zh-CN"/>
                    </w:rPr>
                    <w:t>项目施工期严格执行</w:t>
                  </w:r>
                  <w:r>
                    <w:rPr>
                      <w:rFonts w:hint="default"/>
                      <w:color w:val="auto"/>
                      <w:sz w:val="21"/>
                      <w:szCs w:val="21"/>
                      <w:highlight w:val="none"/>
                      <w:lang w:eastAsia="zh-CN"/>
                    </w:rPr>
                    <w:t>《陕西地区施工现场扬尘专项治理方案》</w:t>
                  </w:r>
                  <w:r>
                    <w:rPr>
                      <w:rFonts w:hint="eastAsia"/>
                      <w:color w:val="auto"/>
                      <w:sz w:val="21"/>
                      <w:szCs w:val="21"/>
                      <w:highlight w:val="none"/>
                      <w:lang w:val="en-US" w:eastAsia="zh-CN"/>
                    </w:rPr>
                    <w:t>和</w:t>
                  </w:r>
                  <w:r>
                    <w:rPr>
                      <w:rFonts w:hint="default"/>
                      <w:color w:val="auto"/>
                      <w:sz w:val="21"/>
                      <w:szCs w:val="21"/>
                      <w:highlight w:val="none"/>
                      <w:lang w:eastAsia="zh-CN"/>
                    </w:rPr>
                    <w:t>《建筑施工扬尘治理措施16条》</w:t>
                  </w:r>
                  <w:r>
                    <w:rPr>
                      <w:rFonts w:hint="eastAsia"/>
                      <w:color w:val="auto"/>
                      <w:sz w:val="21"/>
                      <w:szCs w:val="21"/>
                      <w:highlight w:val="none"/>
                      <w:lang w:eastAsia="zh-CN"/>
                    </w:rPr>
                    <w:t>，</w:t>
                  </w:r>
                  <w:r>
                    <w:rPr>
                      <w:rFonts w:hint="eastAsia"/>
                      <w:color w:val="auto"/>
                      <w:sz w:val="21"/>
                      <w:szCs w:val="21"/>
                      <w:highlight w:val="none"/>
                      <w:lang w:val="en-US" w:eastAsia="zh-CN"/>
                    </w:rPr>
                    <w:t>严格控制施工扬尘，落实六个100%措施，</w:t>
                  </w:r>
                  <w:r>
                    <w:rPr>
                      <w:color w:val="auto"/>
                      <w:szCs w:val="21"/>
                      <w:highlight w:val="none"/>
                      <w:lang w:val="en-GB"/>
                    </w:rPr>
                    <w:t>其施工场界扬尘可满足</w:t>
                  </w:r>
                  <w:r>
                    <w:rPr>
                      <w:color w:val="auto"/>
                      <w:kern w:val="0"/>
                      <w:szCs w:val="21"/>
                      <w:highlight w:val="none"/>
                    </w:rPr>
                    <w:t>《施工场界扬尘排放限值</w:t>
                  </w:r>
                  <w:r>
                    <w:rPr>
                      <w:rFonts w:hint="eastAsia"/>
                      <w:color w:val="auto"/>
                      <w:kern w:val="0"/>
                      <w:szCs w:val="21"/>
                      <w:highlight w:val="none"/>
                      <w:lang w:eastAsia="zh-CN"/>
                    </w:rPr>
                    <w:t>》（</w:t>
                  </w:r>
                  <w:r>
                    <w:rPr>
                      <w:color w:val="auto"/>
                      <w:kern w:val="0"/>
                      <w:szCs w:val="21"/>
                      <w:highlight w:val="none"/>
                    </w:rPr>
                    <w:t>DB61/1078-2017</w:t>
                  </w:r>
                  <w:r>
                    <w:rPr>
                      <w:rFonts w:hint="eastAsia"/>
                      <w:color w:val="auto"/>
                      <w:kern w:val="0"/>
                      <w:szCs w:val="21"/>
                      <w:highlight w:val="none"/>
                      <w:lang w:eastAsia="zh-CN"/>
                    </w:rPr>
                    <w:t>）</w:t>
                  </w:r>
                  <w:r>
                    <w:rPr>
                      <w:color w:val="auto"/>
                      <w:kern w:val="0"/>
                      <w:szCs w:val="21"/>
                      <w:highlight w:val="none"/>
                    </w:rPr>
                    <w:t>要求</w:t>
                  </w:r>
                  <w:r>
                    <w:rPr>
                      <w:rFonts w:hint="eastAsia"/>
                      <w:color w:val="auto"/>
                      <w:kern w:val="0"/>
                      <w:szCs w:val="21"/>
                      <w:highlight w:val="none"/>
                      <w:lang w:eastAsia="zh-CN"/>
                    </w:rPr>
                    <w:t>，</w:t>
                  </w:r>
                  <w:r>
                    <w:rPr>
                      <w:rFonts w:hint="eastAsia"/>
                      <w:color w:val="auto"/>
                      <w:kern w:val="0"/>
                      <w:szCs w:val="21"/>
                      <w:highlight w:val="none"/>
                      <w:lang w:val="en-US" w:eastAsia="zh-CN"/>
                    </w:rPr>
                    <w:t>若有超标情况，立即按照要求停工整改。</w:t>
                  </w:r>
                </w:p>
              </w:tc>
              <w:tc>
                <w:tcPr>
                  <w:tcW w:w="509" w:type="pct"/>
                  <w:tcBorders>
                    <w:tl2br w:val="nil"/>
                    <w:tr2bl w:val="nil"/>
                  </w:tcBorders>
                  <w:noWrap/>
                  <w:vAlign w:val="center"/>
                </w:tcPr>
                <w:p w14:paraId="0FB89421">
                  <w:pPr>
                    <w:widowControl/>
                    <w:jc w:val="center"/>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符合</w:t>
                  </w:r>
                </w:p>
              </w:tc>
            </w:tr>
            <w:tr w14:paraId="20527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restart"/>
                  <w:tcBorders>
                    <w:tl2br w:val="nil"/>
                    <w:tr2bl w:val="nil"/>
                  </w:tcBorders>
                  <w:noWrap/>
                  <w:vAlign w:val="center"/>
                </w:tcPr>
                <w:p w14:paraId="3CD10E22">
                  <w:pPr>
                    <w:autoSpaceDE w:val="0"/>
                    <w:autoSpaceDN w:val="0"/>
                    <w:adjustRightInd w:val="0"/>
                    <w:jc w:val="center"/>
                    <w:rPr>
                      <w:rFonts w:eastAsiaTheme="minorEastAsia"/>
                      <w:color w:val="auto"/>
                      <w:szCs w:val="21"/>
                      <w:highlight w:val="none"/>
                    </w:rPr>
                  </w:pPr>
                  <w:r>
                    <w:rPr>
                      <w:rFonts w:eastAsiaTheme="minorEastAsia"/>
                      <w:color w:val="auto"/>
                      <w:szCs w:val="21"/>
                      <w:highlight w:val="none"/>
                    </w:rPr>
                    <w:t>《</w:t>
                  </w:r>
                  <w:r>
                    <w:rPr>
                      <w:rFonts w:hint="eastAsia" w:eastAsiaTheme="minorEastAsia"/>
                      <w:color w:val="auto"/>
                      <w:szCs w:val="21"/>
                      <w:highlight w:val="none"/>
                      <w:lang w:eastAsia="zh-CN"/>
                    </w:rPr>
                    <w:t>宝鸡市</w:t>
                  </w:r>
                  <w:r>
                    <w:rPr>
                      <w:rFonts w:eastAsiaTheme="minorEastAsia"/>
                      <w:color w:val="auto"/>
                      <w:szCs w:val="21"/>
                      <w:highlight w:val="none"/>
                    </w:rPr>
                    <w:t>大气污染治理专项行动方案（2023-2027）》</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市字</w:t>
                  </w:r>
                  <w:r>
                    <w:rPr>
                      <w:rFonts w:hint="default" w:ascii="Times New Roman" w:hAnsi="Times New Roman" w:eastAsia="宋体" w:cs="Times New Roman"/>
                      <w:b w:val="0"/>
                      <w:bCs/>
                      <w:i w:val="0"/>
                      <w:caps w:val="0"/>
                      <w:color w:val="auto"/>
                      <w:spacing w:val="0"/>
                      <w:kern w:val="2"/>
                      <w:sz w:val="21"/>
                      <w:szCs w:val="21"/>
                      <w:highlight w:val="none"/>
                      <w:lang w:val="en-US" w:eastAsia="zh-CN" w:bidi="ar-SA"/>
                    </w:rPr>
                    <w:t>〔</w:t>
                  </w:r>
                  <w:r>
                    <w:rPr>
                      <w:rFonts w:hint="eastAsia" w:ascii="Times New Roman" w:hAnsi="Times New Roman" w:eastAsia="宋体" w:cs="Times New Roman"/>
                      <w:b w:val="0"/>
                      <w:bCs/>
                      <w:i w:val="0"/>
                      <w:caps w:val="0"/>
                      <w:color w:val="auto"/>
                      <w:spacing w:val="0"/>
                      <w:kern w:val="2"/>
                      <w:sz w:val="21"/>
                      <w:szCs w:val="21"/>
                      <w:highlight w:val="none"/>
                      <w:lang w:val="en-US" w:eastAsia="zh-CN" w:bidi="ar-SA"/>
                    </w:rPr>
                    <w:t>2023</w:t>
                  </w:r>
                  <w:r>
                    <w:rPr>
                      <w:rFonts w:hint="default" w:ascii="Times New Roman" w:hAnsi="Times New Roman" w:eastAsia="宋体" w:cs="Times New Roman"/>
                      <w:b w:val="0"/>
                      <w:bCs/>
                      <w:i w:val="0"/>
                      <w:caps w:val="0"/>
                      <w:color w:val="auto"/>
                      <w:spacing w:val="0"/>
                      <w:kern w:val="2"/>
                      <w:sz w:val="21"/>
                      <w:szCs w:val="21"/>
                      <w:highlight w:val="none"/>
                      <w:lang w:val="en-US" w:eastAsia="zh-CN" w:bidi="ar-SA"/>
                    </w:rPr>
                    <w:t>〕</w:t>
                  </w:r>
                  <w:r>
                    <w:rPr>
                      <w:rFonts w:hint="eastAsia" w:ascii="Times New Roman" w:hAnsi="Times New Roman" w:eastAsia="宋体" w:cs="Times New Roman"/>
                      <w:b w:val="0"/>
                      <w:bCs/>
                      <w:i w:val="0"/>
                      <w:caps w:val="0"/>
                      <w:color w:val="auto"/>
                      <w:spacing w:val="0"/>
                      <w:kern w:val="2"/>
                      <w:sz w:val="21"/>
                      <w:szCs w:val="21"/>
                      <w:highlight w:val="none"/>
                      <w:lang w:val="en-US" w:eastAsia="zh-CN" w:bidi="ar-SA"/>
                    </w:rPr>
                    <w:t>32</w:t>
                  </w:r>
                  <w:r>
                    <w:rPr>
                      <w:rFonts w:hint="default" w:ascii="Times New Roman" w:hAnsi="Times New Roman" w:eastAsia="宋体" w:cs="Times New Roman"/>
                      <w:b w:val="0"/>
                      <w:bCs/>
                      <w:i w:val="0"/>
                      <w:caps w:val="0"/>
                      <w:color w:val="auto"/>
                      <w:spacing w:val="0"/>
                      <w:kern w:val="2"/>
                      <w:sz w:val="21"/>
                      <w:szCs w:val="21"/>
                      <w:highlight w:val="none"/>
                      <w:lang w:val="en-US" w:eastAsia="zh-CN" w:bidi="ar-SA"/>
                    </w:rPr>
                    <w:t>号</w:t>
                  </w:r>
                  <w:r>
                    <w:rPr>
                      <w:rFonts w:hint="eastAsia" w:ascii="Times New Roman" w:hAnsi="Times New Roman" w:cs="Times New Roman"/>
                      <w:color w:val="auto"/>
                      <w:sz w:val="21"/>
                      <w:szCs w:val="21"/>
                      <w:highlight w:val="none"/>
                      <w:lang w:eastAsia="zh-CN"/>
                    </w:rPr>
                    <w:t>）</w:t>
                  </w:r>
                </w:p>
              </w:tc>
              <w:tc>
                <w:tcPr>
                  <w:tcW w:w="2315" w:type="pct"/>
                  <w:tcBorders>
                    <w:tl2br w:val="nil"/>
                    <w:tr2bl w:val="nil"/>
                  </w:tcBorders>
                  <w:noWrap/>
                  <w:vAlign w:val="center"/>
                </w:tcPr>
                <w:p w14:paraId="4CE52252">
                  <w:pPr>
                    <w:spacing w:line="260" w:lineRule="exact"/>
                    <w:rPr>
                      <w:b/>
                      <w:bCs/>
                      <w:color w:val="auto"/>
                      <w:kern w:val="0"/>
                      <w:sz w:val="21"/>
                      <w:szCs w:val="21"/>
                      <w:highlight w:val="none"/>
                    </w:rPr>
                  </w:pPr>
                  <w:r>
                    <w:rPr>
                      <w:b/>
                      <w:bCs/>
                      <w:color w:val="auto"/>
                      <w:kern w:val="0"/>
                      <w:sz w:val="21"/>
                      <w:szCs w:val="21"/>
                      <w:highlight w:val="none"/>
                    </w:rPr>
                    <w:t>1</w:t>
                  </w:r>
                  <w:r>
                    <w:rPr>
                      <w:rFonts w:hint="eastAsia"/>
                      <w:b/>
                      <w:bCs/>
                      <w:color w:val="auto"/>
                      <w:kern w:val="0"/>
                      <w:sz w:val="21"/>
                      <w:szCs w:val="21"/>
                      <w:highlight w:val="none"/>
                      <w:lang w:val="en-US" w:eastAsia="zh-CN"/>
                    </w:rPr>
                    <w:t>.</w:t>
                  </w:r>
                  <w:r>
                    <w:rPr>
                      <w:b/>
                      <w:bCs/>
                      <w:color w:val="auto"/>
                      <w:kern w:val="0"/>
                      <w:sz w:val="21"/>
                      <w:szCs w:val="21"/>
                      <w:highlight w:val="none"/>
                    </w:rPr>
                    <w:t>能源消费结构调整。</w:t>
                  </w:r>
                </w:p>
                <w:p w14:paraId="2429AF8C">
                  <w:pPr>
                    <w:spacing w:line="260" w:lineRule="exact"/>
                    <w:rPr>
                      <w:rFonts w:hint="eastAsia"/>
                      <w:color w:val="auto"/>
                      <w:kern w:val="0"/>
                      <w:szCs w:val="21"/>
                      <w:highlight w:val="none"/>
                      <w:lang w:eastAsia="zh-CN"/>
                    </w:rPr>
                  </w:pPr>
                  <w:r>
                    <w:rPr>
                      <w:color w:val="auto"/>
                      <w:kern w:val="0"/>
                      <w:szCs w:val="21"/>
                      <w:highlight w:val="none"/>
                    </w:rPr>
                    <w:t>（1）全面推动能源绿色低碳转型。</w:t>
                  </w:r>
                  <w:r>
                    <w:rPr>
                      <w:rFonts w:hint="eastAsia"/>
                      <w:color w:val="auto"/>
                      <w:kern w:val="0"/>
                      <w:szCs w:val="21"/>
                      <w:highlight w:val="none"/>
                      <w:lang w:val="en-US" w:eastAsia="zh-CN"/>
                    </w:rPr>
                    <w:t>推进</w:t>
                  </w:r>
                  <w:r>
                    <w:rPr>
                      <w:color w:val="auto"/>
                      <w:kern w:val="0"/>
                      <w:szCs w:val="21"/>
                      <w:highlight w:val="none"/>
                    </w:rPr>
                    <w:t>能</w:t>
                  </w:r>
                  <w:r>
                    <w:rPr>
                      <w:rFonts w:hint="eastAsia" w:ascii="宋体" w:hAnsi="宋体" w:eastAsia="宋体" w:cs="宋体"/>
                      <w:color w:val="auto"/>
                      <w:kern w:val="0"/>
                      <w:szCs w:val="21"/>
                      <w:highlight w:val="none"/>
                    </w:rPr>
                    <w:t>耗“双控”向碳排放总量和强度“双控”转变</w:t>
                  </w:r>
                  <w:r>
                    <w:rPr>
                      <w:rFonts w:hint="eastAsia" w:ascii="宋体" w:hAnsi="宋体" w:eastAsia="宋体" w:cs="宋体"/>
                      <w:color w:val="auto"/>
                      <w:kern w:val="0"/>
                      <w:szCs w:val="21"/>
                      <w:highlight w:val="none"/>
                      <w:lang w:eastAsia="zh-CN"/>
                    </w:rPr>
                    <w:t>，</w:t>
                  </w:r>
                  <w:r>
                    <w:rPr>
                      <w:color w:val="auto"/>
                      <w:kern w:val="0"/>
                      <w:szCs w:val="21"/>
                      <w:highlight w:val="none"/>
                    </w:rPr>
                    <w:t>积极发展非化石能源</w:t>
                  </w:r>
                  <w:r>
                    <w:rPr>
                      <w:rFonts w:hint="eastAsia"/>
                      <w:color w:val="auto"/>
                      <w:kern w:val="0"/>
                      <w:szCs w:val="21"/>
                      <w:highlight w:val="none"/>
                      <w:lang w:eastAsia="zh-CN"/>
                    </w:rPr>
                    <w:t>。</w:t>
                  </w:r>
                </w:p>
                <w:p w14:paraId="0D6904F9">
                  <w:pPr>
                    <w:pStyle w:val="2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kern w:val="0"/>
                      <w:sz w:val="21"/>
                      <w:szCs w:val="21"/>
                      <w:highlight w:val="none"/>
                      <w:lang w:val="en-US" w:eastAsia="zh-CN"/>
                    </w:rPr>
                    <w:t>2.</w:t>
                  </w:r>
                  <w:r>
                    <w:rPr>
                      <w:rFonts w:hint="eastAsia" w:ascii="Times New Roman" w:hAnsi="Times New Roman" w:cs="Times New Roman"/>
                      <w:color w:val="auto"/>
                      <w:kern w:val="0"/>
                      <w:sz w:val="21"/>
                      <w:szCs w:val="21"/>
                      <w:highlight w:val="none"/>
                      <w:lang w:val="en-US" w:eastAsia="zh-CN"/>
                    </w:rPr>
                    <w:t>城市供热结构调整</w:t>
                  </w:r>
                </w:p>
                <w:p w14:paraId="656DDB53">
                  <w:pPr>
                    <w:widowControl/>
                    <w:jc w:val="left"/>
                    <w:rPr>
                      <w:rFonts w:hint="eastAsia" w:eastAsia="宋体"/>
                      <w:color w:val="auto"/>
                      <w:szCs w:val="21"/>
                      <w:highlight w:val="none"/>
                      <w:lang w:eastAsia="zh-CN"/>
                    </w:rPr>
                  </w:pPr>
                  <w:r>
                    <w:rPr>
                      <w:rFonts w:ascii="Times New Roman" w:cs="Times New Roman"/>
                      <w:color w:val="auto"/>
                      <w:sz w:val="21"/>
                      <w:szCs w:val="21"/>
                      <w:highlight w:val="none"/>
                    </w:rPr>
                    <w:t>（6）大力发展清洁取暖方式。2023年起，新建居民住宅、商业综合体等必须使用清洁能源取暖</w:t>
                  </w:r>
                  <w:r>
                    <w:rPr>
                      <w:rFonts w:hint="eastAsia" w:ascii="Times New Roman" w:cs="Times New Roman"/>
                      <w:color w:val="auto"/>
                      <w:sz w:val="21"/>
                      <w:szCs w:val="21"/>
                      <w:highlight w:val="none"/>
                      <w:lang w:eastAsia="zh-CN"/>
                    </w:rPr>
                    <w:t>，</w:t>
                  </w:r>
                  <w:r>
                    <w:rPr>
                      <w:rFonts w:ascii="Times New Roman" w:cs="Times New Roman"/>
                      <w:color w:val="auto"/>
                      <w:sz w:val="21"/>
                      <w:szCs w:val="21"/>
                      <w:highlight w:val="none"/>
                    </w:rPr>
                    <w:t>持续推进</w:t>
                  </w:r>
                  <w:r>
                    <w:rPr>
                      <w:rFonts w:hint="eastAsia" w:ascii="Times New Roman" w:cs="Times New Roman"/>
                      <w:color w:val="auto"/>
                      <w:sz w:val="21"/>
                      <w:szCs w:val="21"/>
                      <w:highlight w:val="none"/>
                      <w:lang w:val="en-US" w:eastAsia="zh-CN"/>
                    </w:rPr>
                    <w:t>用户侧</w:t>
                  </w:r>
                  <w:r>
                    <w:rPr>
                      <w:rFonts w:ascii="Times New Roman" w:cs="Times New Roman"/>
                      <w:color w:val="auto"/>
                      <w:sz w:val="21"/>
                      <w:szCs w:val="21"/>
                      <w:highlight w:val="none"/>
                    </w:rPr>
                    <w:t>建筑能效提升改造</w:t>
                  </w:r>
                  <w:r>
                    <w:rPr>
                      <w:rFonts w:hint="eastAsia" w:ascii="Times New Roman" w:cs="Times New Roman"/>
                      <w:color w:val="auto"/>
                      <w:sz w:val="21"/>
                      <w:szCs w:val="21"/>
                      <w:highlight w:val="none"/>
                      <w:lang w:eastAsia="zh-CN"/>
                    </w:rPr>
                    <w:t>、</w:t>
                  </w:r>
                  <w:r>
                    <w:rPr>
                      <w:rFonts w:ascii="Times New Roman" w:cs="Times New Roman"/>
                      <w:color w:val="auto"/>
                      <w:sz w:val="21"/>
                      <w:szCs w:val="21"/>
                      <w:highlight w:val="none"/>
                    </w:rPr>
                    <w:t>供热管网保温及智能调控改造</w:t>
                  </w:r>
                  <w:r>
                    <w:rPr>
                      <w:rFonts w:hint="eastAsia" w:cs="Times New Roman"/>
                      <w:color w:val="auto"/>
                      <w:sz w:val="21"/>
                      <w:szCs w:val="21"/>
                      <w:highlight w:val="none"/>
                      <w:lang w:eastAsia="zh-CN"/>
                    </w:rPr>
                    <w:t>。</w:t>
                  </w:r>
                </w:p>
              </w:tc>
              <w:tc>
                <w:tcPr>
                  <w:tcW w:w="1375" w:type="pct"/>
                  <w:tcBorders>
                    <w:tl2br w:val="nil"/>
                    <w:tr2bl w:val="nil"/>
                  </w:tcBorders>
                  <w:noWrap/>
                  <w:vAlign w:val="center"/>
                </w:tcPr>
                <w:p w14:paraId="537D23E3">
                  <w:pPr>
                    <w:widowControl/>
                    <w:jc w:val="left"/>
                    <w:rPr>
                      <w:rFonts w:hint="eastAsia" w:eastAsia="宋体"/>
                      <w:color w:val="auto"/>
                      <w:szCs w:val="21"/>
                      <w:highlight w:val="none"/>
                      <w:lang w:eastAsia="zh-CN"/>
                    </w:rPr>
                  </w:pPr>
                  <w:r>
                    <w:rPr>
                      <w:rFonts w:ascii="Times New Roman" w:cs="Times New Roman"/>
                      <w:color w:val="auto"/>
                      <w:sz w:val="21"/>
                      <w:szCs w:val="21"/>
                      <w:highlight w:val="none"/>
                      <w:lang w:val="en-GB"/>
                    </w:rPr>
                    <w:t>本项目</w:t>
                  </w:r>
                  <w:r>
                    <w:rPr>
                      <w:rFonts w:hint="eastAsia" w:ascii="Times New Roman" w:cs="Times New Roman"/>
                      <w:color w:val="auto"/>
                      <w:sz w:val="21"/>
                      <w:szCs w:val="21"/>
                      <w:highlight w:val="none"/>
                      <w:lang w:val="en-US" w:eastAsia="zh-CN"/>
                    </w:rPr>
                    <w:t>主要</w:t>
                  </w:r>
                  <w:r>
                    <w:rPr>
                      <w:rFonts w:ascii="Times New Roman" w:cs="Times New Roman"/>
                      <w:color w:val="auto"/>
                      <w:sz w:val="21"/>
                      <w:szCs w:val="21"/>
                      <w:highlight w:val="none"/>
                      <w:lang w:val="en-GB"/>
                    </w:rPr>
                    <w:t>能源为电能</w:t>
                  </w:r>
                  <w:r>
                    <w:rPr>
                      <w:rFonts w:hint="eastAsia" w:ascii="Times New Roman" w:cs="Times New Roman"/>
                      <w:color w:val="auto"/>
                      <w:sz w:val="21"/>
                      <w:szCs w:val="21"/>
                      <w:highlight w:val="none"/>
                      <w:lang w:val="en-GB" w:eastAsia="zh-CN"/>
                    </w:rPr>
                    <w:t>，</w:t>
                  </w:r>
                  <w:r>
                    <w:rPr>
                      <w:rFonts w:hint="eastAsia" w:ascii="Times New Roman" w:cs="Times New Roman"/>
                      <w:color w:val="auto"/>
                      <w:sz w:val="21"/>
                      <w:szCs w:val="21"/>
                      <w:highlight w:val="none"/>
                      <w:lang w:val="en-US" w:eastAsia="zh-CN"/>
                    </w:rPr>
                    <w:t>属于清洁能源</w:t>
                  </w:r>
                  <w:r>
                    <w:rPr>
                      <w:rFonts w:hint="eastAsia" w:cs="Times New Roman"/>
                      <w:color w:val="auto"/>
                      <w:sz w:val="21"/>
                      <w:szCs w:val="21"/>
                      <w:highlight w:val="none"/>
                      <w:lang w:val="en-US" w:eastAsia="zh-CN"/>
                    </w:rPr>
                    <w:t>；</w:t>
                  </w:r>
                  <w:r>
                    <w:rPr>
                      <w:rFonts w:ascii="Times New Roman" w:cs="Times New Roman"/>
                      <w:color w:val="auto"/>
                      <w:sz w:val="21"/>
                      <w:szCs w:val="21"/>
                      <w:highlight w:val="none"/>
                      <w:lang w:val="en-GB"/>
                    </w:rPr>
                    <w:t>办公区取暖采用空调</w:t>
                  </w:r>
                  <w:r>
                    <w:rPr>
                      <w:rFonts w:hint="eastAsia" w:ascii="Times New Roman" w:cs="Times New Roman"/>
                      <w:color w:val="auto"/>
                      <w:sz w:val="21"/>
                      <w:szCs w:val="21"/>
                      <w:highlight w:val="none"/>
                      <w:lang w:val="en-GB" w:eastAsia="zh-CN"/>
                    </w:rPr>
                    <w:t>。</w:t>
                  </w:r>
                </w:p>
              </w:tc>
              <w:tc>
                <w:tcPr>
                  <w:tcW w:w="509" w:type="pct"/>
                  <w:tcBorders>
                    <w:tl2br w:val="nil"/>
                    <w:tr2bl w:val="nil"/>
                  </w:tcBorders>
                  <w:noWrap/>
                  <w:vAlign w:val="center"/>
                </w:tcPr>
                <w:p w14:paraId="4BA911CC">
                  <w:pPr>
                    <w:jc w:val="center"/>
                    <w:rPr>
                      <w:rFonts w:eastAsiaTheme="minorEastAsia"/>
                      <w:color w:val="auto"/>
                      <w:szCs w:val="21"/>
                      <w:highlight w:val="none"/>
                    </w:rPr>
                  </w:pPr>
                  <w:r>
                    <w:rPr>
                      <w:rFonts w:eastAsiaTheme="minorEastAsia"/>
                      <w:color w:val="auto"/>
                      <w:szCs w:val="21"/>
                      <w:highlight w:val="none"/>
                    </w:rPr>
                    <w:t>符合</w:t>
                  </w:r>
                </w:p>
              </w:tc>
            </w:tr>
            <w:tr w14:paraId="7CC6C4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pct"/>
                  <w:vMerge w:val="continue"/>
                  <w:tcBorders>
                    <w:tl2br w:val="nil"/>
                    <w:tr2bl w:val="nil"/>
                  </w:tcBorders>
                  <w:noWrap/>
                  <w:vAlign w:val="center"/>
                </w:tcPr>
                <w:p w14:paraId="394908FE">
                  <w:pPr>
                    <w:widowControl/>
                    <w:jc w:val="left"/>
                    <w:rPr>
                      <w:color w:val="auto"/>
                      <w:highlight w:val="none"/>
                    </w:rPr>
                  </w:pPr>
                </w:p>
              </w:tc>
              <w:tc>
                <w:tcPr>
                  <w:tcW w:w="2315" w:type="pct"/>
                  <w:tcBorders>
                    <w:tl2br w:val="nil"/>
                    <w:tr2bl w:val="nil"/>
                  </w:tcBorders>
                  <w:noWrap/>
                  <w:vAlign w:val="center"/>
                </w:tcPr>
                <w:p w14:paraId="445087D7">
                  <w:pPr>
                    <w:pStyle w:val="29"/>
                    <w:rPr>
                      <w:rFonts w:ascii="Times New Roman" w:cs="Times New Roman"/>
                      <w:b/>
                      <w:bCs/>
                      <w:color w:val="auto"/>
                      <w:sz w:val="21"/>
                      <w:szCs w:val="21"/>
                      <w:highlight w:val="none"/>
                    </w:rPr>
                  </w:pPr>
                  <w:r>
                    <w:rPr>
                      <w:rFonts w:ascii="Times New Roman" w:cs="Times New Roman"/>
                      <w:b/>
                      <w:bCs/>
                      <w:color w:val="auto"/>
                      <w:sz w:val="21"/>
                      <w:szCs w:val="21"/>
                      <w:highlight w:val="none"/>
                    </w:rPr>
                    <w:t>3</w:t>
                  </w:r>
                  <w:r>
                    <w:rPr>
                      <w:rFonts w:hint="eastAsia" w:ascii="Times New Roman" w:cs="Times New Roman"/>
                      <w:b/>
                      <w:bCs/>
                      <w:color w:val="auto"/>
                      <w:sz w:val="21"/>
                      <w:szCs w:val="21"/>
                      <w:highlight w:val="none"/>
                      <w:lang w:val="en-US" w:eastAsia="zh-CN"/>
                    </w:rPr>
                    <w:t>.</w:t>
                  </w:r>
                  <w:r>
                    <w:rPr>
                      <w:rFonts w:ascii="Times New Roman" w:cs="Times New Roman"/>
                      <w:b/>
                      <w:bCs/>
                      <w:color w:val="auto"/>
                      <w:sz w:val="21"/>
                      <w:szCs w:val="21"/>
                      <w:highlight w:val="none"/>
                    </w:rPr>
                    <w:t>产业发展结构调整。</w:t>
                  </w:r>
                </w:p>
                <w:p w14:paraId="6D857630">
                  <w:pPr>
                    <w:pStyle w:val="29"/>
                    <w:rPr>
                      <w:rFonts w:ascii="Times New Roman" w:cs="Times New Roman"/>
                      <w:color w:val="auto"/>
                      <w:sz w:val="21"/>
                      <w:szCs w:val="21"/>
                      <w:highlight w:val="none"/>
                    </w:rPr>
                  </w:pPr>
                  <w:r>
                    <w:rPr>
                      <w:rFonts w:ascii="Times New Roman" w:cs="Times New Roman"/>
                      <w:color w:val="auto"/>
                      <w:sz w:val="21"/>
                      <w:szCs w:val="21"/>
                      <w:highlight w:val="none"/>
                    </w:rPr>
                    <w:t>（1）强化源头管控。严格落实国家、</w:t>
                  </w:r>
                  <w:r>
                    <w:rPr>
                      <w:rFonts w:hint="eastAsia" w:ascii="Times New Roman" w:cs="Times New Roman"/>
                      <w:color w:val="auto"/>
                      <w:sz w:val="21"/>
                      <w:szCs w:val="21"/>
                      <w:highlight w:val="none"/>
                      <w:lang w:val="en-US" w:eastAsia="zh-CN"/>
                    </w:rPr>
                    <w:t>我省</w:t>
                  </w:r>
                  <w:r>
                    <w:rPr>
                      <w:rFonts w:ascii="Times New Roman" w:cs="Times New Roman"/>
                      <w:color w:val="auto"/>
                      <w:sz w:val="21"/>
                      <w:szCs w:val="21"/>
                      <w:highlight w:val="none"/>
                    </w:rPr>
                    <w:t>产业规划、产业政策</w:t>
                  </w:r>
                  <w:r>
                    <w:rPr>
                      <w:rFonts w:hint="default" w:ascii="Times New Roman" w:hAnsi="Times New Roman" w:cs="Times New Roman"/>
                      <w:color w:val="auto"/>
                      <w:sz w:val="21"/>
                      <w:szCs w:val="21"/>
                      <w:highlight w:val="none"/>
                    </w:rPr>
                    <w:t>、</w:t>
                  </w:r>
                  <w:r>
                    <w:rPr>
                      <w:rFonts w:hint="eastAsia" w:ascii="宋体" w:hAnsi="宋体" w:eastAsia="宋体" w:cs="宋体"/>
                      <w:color w:val="auto"/>
                      <w:sz w:val="21"/>
                      <w:szCs w:val="21"/>
                      <w:highlight w:val="none"/>
                    </w:rPr>
                    <w:t>“三线一单”、规划</w:t>
                  </w:r>
                  <w:r>
                    <w:rPr>
                      <w:rFonts w:ascii="Times New Roman" w:cs="Times New Roman"/>
                      <w:color w:val="auto"/>
                      <w:sz w:val="21"/>
                      <w:szCs w:val="21"/>
                      <w:highlight w:val="none"/>
                    </w:rPr>
                    <w:t>环评等要求，深入</w:t>
                  </w:r>
                  <w:r>
                    <w:rPr>
                      <w:rFonts w:hint="eastAsia" w:ascii="Times New Roman" w:cs="Times New Roman"/>
                      <w:color w:val="auto"/>
                      <w:sz w:val="21"/>
                      <w:szCs w:val="21"/>
                      <w:highlight w:val="none"/>
                      <w:lang w:val="en-US" w:eastAsia="zh-CN"/>
                    </w:rPr>
                    <w:t>开展我市</w:t>
                  </w:r>
                  <w:r>
                    <w:rPr>
                      <w:rFonts w:ascii="Times New Roman" w:cs="Times New Roman"/>
                      <w:color w:val="auto"/>
                      <w:sz w:val="21"/>
                      <w:szCs w:val="21"/>
                      <w:highlight w:val="none"/>
                    </w:rPr>
                    <w:t>区域空间生态环境评价工作，积极推行区域、规划环境影响评价，新改扩建</w:t>
                  </w:r>
                  <w:r>
                    <w:rPr>
                      <w:rFonts w:hint="eastAsia" w:ascii="Times New Roman" w:cs="Times New Roman"/>
                      <w:color w:val="auto"/>
                      <w:sz w:val="21"/>
                      <w:szCs w:val="21"/>
                      <w:highlight w:val="none"/>
                      <w:lang w:val="en-US" w:eastAsia="zh-CN"/>
                    </w:rPr>
                    <w:t>化工、石化、</w:t>
                  </w:r>
                  <w:r>
                    <w:rPr>
                      <w:rFonts w:ascii="Times New Roman" w:cs="Times New Roman"/>
                      <w:color w:val="auto"/>
                      <w:sz w:val="21"/>
                      <w:szCs w:val="21"/>
                      <w:highlight w:val="none"/>
                    </w:rPr>
                    <w:t>建材</w:t>
                  </w:r>
                  <w:r>
                    <w:rPr>
                      <w:rFonts w:hint="eastAsia" w:ascii="Times New Roman" w:cs="Times New Roman"/>
                      <w:color w:val="auto"/>
                      <w:sz w:val="21"/>
                      <w:szCs w:val="21"/>
                      <w:highlight w:val="none"/>
                      <w:lang w:eastAsia="zh-CN"/>
                    </w:rPr>
                    <w:t>、</w:t>
                  </w:r>
                  <w:r>
                    <w:rPr>
                      <w:rFonts w:hint="eastAsia" w:ascii="Times New Roman" w:cs="Times New Roman"/>
                      <w:color w:val="auto"/>
                      <w:sz w:val="21"/>
                      <w:szCs w:val="21"/>
                      <w:highlight w:val="none"/>
                      <w:lang w:val="en-US" w:eastAsia="zh-CN"/>
                    </w:rPr>
                    <w:t>有色</w:t>
                  </w:r>
                  <w:r>
                    <w:rPr>
                      <w:rFonts w:ascii="Times New Roman" w:cs="Times New Roman"/>
                      <w:color w:val="auto"/>
                      <w:sz w:val="21"/>
                      <w:szCs w:val="21"/>
                      <w:highlight w:val="none"/>
                    </w:rPr>
                    <w:t>等项目的环境影响评价应满足区域</w:t>
                  </w:r>
                  <w:r>
                    <w:rPr>
                      <w:rFonts w:hint="eastAsia" w:ascii="Times New Roman" w:cs="Times New Roman"/>
                      <w:color w:val="auto"/>
                      <w:sz w:val="21"/>
                      <w:szCs w:val="21"/>
                      <w:highlight w:val="none"/>
                      <w:lang w:val="en-US" w:eastAsia="zh-CN"/>
                    </w:rPr>
                    <w:t>和</w:t>
                  </w:r>
                  <w:r>
                    <w:rPr>
                      <w:rFonts w:ascii="Times New Roman" w:cs="Times New Roman"/>
                      <w:color w:val="auto"/>
                      <w:sz w:val="21"/>
                      <w:szCs w:val="21"/>
                      <w:highlight w:val="none"/>
                    </w:rPr>
                    <w:t>规划环评要求。</w:t>
                  </w:r>
                </w:p>
                <w:p w14:paraId="4F04224D">
                  <w:pPr>
                    <w:pStyle w:val="29"/>
                    <w:rPr>
                      <w:rFonts w:eastAsiaTheme="minorEastAsia"/>
                      <w:color w:val="auto"/>
                      <w:szCs w:val="21"/>
                      <w:highlight w:val="none"/>
                    </w:rPr>
                  </w:pPr>
                  <w:r>
                    <w:rPr>
                      <w:rFonts w:ascii="Times New Roman" w:cs="Times New Roman"/>
                      <w:color w:val="auto"/>
                      <w:sz w:val="21"/>
                      <w:szCs w:val="21"/>
                      <w:highlight w:val="none"/>
                    </w:rPr>
                    <w:t>（2）严格</w:t>
                  </w:r>
                  <w:r>
                    <w:rPr>
                      <w:rFonts w:hint="eastAsia" w:ascii="Times New Roman" w:cs="Times New Roman"/>
                      <w:color w:val="auto"/>
                      <w:sz w:val="21"/>
                      <w:szCs w:val="21"/>
                      <w:highlight w:val="none"/>
                      <w:lang w:val="en-US" w:eastAsia="zh-CN"/>
                    </w:rPr>
                    <w:t>审查</w:t>
                  </w:r>
                  <w:r>
                    <w:rPr>
                      <w:rFonts w:ascii="Times New Roman" w:cs="Times New Roman"/>
                      <w:color w:val="auto"/>
                      <w:sz w:val="21"/>
                      <w:szCs w:val="21"/>
                      <w:highlight w:val="none"/>
                    </w:rPr>
                    <w:t>新改扩建涉气重点行业绩效评级限制条件。</w:t>
                  </w:r>
                  <w:r>
                    <w:rPr>
                      <w:rFonts w:hint="eastAsia" w:ascii="Times New Roman" w:cs="Times New Roman"/>
                      <w:color w:val="auto"/>
                      <w:sz w:val="21"/>
                      <w:szCs w:val="21"/>
                      <w:highlight w:val="none"/>
                      <w:lang w:val="en-US" w:eastAsia="zh-CN"/>
                    </w:rPr>
                    <w:t>各区、开发</w:t>
                  </w:r>
                  <w:r>
                    <w:rPr>
                      <w:rFonts w:ascii="Times New Roman" w:cs="Times New Roman"/>
                      <w:color w:val="auto"/>
                      <w:sz w:val="21"/>
                      <w:szCs w:val="21"/>
                      <w:highlight w:val="none"/>
                    </w:rPr>
                    <w:t>区范围内新改扩建涉气重点行业企业应达到环保绩效A级、绩效引领性水平。</w:t>
                  </w:r>
                </w:p>
              </w:tc>
              <w:tc>
                <w:tcPr>
                  <w:tcW w:w="1375" w:type="pct"/>
                  <w:tcBorders>
                    <w:tl2br w:val="nil"/>
                    <w:tr2bl w:val="nil"/>
                  </w:tcBorders>
                  <w:noWrap/>
                  <w:vAlign w:val="center"/>
                </w:tcPr>
                <w:p w14:paraId="5143DA5B">
                  <w:pPr>
                    <w:widowControl/>
                    <w:jc w:val="left"/>
                    <w:rPr>
                      <w:rFonts w:eastAsiaTheme="minorEastAsia"/>
                      <w:color w:val="auto"/>
                      <w:szCs w:val="21"/>
                      <w:highlight w:val="none"/>
                    </w:rPr>
                  </w:pPr>
                  <w:r>
                    <w:rPr>
                      <w:rFonts w:hint="eastAsia" w:ascii="Times New Roman" w:cs="Times New Roman"/>
                      <w:color w:val="auto"/>
                      <w:sz w:val="21"/>
                      <w:szCs w:val="21"/>
                      <w:highlight w:val="none"/>
                      <w:lang w:val="en-US" w:eastAsia="zh-CN"/>
                    </w:rPr>
                    <w:t>本项目位于</w:t>
                  </w:r>
                  <w:r>
                    <w:rPr>
                      <w:rFonts w:hint="eastAsia" w:cs="Times New Roman"/>
                      <w:color w:val="auto"/>
                      <w:sz w:val="21"/>
                      <w:szCs w:val="21"/>
                      <w:highlight w:val="none"/>
                      <w:lang w:val="en-US" w:eastAsia="zh-CN"/>
                    </w:rPr>
                    <w:t>陕西省宝鸡市凤翔区田家庄镇河北村村北金隅冀东凤翔环保科技有限公司厂区内</w:t>
                  </w:r>
                  <w:r>
                    <w:rPr>
                      <w:rFonts w:eastAsiaTheme="minorEastAsia"/>
                      <w:color w:val="auto"/>
                      <w:szCs w:val="21"/>
                      <w:highlight w:val="none"/>
                    </w:rPr>
                    <w:t>，项目建设区域位于《</w:t>
                  </w:r>
                  <w:r>
                    <w:rPr>
                      <w:rFonts w:hint="eastAsia" w:eastAsiaTheme="minorEastAsia"/>
                      <w:color w:val="auto"/>
                      <w:szCs w:val="21"/>
                      <w:highlight w:val="none"/>
                      <w:lang w:eastAsia="zh-CN"/>
                    </w:rPr>
                    <w:t>宝鸡市</w:t>
                  </w:r>
                  <w:r>
                    <w:rPr>
                      <w:rFonts w:hint="eastAsia" w:ascii="宋体" w:hAnsi="宋体" w:eastAsia="宋体" w:cs="宋体"/>
                      <w:color w:val="auto"/>
                      <w:szCs w:val="21"/>
                      <w:highlight w:val="none"/>
                    </w:rPr>
                    <w:t>“三线一单”</w:t>
                  </w:r>
                  <w:r>
                    <w:rPr>
                      <w:rFonts w:eastAsiaTheme="minorEastAsia"/>
                      <w:color w:val="auto"/>
                      <w:szCs w:val="21"/>
                      <w:highlight w:val="none"/>
                    </w:rPr>
                    <w:t>生态环境分区管控方案》中重点管控单元</w:t>
                  </w:r>
                  <w:r>
                    <w:rPr>
                      <w:rFonts w:hint="eastAsia" w:eastAsiaTheme="minorEastAsia"/>
                      <w:color w:val="auto"/>
                      <w:szCs w:val="21"/>
                      <w:highlight w:val="none"/>
                      <w:lang w:val="en-US" w:eastAsia="zh-CN"/>
                    </w:rPr>
                    <w:t>和一般管控单元</w:t>
                  </w:r>
                  <w:r>
                    <w:rPr>
                      <w:rFonts w:hint="eastAsia" w:eastAsiaTheme="minorEastAsia"/>
                      <w:color w:val="auto"/>
                      <w:szCs w:val="21"/>
                      <w:highlight w:val="none"/>
                      <w:lang w:eastAsia="zh-CN"/>
                    </w:rPr>
                    <w:t>，</w:t>
                  </w:r>
                  <w:r>
                    <w:rPr>
                      <w:rFonts w:hint="eastAsia" w:eastAsiaTheme="minorEastAsia"/>
                      <w:color w:val="auto"/>
                      <w:szCs w:val="21"/>
                      <w:highlight w:val="none"/>
                      <w:lang w:val="en-US" w:eastAsia="zh-CN"/>
                    </w:rPr>
                    <w:t>符合“三线一单”管控要求</w:t>
                  </w:r>
                  <w:r>
                    <w:rPr>
                      <w:color w:val="auto"/>
                      <w:szCs w:val="21"/>
                      <w:highlight w:val="none"/>
                      <w:lang w:val="en-GB"/>
                    </w:rPr>
                    <w:t>；</w:t>
                  </w:r>
                  <w:r>
                    <w:rPr>
                      <w:rFonts w:hint="eastAsia" w:ascii="Times New Roman" w:hAnsi="Times New Roman" w:cs="Times New Roman"/>
                      <w:color w:val="auto"/>
                      <w:sz w:val="21"/>
                      <w:szCs w:val="21"/>
                      <w:highlight w:val="none"/>
                      <w:vertAlign w:val="baseline"/>
                      <w:lang w:val="en-US" w:eastAsia="zh-CN"/>
                    </w:rPr>
                    <w:t>企业于2023年已获得水泥熟料行业环保绩效A级企业。</w:t>
                  </w:r>
                </w:p>
              </w:tc>
              <w:tc>
                <w:tcPr>
                  <w:tcW w:w="509" w:type="pct"/>
                  <w:tcBorders>
                    <w:tl2br w:val="nil"/>
                    <w:tr2bl w:val="nil"/>
                  </w:tcBorders>
                  <w:noWrap/>
                  <w:vAlign w:val="center"/>
                </w:tcPr>
                <w:p w14:paraId="6832385D">
                  <w:pPr>
                    <w:widowControl/>
                    <w:jc w:val="center"/>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符合</w:t>
                  </w:r>
                </w:p>
              </w:tc>
            </w:tr>
            <w:tr w14:paraId="575775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continue"/>
                  <w:tcBorders>
                    <w:tl2br w:val="nil"/>
                    <w:tr2bl w:val="nil"/>
                  </w:tcBorders>
                  <w:noWrap/>
                  <w:vAlign w:val="center"/>
                </w:tcPr>
                <w:p w14:paraId="22B574E6">
                  <w:pPr>
                    <w:widowControl/>
                    <w:jc w:val="left"/>
                    <w:rPr>
                      <w:rFonts w:eastAsiaTheme="minorEastAsia"/>
                      <w:color w:val="auto"/>
                      <w:szCs w:val="21"/>
                      <w:highlight w:val="none"/>
                    </w:rPr>
                  </w:pPr>
                </w:p>
              </w:tc>
              <w:tc>
                <w:tcPr>
                  <w:tcW w:w="2315" w:type="pct"/>
                  <w:tcBorders>
                    <w:tl2br w:val="nil"/>
                    <w:tr2bl w:val="nil"/>
                  </w:tcBorders>
                  <w:noWrap/>
                  <w:vAlign w:val="center"/>
                </w:tcPr>
                <w:p w14:paraId="044939E1">
                  <w:pPr>
                    <w:widowControl/>
                    <w:numPr>
                      <w:ilvl w:val="0"/>
                      <w:numId w:val="0"/>
                    </w:numPr>
                    <w:jc w:val="left"/>
                    <w:rPr>
                      <w:rFonts w:hint="eastAsia" w:eastAsiaTheme="minorEastAsia"/>
                      <w:b/>
                      <w:bCs/>
                      <w:color w:val="auto"/>
                      <w:szCs w:val="21"/>
                      <w:highlight w:val="none"/>
                      <w:lang w:val="en-US" w:eastAsia="zh-CN"/>
                    </w:rPr>
                  </w:pPr>
                  <w:r>
                    <w:rPr>
                      <w:rFonts w:hint="eastAsia" w:eastAsiaTheme="minorEastAsia"/>
                      <w:b/>
                      <w:bCs/>
                      <w:color w:val="auto"/>
                      <w:szCs w:val="21"/>
                      <w:highlight w:val="none"/>
                      <w:lang w:val="en-US" w:eastAsia="zh-CN"/>
                    </w:rPr>
                    <w:t>8.扬尘治理工程</w:t>
                  </w:r>
                </w:p>
                <w:p w14:paraId="7503C072">
                  <w:pPr>
                    <w:widowControl/>
                    <w:numPr>
                      <w:ilvl w:val="0"/>
                      <w:numId w:val="0"/>
                    </w:numPr>
                    <w:jc w:val="left"/>
                    <w:rPr>
                      <w:rFonts w:hint="eastAsia"/>
                      <w:color w:val="auto"/>
                      <w:sz w:val="21"/>
                      <w:szCs w:val="21"/>
                      <w:highlight w:val="none"/>
                      <w:lang w:eastAsia="zh-CN"/>
                    </w:rPr>
                  </w:pPr>
                  <w:r>
                    <w:rPr>
                      <w:rFonts w:hint="eastAsia"/>
                      <w:color w:val="auto"/>
                      <w:sz w:val="21"/>
                      <w:szCs w:val="21"/>
                      <w:highlight w:val="none"/>
                      <w:lang w:eastAsia="zh-CN"/>
                    </w:rPr>
                    <w:t>（3）</w:t>
                  </w:r>
                  <w:r>
                    <w:rPr>
                      <w:rFonts w:hint="eastAsia"/>
                      <w:color w:val="auto"/>
                      <w:sz w:val="21"/>
                      <w:szCs w:val="21"/>
                      <w:highlight w:val="none"/>
                      <w:lang w:val="en-US" w:eastAsia="zh-CN"/>
                    </w:rPr>
                    <w:t>强化工地扬尘管控。</w:t>
                  </w:r>
                  <w:r>
                    <w:rPr>
                      <w:color w:val="auto"/>
                      <w:sz w:val="21"/>
                      <w:szCs w:val="21"/>
                      <w:highlight w:val="none"/>
                    </w:rPr>
                    <w:t>加强建筑垃圾清运作业项目和在建工地施工扬尘精细化管控。建立动态管理清单，全面落实</w:t>
                  </w:r>
                  <w:r>
                    <w:rPr>
                      <w:rFonts w:hint="eastAsia" w:ascii="宋体" w:hAnsi="宋体" w:eastAsia="宋体" w:cs="宋体"/>
                      <w:color w:val="auto"/>
                      <w:sz w:val="21"/>
                      <w:szCs w:val="21"/>
                      <w:highlight w:val="none"/>
                    </w:rPr>
                    <w:t>“六个百分百”“七个到位”</w:t>
                  </w:r>
                  <w:r>
                    <w:rPr>
                      <w:color w:val="auto"/>
                      <w:sz w:val="21"/>
                      <w:szCs w:val="21"/>
                      <w:highlight w:val="none"/>
                    </w:rPr>
                    <w:t>要求</w:t>
                  </w:r>
                  <w:r>
                    <w:rPr>
                      <w:rFonts w:hint="eastAsia"/>
                      <w:color w:val="auto"/>
                      <w:sz w:val="21"/>
                      <w:szCs w:val="21"/>
                      <w:highlight w:val="none"/>
                      <w:lang w:eastAsia="zh-CN"/>
                    </w:rPr>
                    <w:t>。</w:t>
                  </w:r>
                  <w:r>
                    <w:rPr>
                      <w:color w:val="auto"/>
                      <w:sz w:val="21"/>
                      <w:szCs w:val="21"/>
                      <w:highlight w:val="none"/>
                    </w:rPr>
                    <w:t>强化洒水抑尘，增加作业车辆和机械冲洗次数，防止带泥行驶</w:t>
                  </w:r>
                  <w:r>
                    <w:rPr>
                      <w:rFonts w:hint="eastAsia"/>
                      <w:color w:val="auto"/>
                      <w:sz w:val="21"/>
                      <w:szCs w:val="21"/>
                      <w:highlight w:val="none"/>
                      <w:lang w:eastAsia="zh-CN"/>
                    </w:rPr>
                    <w:t>。</w:t>
                  </w:r>
                </w:p>
                <w:p w14:paraId="2D45ADBE">
                  <w:pPr>
                    <w:widowControl/>
                    <w:numPr>
                      <w:ilvl w:val="0"/>
                      <w:numId w:val="0"/>
                    </w:numPr>
                    <w:jc w:val="left"/>
                    <w:rPr>
                      <w:rFonts w:hint="eastAsia"/>
                      <w:color w:val="auto"/>
                      <w:sz w:val="21"/>
                      <w:szCs w:val="21"/>
                      <w:highlight w:val="none"/>
                      <w:lang w:eastAsia="zh-CN"/>
                    </w:rPr>
                  </w:pPr>
                  <w:r>
                    <w:rPr>
                      <w:color w:val="auto"/>
                      <w:sz w:val="21"/>
                      <w:szCs w:val="21"/>
                      <w:highlight w:val="none"/>
                    </w:rPr>
                    <w:t>以降低PM</w:t>
                  </w:r>
                  <w:r>
                    <w:rPr>
                      <w:color w:val="auto"/>
                      <w:sz w:val="21"/>
                      <w:szCs w:val="21"/>
                      <w:highlight w:val="none"/>
                      <w:vertAlign w:val="subscript"/>
                    </w:rPr>
                    <w:t>10</w:t>
                  </w:r>
                  <w:r>
                    <w:rPr>
                      <w:color w:val="auto"/>
                      <w:sz w:val="21"/>
                      <w:szCs w:val="21"/>
                      <w:highlight w:val="none"/>
                    </w:rPr>
                    <w:t>指标为导向建立动态管控机制，施工场地严格执行</w:t>
                  </w:r>
                  <w:r>
                    <w:rPr>
                      <w:rFonts w:hint="eastAsia" w:ascii="宋体" w:hAnsi="宋体" w:eastAsia="宋体" w:cs="宋体"/>
                      <w:color w:val="auto"/>
                      <w:sz w:val="21"/>
                      <w:szCs w:val="21"/>
                      <w:highlight w:val="none"/>
                    </w:rPr>
                    <w:t>“六个百分百”“七个到位”，</w:t>
                  </w:r>
                  <w:r>
                    <w:rPr>
                      <w:color w:val="auto"/>
                      <w:sz w:val="21"/>
                      <w:szCs w:val="21"/>
                      <w:highlight w:val="none"/>
                    </w:rPr>
                    <w:t>施工工地扬尘排放超过《施工场界扬尘排放限值》(DB61/1078-2017)的立即停工整改</w:t>
                  </w:r>
                  <w:r>
                    <w:rPr>
                      <w:rFonts w:hint="eastAsia"/>
                      <w:color w:val="auto"/>
                      <w:sz w:val="21"/>
                      <w:szCs w:val="21"/>
                      <w:highlight w:val="none"/>
                      <w:lang w:eastAsia="zh-CN"/>
                    </w:rPr>
                    <w:t>。</w:t>
                  </w:r>
                </w:p>
                <w:p w14:paraId="4C39E8D1">
                  <w:pPr>
                    <w:widowControl/>
                    <w:numPr>
                      <w:ilvl w:val="0"/>
                      <w:numId w:val="4"/>
                    </w:numPr>
                    <w:jc w:val="left"/>
                    <w:rPr>
                      <w:color w:val="auto"/>
                      <w:sz w:val="21"/>
                      <w:szCs w:val="21"/>
                      <w:highlight w:val="none"/>
                    </w:rPr>
                  </w:pPr>
                  <w:r>
                    <w:rPr>
                      <w:color w:val="auto"/>
                      <w:sz w:val="21"/>
                      <w:szCs w:val="21"/>
                      <w:highlight w:val="none"/>
                    </w:rPr>
                    <w:t>加强物料堆场扬尘</w:t>
                  </w:r>
                  <w:r>
                    <w:rPr>
                      <w:rFonts w:hint="eastAsia"/>
                      <w:color w:val="auto"/>
                      <w:sz w:val="21"/>
                      <w:szCs w:val="21"/>
                      <w:highlight w:val="none"/>
                      <w:lang w:val="en-US" w:eastAsia="zh-CN"/>
                    </w:rPr>
                    <w:t>管控</w:t>
                  </w:r>
                  <w:r>
                    <w:rPr>
                      <w:color w:val="auto"/>
                      <w:sz w:val="21"/>
                      <w:szCs w:val="21"/>
                      <w:highlight w:val="none"/>
                    </w:rPr>
                    <w:t>。</w:t>
                  </w:r>
                </w:p>
                <w:p w14:paraId="55E59DB4">
                  <w:pPr>
                    <w:widowControl/>
                    <w:numPr>
                      <w:ilvl w:val="0"/>
                      <w:numId w:val="0"/>
                    </w:numPr>
                    <w:jc w:val="left"/>
                    <w:rPr>
                      <w:rFonts w:hint="default"/>
                      <w:color w:val="auto"/>
                      <w:highlight w:val="none"/>
                      <w:lang w:val="en-US" w:eastAsia="zh-CN"/>
                    </w:rPr>
                  </w:pPr>
                  <w:r>
                    <w:rPr>
                      <w:color w:val="auto"/>
                      <w:sz w:val="21"/>
                      <w:szCs w:val="21"/>
                      <w:highlight w:val="none"/>
                    </w:rPr>
                    <w:t>对粉尘类物料堆放场以及大型煤炭和矿石</w:t>
                  </w:r>
                  <w:r>
                    <w:rPr>
                      <w:rFonts w:hint="eastAsia"/>
                      <w:color w:val="auto"/>
                      <w:sz w:val="21"/>
                      <w:szCs w:val="21"/>
                      <w:highlight w:val="none"/>
                      <w:lang w:val="en-US" w:eastAsia="zh-CN"/>
                    </w:rPr>
                    <w:t>类</w:t>
                  </w:r>
                  <w:r>
                    <w:rPr>
                      <w:color w:val="auto"/>
                      <w:sz w:val="21"/>
                      <w:szCs w:val="21"/>
                      <w:highlight w:val="none"/>
                    </w:rPr>
                    <w:t>物料堆场，基本完成抑尘设施建设和物料输送系统封闭改造。严禁露天装卸作业和物料干法作业。</w:t>
                  </w:r>
                </w:p>
              </w:tc>
              <w:tc>
                <w:tcPr>
                  <w:tcW w:w="1375" w:type="pct"/>
                  <w:tcBorders>
                    <w:tl2br w:val="nil"/>
                    <w:tr2bl w:val="nil"/>
                  </w:tcBorders>
                  <w:noWrap/>
                  <w:vAlign w:val="center"/>
                </w:tcPr>
                <w:p w14:paraId="5FA5179B">
                  <w:pPr>
                    <w:widowControl/>
                    <w:jc w:val="left"/>
                    <w:rPr>
                      <w:color w:val="auto"/>
                      <w:kern w:val="0"/>
                      <w:szCs w:val="21"/>
                      <w:highlight w:val="none"/>
                    </w:rPr>
                  </w:pPr>
                  <w:r>
                    <w:rPr>
                      <w:rFonts w:hint="eastAsia"/>
                      <w:color w:val="auto"/>
                      <w:sz w:val="21"/>
                      <w:szCs w:val="21"/>
                      <w:highlight w:val="none"/>
                      <w:vertAlign w:val="baseline"/>
                      <w:lang w:val="en-US" w:eastAsia="zh-CN"/>
                    </w:rPr>
                    <w:t>项目施工期严格执行</w:t>
                  </w:r>
                  <w:r>
                    <w:rPr>
                      <w:rFonts w:hint="default"/>
                      <w:color w:val="auto"/>
                      <w:sz w:val="21"/>
                      <w:szCs w:val="21"/>
                      <w:highlight w:val="none"/>
                      <w:lang w:eastAsia="zh-CN"/>
                    </w:rPr>
                    <w:t>《陕西地区施工现场扬尘专项治理方案》</w:t>
                  </w:r>
                  <w:r>
                    <w:rPr>
                      <w:rFonts w:hint="eastAsia"/>
                      <w:color w:val="auto"/>
                      <w:sz w:val="21"/>
                      <w:szCs w:val="21"/>
                      <w:highlight w:val="none"/>
                      <w:lang w:val="en-US" w:eastAsia="zh-CN"/>
                    </w:rPr>
                    <w:t>和</w:t>
                  </w:r>
                  <w:r>
                    <w:rPr>
                      <w:rFonts w:hint="default"/>
                      <w:color w:val="auto"/>
                      <w:sz w:val="21"/>
                      <w:szCs w:val="21"/>
                      <w:highlight w:val="none"/>
                      <w:lang w:eastAsia="zh-CN"/>
                    </w:rPr>
                    <w:t>《建筑施工扬尘治理措施16条》</w:t>
                  </w:r>
                  <w:r>
                    <w:rPr>
                      <w:rFonts w:hint="eastAsia"/>
                      <w:color w:val="auto"/>
                      <w:sz w:val="21"/>
                      <w:szCs w:val="21"/>
                      <w:highlight w:val="none"/>
                      <w:lang w:eastAsia="zh-CN"/>
                    </w:rPr>
                    <w:t>，</w:t>
                  </w:r>
                  <w:r>
                    <w:rPr>
                      <w:rFonts w:hint="eastAsia"/>
                      <w:color w:val="auto"/>
                      <w:sz w:val="21"/>
                      <w:szCs w:val="21"/>
                      <w:highlight w:val="none"/>
                      <w:lang w:val="en-US" w:eastAsia="zh-CN"/>
                    </w:rPr>
                    <w:t>严格控制施工扬尘，落实六个100%措施，</w:t>
                  </w:r>
                  <w:r>
                    <w:rPr>
                      <w:color w:val="auto"/>
                      <w:szCs w:val="21"/>
                      <w:highlight w:val="none"/>
                      <w:lang w:val="en-GB"/>
                    </w:rPr>
                    <w:t>其施工场界扬尘可满足</w:t>
                  </w:r>
                  <w:r>
                    <w:rPr>
                      <w:color w:val="auto"/>
                      <w:kern w:val="0"/>
                      <w:szCs w:val="21"/>
                      <w:highlight w:val="none"/>
                    </w:rPr>
                    <w:t>《施工场界扬尘排放限值</w:t>
                  </w:r>
                  <w:r>
                    <w:rPr>
                      <w:rFonts w:hint="eastAsia"/>
                      <w:color w:val="auto"/>
                      <w:kern w:val="0"/>
                      <w:szCs w:val="21"/>
                      <w:highlight w:val="none"/>
                      <w:lang w:eastAsia="zh-CN"/>
                    </w:rPr>
                    <w:t>》（</w:t>
                  </w:r>
                  <w:r>
                    <w:rPr>
                      <w:color w:val="auto"/>
                      <w:kern w:val="0"/>
                      <w:szCs w:val="21"/>
                      <w:highlight w:val="none"/>
                    </w:rPr>
                    <w:t>DB61/1078-2017</w:t>
                  </w:r>
                  <w:r>
                    <w:rPr>
                      <w:rFonts w:hint="eastAsia"/>
                      <w:color w:val="auto"/>
                      <w:kern w:val="0"/>
                      <w:szCs w:val="21"/>
                      <w:highlight w:val="none"/>
                      <w:lang w:eastAsia="zh-CN"/>
                    </w:rPr>
                    <w:t>）</w:t>
                  </w:r>
                  <w:r>
                    <w:rPr>
                      <w:color w:val="auto"/>
                      <w:kern w:val="0"/>
                      <w:szCs w:val="21"/>
                      <w:highlight w:val="none"/>
                    </w:rPr>
                    <w:t>要求。</w:t>
                  </w:r>
                </w:p>
                <w:p w14:paraId="48F3487D">
                  <w:pPr>
                    <w:pStyle w:val="15"/>
                    <w:ind w:left="0" w:leftChars="0" w:firstLine="0" w:firstLineChars="0"/>
                    <w:rPr>
                      <w:rFonts w:hint="default" w:eastAsia="宋体"/>
                      <w:color w:val="auto"/>
                      <w:highlight w:val="none"/>
                      <w:lang w:val="en-US" w:eastAsia="zh-CN"/>
                    </w:rPr>
                  </w:pPr>
                  <w:r>
                    <w:rPr>
                      <w:rFonts w:hint="eastAsia"/>
                      <w:color w:val="auto"/>
                      <w:kern w:val="0"/>
                      <w:szCs w:val="21"/>
                      <w:highlight w:val="none"/>
                      <w:lang w:val="en-US" w:eastAsia="zh-CN"/>
                    </w:rPr>
                    <w:t>项目骨料在封闭式骨料仓内堆存，采用密闭皮带输送系统；水泥、粉煤灰、矿粉等粉类物料采用密闭式钢板仓存放。</w:t>
                  </w:r>
                </w:p>
              </w:tc>
              <w:tc>
                <w:tcPr>
                  <w:tcW w:w="509" w:type="pct"/>
                  <w:tcBorders>
                    <w:tl2br w:val="nil"/>
                    <w:tr2bl w:val="nil"/>
                  </w:tcBorders>
                  <w:noWrap/>
                  <w:vAlign w:val="center"/>
                </w:tcPr>
                <w:p w14:paraId="0ED5390C">
                  <w:pPr>
                    <w:widowControl/>
                    <w:jc w:val="center"/>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符合</w:t>
                  </w:r>
                </w:p>
              </w:tc>
            </w:tr>
            <w:tr w14:paraId="1DD447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restart"/>
                  <w:tcBorders>
                    <w:tl2br w:val="nil"/>
                    <w:tr2bl w:val="nil"/>
                  </w:tcBorders>
                  <w:noWrap/>
                  <w:vAlign w:val="center"/>
                </w:tcPr>
                <w:p w14:paraId="181AFE9E">
                  <w:pPr>
                    <w:widowControl/>
                    <w:jc w:val="left"/>
                    <w:rPr>
                      <w:rFonts w:eastAsiaTheme="minorEastAsia"/>
                      <w:color w:val="auto"/>
                      <w:szCs w:val="21"/>
                      <w:highlight w:val="none"/>
                    </w:rPr>
                  </w:pPr>
                  <w:r>
                    <w:rPr>
                      <w:rFonts w:eastAsiaTheme="minorEastAsia"/>
                      <w:color w:val="auto"/>
                      <w:szCs w:val="21"/>
                      <w:highlight w:val="none"/>
                    </w:rPr>
                    <w:t>《</w:t>
                  </w:r>
                  <w:r>
                    <w:rPr>
                      <w:rFonts w:hint="eastAsia" w:eastAsiaTheme="minorEastAsia"/>
                      <w:color w:val="auto"/>
                      <w:szCs w:val="21"/>
                      <w:highlight w:val="none"/>
                      <w:lang w:eastAsia="zh-CN"/>
                    </w:rPr>
                    <w:t>宝鸡市</w:t>
                  </w:r>
                  <w:r>
                    <w:rPr>
                      <w:rFonts w:hint="eastAsia" w:eastAsiaTheme="minorEastAsia"/>
                      <w:color w:val="auto"/>
                      <w:szCs w:val="21"/>
                      <w:highlight w:val="none"/>
                      <w:lang w:val="en-US" w:eastAsia="zh-CN"/>
                    </w:rPr>
                    <w:t>凤翔区</w:t>
                  </w:r>
                  <w:r>
                    <w:rPr>
                      <w:rFonts w:eastAsiaTheme="minorEastAsia"/>
                      <w:color w:val="auto"/>
                      <w:szCs w:val="21"/>
                      <w:highlight w:val="none"/>
                    </w:rPr>
                    <w:t>大气污染治理专项行动方案（2023-2027）》</w:t>
                  </w:r>
                  <w:r>
                    <w:rPr>
                      <w:rFonts w:hint="eastAsia"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宝凤发</w:t>
                  </w:r>
                  <w:r>
                    <w:rPr>
                      <w:rFonts w:hint="default" w:ascii="Times New Roman" w:hAnsi="Times New Roman" w:eastAsia="宋体" w:cs="Times New Roman"/>
                      <w:b w:val="0"/>
                      <w:bCs/>
                      <w:i w:val="0"/>
                      <w:caps w:val="0"/>
                      <w:color w:val="auto"/>
                      <w:spacing w:val="0"/>
                      <w:kern w:val="2"/>
                      <w:sz w:val="21"/>
                      <w:szCs w:val="21"/>
                      <w:highlight w:val="none"/>
                      <w:lang w:val="en-US" w:eastAsia="zh-CN" w:bidi="ar-SA"/>
                    </w:rPr>
                    <w:t>〔</w:t>
                  </w:r>
                  <w:r>
                    <w:rPr>
                      <w:rFonts w:hint="eastAsia" w:ascii="Times New Roman" w:hAnsi="Times New Roman" w:eastAsia="宋体" w:cs="Times New Roman"/>
                      <w:b w:val="0"/>
                      <w:bCs/>
                      <w:i w:val="0"/>
                      <w:caps w:val="0"/>
                      <w:color w:val="auto"/>
                      <w:spacing w:val="0"/>
                      <w:kern w:val="2"/>
                      <w:sz w:val="21"/>
                      <w:szCs w:val="21"/>
                      <w:highlight w:val="none"/>
                      <w:lang w:val="en-US" w:eastAsia="zh-CN" w:bidi="ar-SA"/>
                    </w:rPr>
                    <w:t>2023</w:t>
                  </w:r>
                  <w:r>
                    <w:rPr>
                      <w:rFonts w:hint="default" w:ascii="Times New Roman" w:hAnsi="Times New Roman" w:eastAsia="宋体" w:cs="Times New Roman"/>
                      <w:b w:val="0"/>
                      <w:bCs/>
                      <w:i w:val="0"/>
                      <w:caps w:val="0"/>
                      <w:color w:val="auto"/>
                      <w:spacing w:val="0"/>
                      <w:kern w:val="2"/>
                      <w:sz w:val="21"/>
                      <w:szCs w:val="21"/>
                      <w:highlight w:val="none"/>
                      <w:lang w:val="en-US" w:eastAsia="zh-CN" w:bidi="ar-SA"/>
                    </w:rPr>
                    <w:t>〕</w:t>
                  </w:r>
                  <w:r>
                    <w:rPr>
                      <w:rFonts w:hint="eastAsia" w:cs="Times New Roman"/>
                      <w:b w:val="0"/>
                      <w:bCs/>
                      <w:i w:val="0"/>
                      <w:caps w:val="0"/>
                      <w:color w:val="auto"/>
                      <w:spacing w:val="0"/>
                      <w:kern w:val="2"/>
                      <w:sz w:val="21"/>
                      <w:szCs w:val="21"/>
                      <w:highlight w:val="none"/>
                      <w:lang w:val="en-US" w:eastAsia="zh-CN" w:bidi="ar-SA"/>
                    </w:rPr>
                    <w:t>7</w:t>
                  </w:r>
                  <w:r>
                    <w:rPr>
                      <w:rFonts w:hint="default" w:ascii="Times New Roman" w:hAnsi="Times New Roman" w:eastAsia="宋体" w:cs="Times New Roman"/>
                      <w:b w:val="0"/>
                      <w:bCs/>
                      <w:i w:val="0"/>
                      <w:caps w:val="0"/>
                      <w:color w:val="auto"/>
                      <w:spacing w:val="0"/>
                      <w:kern w:val="2"/>
                      <w:sz w:val="21"/>
                      <w:szCs w:val="21"/>
                      <w:highlight w:val="none"/>
                      <w:lang w:val="en-US" w:eastAsia="zh-CN" w:bidi="ar-SA"/>
                    </w:rPr>
                    <w:t>号</w:t>
                  </w:r>
                  <w:r>
                    <w:rPr>
                      <w:rFonts w:hint="eastAsia" w:ascii="Times New Roman" w:hAnsi="Times New Roman" w:cs="Times New Roman"/>
                      <w:color w:val="auto"/>
                      <w:sz w:val="21"/>
                      <w:szCs w:val="21"/>
                      <w:highlight w:val="none"/>
                      <w:lang w:eastAsia="zh-CN"/>
                    </w:rPr>
                    <w:t>）</w:t>
                  </w:r>
                </w:p>
              </w:tc>
              <w:tc>
                <w:tcPr>
                  <w:tcW w:w="2315" w:type="pct"/>
                  <w:tcBorders>
                    <w:tl2br w:val="nil"/>
                    <w:tr2bl w:val="nil"/>
                  </w:tcBorders>
                  <w:noWrap/>
                  <w:vAlign w:val="center"/>
                </w:tcPr>
                <w:p w14:paraId="157AD021">
                  <w:pPr>
                    <w:pStyle w:val="29"/>
                    <w:rPr>
                      <w:rFonts w:ascii="Times New Roman" w:cs="Times New Roman"/>
                      <w:b/>
                      <w:bCs/>
                      <w:color w:val="auto"/>
                      <w:sz w:val="21"/>
                      <w:szCs w:val="21"/>
                      <w:highlight w:val="none"/>
                    </w:rPr>
                  </w:pPr>
                  <w:r>
                    <w:rPr>
                      <w:rFonts w:ascii="Times New Roman" w:cs="Times New Roman"/>
                      <w:b/>
                      <w:bCs/>
                      <w:color w:val="auto"/>
                      <w:sz w:val="21"/>
                      <w:szCs w:val="21"/>
                      <w:highlight w:val="none"/>
                    </w:rPr>
                    <w:t>3</w:t>
                  </w:r>
                  <w:r>
                    <w:rPr>
                      <w:rFonts w:hint="eastAsia" w:ascii="Times New Roman" w:cs="Times New Roman"/>
                      <w:b/>
                      <w:bCs/>
                      <w:color w:val="auto"/>
                      <w:sz w:val="21"/>
                      <w:szCs w:val="21"/>
                      <w:highlight w:val="none"/>
                      <w:lang w:val="en-US" w:eastAsia="zh-CN"/>
                    </w:rPr>
                    <w:t>.</w:t>
                  </w:r>
                  <w:r>
                    <w:rPr>
                      <w:rFonts w:ascii="Times New Roman" w:cs="Times New Roman"/>
                      <w:b/>
                      <w:bCs/>
                      <w:color w:val="auto"/>
                      <w:sz w:val="21"/>
                      <w:szCs w:val="21"/>
                      <w:highlight w:val="none"/>
                    </w:rPr>
                    <w:t>产业发展结构调整。</w:t>
                  </w:r>
                </w:p>
                <w:p w14:paraId="6218DEDB">
                  <w:pPr>
                    <w:widowControl/>
                    <w:numPr>
                      <w:ilvl w:val="0"/>
                      <w:numId w:val="0"/>
                    </w:numPr>
                    <w:jc w:val="left"/>
                    <w:rPr>
                      <w:rFonts w:hint="eastAsia" w:ascii="Times New Roman" w:cs="Times New Roman"/>
                      <w:color w:val="auto"/>
                      <w:sz w:val="21"/>
                      <w:szCs w:val="21"/>
                      <w:highlight w:val="none"/>
                    </w:rPr>
                  </w:pPr>
                  <w:r>
                    <w:rPr>
                      <w:rFonts w:hint="eastAsia" w:ascii="Times New Roman" w:cs="Times New Roman"/>
                      <w:color w:val="auto"/>
                      <w:sz w:val="21"/>
                      <w:szCs w:val="21"/>
                      <w:highlight w:val="none"/>
                    </w:rPr>
                    <w:t>严禁新增钢铁、焦化、水泥熟料、平板玻璃、电解铝、氧化铝、煤化工</w:t>
                  </w:r>
                  <w:r>
                    <w:rPr>
                      <w:rFonts w:hint="eastAsia" w:cs="Times New Roman"/>
                      <w:color w:val="auto"/>
                      <w:sz w:val="21"/>
                      <w:szCs w:val="21"/>
                      <w:highlight w:val="none"/>
                      <w:lang w:val="en-US" w:eastAsia="zh-CN"/>
                    </w:rPr>
                    <w:t>等</w:t>
                  </w:r>
                  <w:r>
                    <w:rPr>
                      <w:rFonts w:hint="eastAsia" w:ascii="Times New Roman" w:cs="Times New Roman"/>
                      <w:color w:val="auto"/>
                      <w:sz w:val="21"/>
                      <w:szCs w:val="21"/>
                      <w:highlight w:val="none"/>
                    </w:rPr>
                    <w:t>产能，合理控制煤制油气产能规模。同时，不得违规新增化工园区。严格执行《产业结构调整指导目录》，坚决遏制</w:t>
                  </w:r>
                  <w:r>
                    <w:rPr>
                      <w:rFonts w:hint="eastAsia" w:cs="Times New Roman"/>
                      <w:color w:val="auto"/>
                      <w:sz w:val="21"/>
                      <w:szCs w:val="21"/>
                      <w:highlight w:val="none"/>
                      <w:lang w:eastAsia="zh-CN"/>
                    </w:rPr>
                    <w:t>“</w:t>
                  </w:r>
                  <w:r>
                    <w:rPr>
                      <w:rFonts w:hint="eastAsia" w:ascii="宋体" w:hAnsi="宋体" w:eastAsia="宋体" w:cs="宋体"/>
                      <w:color w:val="auto"/>
                      <w:sz w:val="21"/>
                      <w:szCs w:val="21"/>
                      <w:highlight w:val="none"/>
                    </w:rPr>
                    <w:t>两高</w:t>
                  </w:r>
                  <w:r>
                    <w:rPr>
                      <w:rFonts w:hint="eastAsia" w:cs="Times New Roman"/>
                      <w:color w:val="auto"/>
                      <w:sz w:val="21"/>
                      <w:szCs w:val="21"/>
                      <w:highlight w:val="none"/>
                      <w:lang w:eastAsia="zh-CN"/>
                    </w:rPr>
                    <w:t>”</w:t>
                  </w:r>
                  <w:r>
                    <w:rPr>
                      <w:rFonts w:hint="eastAsia" w:ascii="Times New Roman" w:cs="Times New Roman"/>
                      <w:color w:val="auto"/>
                      <w:sz w:val="21"/>
                      <w:szCs w:val="21"/>
                      <w:highlight w:val="none"/>
                    </w:rPr>
                    <w:t>项目盲目发展，严格落实国家产业规划、产业政策、“三线一单”、规划环评以及产能置换、煤炭消费减量替代、区域污染物削减等要求，严禁不符合规定的项目建设。</w:t>
                  </w:r>
                </w:p>
                <w:p w14:paraId="03C042C6">
                  <w:pPr>
                    <w:widowControl/>
                    <w:numPr>
                      <w:ilvl w:val="0"/>
                      <w:numId w:val="0"/>
                    </w:numPr>
                    <w:jc w:val="left"/>
                    <w:rPr>
                      <w:color w:val="auto"/>
                      <w:sz w:val="21"/>
                      <w:szCs w:val="21"/>
                      <w:highlight w:val="none"/>
                    </w:rPr>
                  </w:pPr>
                  <w:r>
                    <w:rPr>
                      <w:rFonts w:ascii="Times New Roman" w:cs="Times New Roman"/>
                      <w:color w:val="auto"/>
                      <w:sz w:val="21"/>
                      <w:szCs w:val="21"/>
                      <w:highlight w:val="none"/>
                    </w:rPr>
                    <w:t>新</w:t>
                  </w:r>
                  <w:r>
                    <w:rPr>
                      <w:rFonts w:hint="eastAsia" w:cs="Times New Roman"/>
                      <w:color w:val="auto"/>
                      <w:sz w:val="21"/>
                      <w:szCs w:val="21"/>
                      <w:highlight w:val="none"/>
                      <w:lang w:eastAsia="zh-CN"/>
                    </w:rPr>
                    <w:t>、</w:t>
                  </w:r>
                  <w:r>
                    <w:rPr>
                      <w:rFonts w:ascii="Times New Roman" w:cs="Times New Roman"/>
                      <w:color w:val="auto"/>
                      <w:sz w:val="21"/>
                      <w:szCs w:val="21"/>
                      <w:highlight w:val="none"/>
                    </w:rPr>
                    <w:t>改</w:t>
                  </w:r>
                  <w:r>
                    <w:rPr>
                      <w:rFonts w:hint="eastAsia" w:cs="Times New Roman"/>
                      <w:color w:val="auto"/>
                      <w:sz w:val="21"/>
                      <w:szCs w:val="21"/>
                      <w:highlight w:val="none"/>
                      <w:lang w:eastAsia="zh-CN"/>
                    </w:rPr>
                    <w:t>、</w:t>
                  </w:r>
                  <w:r>
                    <w:rPr>
                      <w:rFonts w:ascii="Times New Roman" w:cs="Times New Roman"/>
                      <w:color w:val="auto"/>
                      <w:sz w:val="21"/>
                      <w:szCs w:val="21"/>
                      <w:highlight w:val="none"/>
                    </w:rPr>
                    <w:t>扩建涉气重点行业企业应达到环保绩效A级、绩效引领性水平。</w:t>
                  </w:r>
                </w:p>
              </w:tc>
              <w:tc>
                <w:tcPr>
                  <w:tcW w:w="1375" w:type="pct"/>
                  <w:tcBorders>
                    <w:tl2br w:val="nil"/>
                    <w:tr2bl w:val="nil"/>
                  </w:tcBorders>
                  <w:noWrap/>
                  <w:vAlign w:val="center"/>
                </w:tcPr>
                <w:p w14:paraId="15825F2C">
                  <w:pPr>
                    <w:widowControl/>
                    <w:jc w:val="left"/>
                    <w:rPr>
                      <w:rFonts w:hint="default"/>
                      <w:color w:val="auto"/>
                      <w:sz w:val="21"/>
                      <w:szCs w:val="21"/>
                      <w:highlight w:val="none"/>
                      <w:vertAlign w:val="baseline"/>
                      <w:lang w:val="en-US" w:eastAsia="zh-CN"/>
                    </w:rPr>
                  </w:pPr>
                  <w:r>
                    <w:rPr>
                      <w:rFonts w:hint="eastAsia"/>
                      <w:color w:val="auto"/>
                      <w:szCs w:val="21"/>
                      <w:highlight w:val="none"/>
                      <w:lang w:val="en-US" w:eastAsia="zh-CN"/>
                    </w:rPr>
                    <w:t>本项目属于其他建筑材料制造业，不属于严禁新增的钢铁、焦化、水泥熟料等产能，不属于“两高”项目；</w:t>
                  </w:r>
                  <w:r>
                    <w:rPr>
                      <w:rFonts w:eastAsiaTheme="minorEastAsia"/>
                      <w:color w:val="auto"/>
                      <w:szCs w:val="21"/>
                      <w:highlight w:val="none"/>
                    </w:rPr>
                    <w:t>项目建设区域位于《</w:t>
                  </w:r>
                  <w:r>
                    <w:rPr>
                      <w:rFonts w:hint="eastAsia" w:eastAsiaTheme="minorEastAsia"/>
                      <w:color w:val="auto"/>
                      <w:szCs w:val="21"/>
                      <w:highlight w:val="none"/>
                      <w:lang w:eastAsia="zh-CN"/>
                    </w:rPr>
                    <w:t>宝鸡市</w:t>
                  </w:r>
                  <w:r>
                    <w:rPr>
                      <w:rFonts w:hint="eastAsia" w:ascii="宋体" w:hAnsi="宋体" w:eastAsia="宋体" w:cs="宋体"/>
                      <w:color w:val="auto"/>
                      <w:szCs w:val="21"/>
                      <w:highlight w:val="none"/>
                    </w:rPr>
                    <w:t>“三线一单”</w:t>
                  </w:r>
                  <w:r>
                    <w:rPr>
                      <w:rFonts w:eastAsiaTheme="minorEastAsia"/>
                      <w:color w:val="auto"/>
                      <w:szCs w:val="21"/>
                      <w:highlight w:val="none"/>
                    </w:rPr>
                    <w:t>生态环境分区管控方案》中重点管控单元</w:t>
                  </w:r>
                  <w:r>
                    <w:rPr>
                      <w:rFonts w:hint="eastAsia" w:eastAsiaTheme="minorEastAsia"/>
                      <w:color w:val="auto"/>
                      <w:szCs w:val="21"/>
                      <w:highlight w:val="none"/>
                      <w:lang w:val="en-US" w:eastAsia="zh-CN"/>
                    </w:rPr>
                    <w:t>和一般管控单元</w:t>
                  </w:r>
                  <w:r>
                    <w:rPr>
                      <w:rFonts w:hint="eastAsia" w:eastAsiaTheme="minorEastAsia"/>
                      <w:color w:val="auto"/>
                      <w:szCs w:val="21"/>
                      <w:highlight w:val="none"/>
                      <w:lang w:eastAsia="zh-CN"/>
                    </w:rPr>
                    <w:t>，</w:t>
                  </w:r>
                  <w:r>
                    <w:rPr>
                      <w:rFonts w:hint="eastAsia" w:eastAsiaTheme="minorEastAsia"/>
                      <w:color w:val="auto"/>
                      <w:szCs w:val="21"/>
                      <w:highlight w:val="none"/>
                      <w:lang w:val="en-US" w:eastAsia="zh-CN"/>
                    </w:rPr>
                    <w:t>符合“三线一单”管控要求</w:t>
                  </w:r>
                  <w:r>
                    <w:rPr>
                      <w:color w:val="auto"/>
                      <w:szCs w:val="21"/>
                      <w:highlight w:val="none"/>
                      <w:lang w:val="en-GB"/>
                    </w:rPr>
                    <w:t>；</w:t>
                  </w:r>
                  <w:bookmarkStart w:id="7" w:name="OLE_LINK4"/>
                  <w:r>
                    <w:rPr>
                      <w:rFonts w:hint="eastAsia" w:ascii="Times New Roman" w:hAnsi="Times New Roman" w:cs="Times New Roman"/>
                      <w:color w:val="auto"/>
                      <w:sz w:val="21"/>
                      <w:szCs w:val="21"/>
                      <w:highlight w:val="none"/>
                      <w:vertAlign w:val="baseline"/>
                      <w:lang w:val="en-US" w:eastAsia="zh-CN"/>
                    </w:rPr>
                    <w:t>企业于2023年已获得水泥熟料行业环保绩效A级企业。</w:t>
                  </w:r>
                  <w:bookmarkEnd w:id="7"/>
                </w:p>
              </w:tc>
              <w:tc>
                <w:tcPr>
                  <w:tcW w:w="509" w:type="pct"/>
                  <w:tcBorders>
                    <w:tl2br w:val="nil"/>
                    <w:tr2bl w:val="nil"/>
                  </w:tcBorders>
                  <w:noWrap/>
                  <w:vAlign w:val="center"/>
                </w:tcPr>
                <w:p w14:paraId="63398B85">
                  <w:pPr>
                    <w:widowControl/>
                    <w:jc w:val="center"/>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符合</w:t>
                  </w:r>
                </w:p>
              </w:tc>
            </w:tr>
            <w:tr w14:paraId="3324B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continue"/>
                  <w:tcBorders>
                    <w:tl2br w:val="nil"/>
                    <w:tr2bl w:val="nil"/>
                  </w:tcBorders>
                  <w:noWrap/>
                  <w:vAlign w:val="center"/>
                </w:tcPr>
                <w:p w14:paraId="515C36A3">
                  <w:pPr>
                    <w:widowControl/>
                    <w:jc w:val="left"/>
                    <w:rPr>
                      <w:rFonts w:eastAsiaTheme="minorEastAsia"/>
                      <w:color w:val="auto"/>
                      <w:szCs w:val="21"/>
                      <w:highlight w:val="none"/>
                    </w:rPr>
                  </w:pPr>
                </w:p>
              </w:tc>
              <w:tc>
                <w:tcPr>
                  <w:tcW w:w="2315" w:type="pct"/>
                  <w:tcBorders>
                    <w:tl2br w:val="nil"/>
                    <w:tr2bl w:val="nil"/>
                  </w:tcBorders>
                  <w:noWrap/>
                  <w:vAlign w:val="center"/>
                </w:tcPr>
                <w:p w14:paraId="3F049FBC">
                  <w:pPr>
                    <w:widowControl/>
                    <w:numPr>
                      <w:ilvl w:val="0"/>
                      <w:numId w:val="0"/>
                    </w:numPr>
                    <w:jc w:val="left"/>
                    <w:rPr>
                      <w:rFonts w:hint="eastAsia"/>
                      <w:color w:val="auto"/>
                      <w:sz w:val="21"/>
                      <w:szCs w:val="21"/>
                      <w:highlight w:val="none"/>
                      <w:lang w:eastAsia="zh-CN"/>
                    </w:rPr>
                  </w:pPr>
                  <w:r>
                    <w:rPr>
                      <w:rFonts w:hint="eastAsia" w:eastAsiaTheme="minorEastAsia"/>
                      <w:b/>
                      <w:bCs/>
                      <w:color w:val="auto"/>
                      <w:szCs w:val="21"/>
                      <w:highlight w:val="none"/>
                      <w:lang w:val="en-US" w:eastAsia="zh-CN"/>
                    </w:rPr>
                    <w:t>8.扬尘治理工程。</w:t>
                  </w:r>
                </w:p>
                <w:p w14:paraId="637C8257">
                  <w:pPr>
                    <w:widowControl/>
                    <w:numPr>
                      <w:ilvl w:val="0"/>
                      <w:numId w:val="0"/>
                    </w:numPr>
                    <w:jc w:val="left"/>
                    <w:rPr>
                      <w:color w:val="auto"/>
                      <w:sz w:val="21"/>
                      <w:szCs w:val="21"/>
                      <w:highlight w:val="none"/>
                    </w:rPr>
                  </w:pPr>
                  <w:r>
                    <w:rPr>
                      <w:color w:val="auto"/>
                      <w:sz w:val="21"/>
                      <w:szCs w:val="21"/>
                      <w:highlight w:val="none"/>
                    </w:rPr>
                    <w:t>以降低PM</w:t>
                  </w:r>
                  <w:r>
                    <w:rPr>
                      <w:color w:val="auto"/>
                      <w:sz w:val="21"/>
                      <w:szCs w:val="21"/>
                      <w:highlight w:val="none"/>
                      <w:vertAlign w:val="subscript"/>
                    </w:rPr>
                    <w:t>10</w:t>
                  </w:r>
                  <w:r>
                    <w:rPr>
                      <w:color w:val="auto"/>
                      <w:sz w:val="21"/>
                      <w:szCs w:val="21"/>
                      <w:highlight w:val="none"/>
                    </w:rPr>
                    <w:t>指标为导向建立动态管控机制，严格执行施工场地</w:t>
                  </w:r>
                  <w:r>
                    <w:rPr>
                      <w:rFonts w:hint="eastAsia" w:ascii="宋体" w:hAnsi="宋体" w:eastAsia="宋体" w:cs="宋体"/>
                      <w:color w:val="auto"/>
                      <w:sz w:val="21"/>
                      <w:szCs w:val="21"/>
                      <w:highlight w:val="none"/>
                    </w:rPr>
                    <w:t>“六个百分百”</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实施建设施工全过程精细化管理</w:t>
                  </w:r>
                  <w:r>
                    <w:rPr>
                      <w:rFonts w:hint="eastAsia" w:ascii="宋体" w:hAnsi="宋体" w:cs="宋体"/>
                      <w:color w:val="auto"/>
                      <w:sz w:val="21"/>
                      <w:szCs w:val="21"/>
                      <w:highlight w:val="none"/>
                      <w:lang w:eastAsia="zh-CN"/>
                    </w:rPr>
                    <w:t>，</w:t>
                  </w:r>
                  <w:r>
                    <w:rPr>
                      <w:color w:val="auto"/>
                      <w:sz w:val="21"/>
                      <w:szCs w:val="21"/>
                      <w:highlight w:val="none"/>
                    </w:rPr>
                    <w:t>施工工地扬尘排放超过《施工场界扬尘排放限值》</w:t>
                  </w:r>
                  <w:r>
                    <w:rPr>
                      <w:rFonts w:hint="eastAsia"/>
                      <w:color w:val="auto"/>
                      <w:sz w:val="21"/>
                      <w:szCs w:val="21"/>
                      <w:highlight w:val="none"/>
                      <w:lang w:eastAsia="zh-CN"/>
                    </w:rPr>
                    <w:t>（</w:t>
                  </w:r>
                  <w:r>
                    <w:rPr>
                      <w:color w:val="auto"/>
                      <w:sz w:val="21"/>
                      <w:szCs w:val="21"/>
                      <w:highlight w:val="none"/>
                    </w:rPr>
                    <w:t>DB61/1078-2017</w:t>
                  </w:r>
                  <w:r>
                    <w:rPr>
                      <w:rFonts w:hint="eastAsia"/>
                      <w:color w:val="auto"/>
                      <w:sz w:val="21"/>
                      <w:szCs w:val="21"/>
                      <w:highlight w:val="none"/>
                      <w:lang w:eastAsia="zh-CN"/>
                    </w:rPr>
                    <w:t>）</w:t>
                  </w:r>
                  <w:r>
                    <w:rPr>
                      <w:color w:val="auto"/>
                      <w:sz w:val="21"/>
                      <w:szCs w:val="21"/>
                      <w:highlight w:val="none"/>
                    </w:rPr>
                    <w:t>的立即停工整改</w:t>
                  </w:r>
                  <w:r>
                    <w:rPr>
                      <w:rFonts w:hint="eastAsia"/>
                      <w:color w:val="auto"/>
                      <w:sz w:val="21"/>
                      <w:szCs w:val="21"/>
                      <w:highlight w:val="none"/>
                      <w:lang w:eastAsia="zh-CN"/>
                    </w:rPr>
                    <w:t>。</w:t>
                  </w:r>
                </w:p>
              </w:tc>
              <w:tc>
                <w:tcPr>
                  <w:tcW w:w="1375" w:type="pct"/>
                  <w:tcBorders>
                    <w:tl2br w:val="nil"/>
                    <w:tr2bl w:val="nil"/>
                  </w:tcBorders>
                  <w:noWrap/>
                  <w:vAlign w:val="center"/>
                </w:tcPr>
                <w:p w14:paraId="7BFA06AB">
                  <w:pPr>
                    <w:widowControl/>
                    <w:jc w:val="left"/>
                    <w:rPr>
                      <w:rFonts w:hint="eastAsia"/>
                      <w:color w:val="auto"/>
                      <w:kern w:val="0"/>
                      <w:szCs w:val="21"/>
                      <w:highlight w:val="none"/>
                      <w:lang w:val="en-US" w:eastAsia="zh-CN"/>
                    </w:rPr>
                  </w:pPr>
                  <w:r>
                    <w:rPr>
                      <w:rFonts w:hint="eastAsia"/>
                      <w:color w:val="auto"/>
                      <w:sz w:val="21"/>
                      <w:szCs w:val="21"/>
                      <w:highlight w:val="none"/>
                      <w:vertAlign w:val="baseline"/>
                      <w:lang w:val="en-US" w:eastAsia="zh-CN"/>
                    </w:rPr>
                    <w:t>项目施工期严格执行</w:t>
                  </w:r>
                  <w:r>
                    <w:rPr>
                      <w:rFonts w:hint="default"/>
                      <w:color w:val="auto"/>
                      <w:sz w:val="21"/>
                      <w:szCs w:val="21"/>
                      <w:highlight w:val="none"/>
                      <w:lang w:eastAsia="zh-CN"/>
                    </w:rPr>
                    <w:t>《陕西地区施工现场扬尘专项治理方案》</w:t>
                  </w:r>
                  <w:r>
                    <w:rPr>
                      <w:rFonts w:hint="eastAsia"/>
                      <w:color w:val="auto"/>
                      <w:sz w:val="21"/>
                      <w:szCs w:val="21"/>
                      <w:highlight w:val="none"/>
                      <w:lang w:val="en-US" w:eastAsia="zh-CN"/>
                    </w:rPr>
                    <w:t>和</w:t>
                  </w:r>
                  <w:r>
                    <w:rPr>
                      <w:rFonts w:hint="default"/>
                      <w:color w:val="auto"/>
                      <w:sz w:val="21"/>
                      <w:szCs w:val="21"/>
                      <w:highlight w:val="none"/>
                      <w:lang w:eastAsia="zh-CN"/>
                    </w:rPr>
                    <w:t>《建筑施工扬尘治理措施16条》</w:t>
                  </w:r>
                  <w:r>
                    <w:rPr>
                      <w:rFonts w:hint="eastAsia"/>
                      <w:color w:val="auto"/>
                      <w:sz w:val="21"/>
                      <w:szCs w:val="21"/>
                      <w:highlight w:val="none"/>
                      <w:lang w:eastAsia="zh-CN"/>
                    </w:rPr>
                    <w:t>，</w:t>
                  </w:r>
                  <w:r>
                    <w:rPr>
                      <w:rFonts w:hint="eastAsia"/>
                      <w:color w:val="auto"/>
                      <w:sz w:val="21"/>
                      <w:szCs w:val="21"/>
                      <w:highlight w:val="none"/>
                      <w:lang w:val="en-US" w:eastAsia="zh-CN"/>
                    </w:rPr>
                    <w:t>严格控制施工扬尘，落实六个100%措施，</w:t>
                  </w:r>
                  <w:r>
                    <w:rPr>
                      <w:color w:val="auto"/>
                      <w:szCs w:val="21"/>
                      <w:highlight w:val="none"/>
                      <w:lang w:val="en-GB"/>
                    </w:rPr>
                    <w:t>其施工场界扬尘可满足</w:t>
                  </w:r>
                  <w:r>
                    <w:rPr>
                      <w:color w:val="auto"/>
                      <w:sz w:val="21"/>
                      <w:szCs w:val="21"/>
                      <w:highlight w:val="none"/>
                    </w:rPr>
                    <w:t>《施工场界扬尘排放限值》</w:t>
                  </w:r>
                  <w:r>
                    <w:rPr>
                      <w:rFonts w:hint="eastAsia"/>
                      <w:color w:val="auto"/>
                      <w:sz w:val="21"/>
                      <w:szCs w:val="21"/>
                      <w:highlight w:val="none"/>
                      <w:lang w:eastAsia="zh-CN"/>
                    </w:rPr>
                    <w:t>（</w:t>
                  </w:r>
                  <w:r>
                    <w:rPr>
                      <w:color w:val="auto"/>
                      <w:sz w:val="21"/>
                      <w:szCs w:val="21"/>
                      <w:highlight w:val="none"/>
                    </w:rPr>
                    <w:t>DB61/1078-2017</w:t>
                  </w:r>
                  <w:r>
                    <w:rPr>
                      <w:rFonts w:hint="eastAsia"/>
                      <w:color w:val="auto"/>
                      <w:sz w:val="21"/>
                      <w:szCs w:val="21"/>
                      <w:highlight w:val="none"/>
                      <w:lang w:eastAsia="zh-CN"/>
                    </w:rPr>
                    <w:t>）</w:t>
                  </w:r>
                  <w:r>
                    <w:rPr>
                      <w:color w:val="auto"/>
                      <w:kern w:val="0"/>
                      <w:szCs w:val="21"/>
                      <w:highlight w:val="none"/>
                    </w:rPr>
                    <w:t>要求。</w:t>
                  </w:r>
                </w:p>
              </w:tc>
              <w:tc>
                <w:tcPr>
                  <w:tcW w:w="509" w:type="pct"/>
                  <w:tcBorders>
                    <w:tl2br w:val="nil"/>
                    <w:tr2bl w:val="nil"/>
                  </w:tcBorders>
                  <w:noWrap/>
                  <w:vAlign w:val="center"/>
                </w:tcPr>
                <w:p w14:paraId="560B2F21">
                  <w:pPr>
                    <w:widowControl/>
                    <w:jc w:val="center"/>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符合</w:t>
                  </w:r>
                </w:p>
              </w:tc>
            </w:tr>
            <w:tr w14:paraId="6B5348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restart"/>
                  <w:tcBorders>
                    <w:tl2br w:val="nil"/>
                    <w:tr2bl w:val="nil"/>
                  </w:tcBorders>
                  <w:noWrap/>
                  <w:vAlign w:val="center"/>
                </w:tcPr>
                <w:p w14:paraId="37D6BD89">
                  <w:pPr>
                    <w:autoSpaceDE w:val="0"/>
                    <w:autoSpaceDN w:val="0"/>
                    <w:adjustRightInd w:val="0"/>
                    <w:jc w:val="center"/>
                    <w:rPr>
                      <w:rFonts w:eastAsiaTheme="minorEastAsia"/>
                      <w:snapToGrid w:val="0"/>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rPr>
                    <w:t>《陕西省噪声污染防治行动计划》（2023</w:t>
                  </w:r>
                  <w:r>
                    <w:rPr>
                      <w:rFonts w:hint="eastAsia"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2025年）</w:t>
                  </w:r>
                </w:p>
              </w:tc>
              <w:tc>
                <w:tcPr>
                  <w:tcW w:w="2315" w:type="pct"/>
                  <w:tcBorders>
                    <w:tl2br w:val="nil"/>
                    <w:tr2bl w:val="nil"/>
                  </w:tcBorders>
                  <w:noWrap/>
                  <w:vAlign w:val="center"/>
                </w:tcPr>
                <w:p w14:paraId="3E15024E">
                  <w:pPr>
                    <w:widowControl/>
                    <w:jc w:val="left"/>
                    <w:rPr>
                      <w:rFonts w:eastAsiaTheme="minorEastAsia"/>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rPr>
                    <w:t>8.严格落实噪声污染防治要求。切实加强规划环评工作，充分考虑区域开发等规划内容产生的噪声对声环境质量的影响。可能产生噪声污染的新改扩建项目应当依法开展环评，符合相关规划</w:t>
                  </w:r>
                  <w:r>
                    <w:rPr>
                      <w:rFonts w:hint="eastAsia" w:cs="Times New Roman"/>
                      <w:i w:val="0"/>
                      <w:iCs w:val="0"/>
                      <w:color w:val="auto"/>
                      <w:kern w:val="0"/>
                      <w:sz w:val="21"/>
                      <w:szCs w:val="21"/>
                      <w:highlight w:val="none"/>
                      <w:u w:val="none"/>
                      <w:lang w:val="en-US" w:eastAsia="zh-CN"/>
                    </w:rPr>
                    <w:t>和</w:t>
                  </w:r>
                  <w:r>
                    <w:rPr>
                      <w:rFonts w:hint="default" w:ascii="Times New Roman" w:hAnsi="Times New Roman" w:eastAsia="宋体" w:cs="Times New Roman"/>
                      <w:i w:val="0"/>
                      <w:iCs w:val="0"/>
                      <w:color w:val="auto"/>
                      <w:kern w:val="0"/>
                      <w:sz w:val="21"/>
                      <w:szCs w:val="21"/>
                      <w:highlight w:val="none"/>
                      <w:u w:val="none"/>
                      <w:lang w:val="en-US" w:eastAsia="zh-CN"/>
                    </w:rPr>
                    <w:t>环评管控要求。建设项目的噪声污染防治设施应当与主体工程同时设计、同时施工、同时投产使用。</w:t>
                  </w:r>
                </w:p>
              </w:tc>
              <w:tc>
                <w:tcPr>
                  <w:tcW w:w="1375" w:type="pct"/>
                  <w:tcBorders>
                    <w:tl2br w:val="nil"/>
                    <w:tr2bl w:val="nil"/>
                  </w:tcBorders>
                  <w:noWrap/>
                  <w:vAlign w:val="center"/>
                </w:tcPr>
                <w:p w14:paraId="731730EB">
                  <w:pPr>
                    <w:widowControl/>
                    <w:jc w:val="left"/>
                    <w:rPr>
                      <w:rFonts w:eastAsiaTheme="minorEastAsia"/>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rPr>
                    <w:t>本项目环评正在办理中，</w:t>
                  </w:r>
                  <w:r>
                    <w:rPr>
                      <w:rFonts w:hint="eastAsia" w:ascii="Times New Roman" w:hAnsi="Times New Roman" w:eastAsia="宋体" w:cs="Times New Roman"/>
                      <w:i w:val="0"/>
                      <w:iCs w:val="0"/>
                      <w:color w:val="auto"/>
                      <w:kern w:val="0"/>
                      <w:sz w:val="21"/>
                      <w:szCs w:val="21"/>
                      <w:highlight w:val="none"/>
                      <w:u w:val="none"/>
                      <w:lang w:val="en-US" w:eastAsia="zh-CN"/>
                    </w:rPr>
                    <w:t>本次评价要求，</w:t>
                  </w:r>
                  <w:r>
                    <w:rPr>
                      <w:rFonts w:hint="default" w:ascii="Times New Roman" w:hAnsi="Times New Roman" w:eastAsia="宋体" w:cs="Times New Roman"/>
                      <w:i w:val="0"/>
                      <w:iCs w:val="0"/>
                      <w:color w:val="auto"/>
                      <w:kern w:val="0"/>
                      <w:sz w:val="21"/>
                      <w:szCs w:val="21"/>
                      <w:highlight w:val="none"/>
                      <w:u w:val="none"/>
                      <w:lang w:val="en-US" w:eastAsia="zh-CN"/>
                    </w:rPr>
                    <w:t>项目噪声防治措施与主体工程同时设计、同时施工、同时投产使用。</w:t>
                  </w:r>
                </w:p>
              </w:tc>
              <w:tc>
                <w:tcPr>
                  <w:tcW w:w="509" w:type="pct"/>
                  <w:tcBorders>
                    <w:tl2br w:val="nil"/>
                    <w:tr2bl w:val="nil"/>
                  </w:tcBorders>
                  <w:noWrap/>
                  <w:vAlign w:val="center"/>
                </w:tcPr>
                <w:p w14:paraId="660CB2B1">
                  <w:pPr>
                    <w:widowControl/>
                    <w:jc w:val="center"/>
                    <w:rPr>
                      <w:rFonts w:eastAsiaTheme="minorEastAsia"/>
                      <w:color w:val="auto"/>
                      <w:kern w:val="0"/>
                      <w:szCs w:val="21"/>
                      <w:highlight w:val="none"/>
                    </w:rPr>
                  </w:pPr>
                  <w:r>
                    <w:rPr>
                      <w:rFonts w:eastAsiaTheme="minorEastAsia"/>
                      <w:color w:val="auto"/>
                      <w:kern w:val="0"/>
                      <w:szCs w:val="21"/>
                      <w:highlight w:val="none"/>
                    </w:rPr>
                    <w:t>符合</w:t>
                  </w:r>
                </w:p>
              </w:tc>
            </w:tr>
            <w:tr w14:paraId="581751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vMerge w:val="continue"/>
                  <w:tcBorders>
                    <w:tl2br w:val="nil"/>
                    <w:tr2bl w:val="nil"/>
                  </w:tcBorders>
                  <w:noWrap/>
                  <w:vAlign w:val="center"/>
                </w:tcPr>
                <w:p w14:paraId="44FC2D7A">
                  <w:pPr>
                    <w:autoSpaceDE w:val="0"/>
                    <w:autoSpaceDN w:val="0"/>
                    <w:adjustRightInd w:val="0"/>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2315" w:type="pct"/>
                  <w:tcBorders>
                    <w:tl2br w:val="nil"/>
                    <w:tr2bl w:val="nil"/>
                  </w:tcBorders>
                  <w:noWrap/>
                  <w:vAlign w:val="center"/>
                </w:tcPr>
                <w:p w14:paraId="715FE3EE">
                  <w:pPr>
                    <w:widowControl/>
                    <w:jc w:val="left"/>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11.落实工业噪声过程控制。噪声排放工业企业切实落实噪声污染防治措施，加强厂区内固定设备、运输工具、货物装卸和试车线等声源噪声管理，避免突发噪声扰民。</w:t>
                  </w:r>
                </w:p>
              </w:tc>
              <w:tc>
                <w:tcPr>
                  <w:tcW w:w="1375" w:type="pct"/>
                  <w:tcBorders>
                    <w:tl2br w:val="nil"/>
                    <w:tr2bl w:val="nil"/>
                  </w:tcBorders>
                  <w:noWrap/>
                  <w:vAlign w:val="center"/>
                </w:tcPr>
                <w:p w14:paraId="5B523FF7">
                  <w:pPr>
                    <w:widowControl/>
                    <w:jc w:val="left"/>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项目运营</w:t>
                  </w:r>
                  <w:r>
                    <w:rPr>
                      <w:rFonts w:hint="eastAsia" w:ascii="Times New Roman" w:hAnsi="Times New Roman" w:eastAsia="宋体" w:cs="Times New Roman"/>
                      <w:i w:val="0"/>
                      <w:iCs w:val="0"/>
                      <w:color w:val="auto"/>
                      <w:kern w:val="0"/>
                      <w:sz w:val="21"/>
                      <w:szCs w:val="21"/>
                      <w:highlight w:val="none"/>
                      <w:u w:val="none"/>
                      <w:lang w:val="en-US" w:eastAsia="zh-CN"/>
                    </w:rPr>
                    <w:t>期</w:t>
                  </w:r>
                  <w:r>
                    <w:rPr>
                      <w:rFonts w:hint="default" w:ascii="Times New Roman" w:hAnsi="Times New Roman" w:eastAsia="宋体" w:cs="Times New Roman"/>
                      <w:i w:val="0"/>
                      <w:iCs w:val="0"/>
                      <w:color w:val="auto"/>
                      <w:kern w:val="0"/>
                      <w:sz w:val="21"/>
                      <w:szCs w:val="21"/>
                      <w:highlight w:val="none"/>
                      <w:u w:val="none"/>
                      <w:lang w:val="en-US" w:eastAsia="zh-CN"/>
                    </w:rPr>
                    <w:t>噪声主要来源于</w:t>
                  </w:r>
                  <w:r>
                    <w:rPr>
                      <w:rFonts w:hint="eastAsia" w:ascii="Times New Roman" w:hAnsi="Times New Roman" w:eastAsia="宋体" w:cs="Times New Roman"/>
                      <w:i w:val="0"/>
                      <w:iCs w:val="0"/>
                      <w:color w:val="auto"/>
                      <w:kern w:val="0"/>
                      <w:sz w:val="21"/>
                      <w:szCs w:val="21"/>
                      <w:highlight w:val="none"/>
                      <w:u w:val="none"/>
                      <w:lang w:val="en-US" w:eastAsia="zh-CN"/>
                    </w:rPr>
                    <w:t>各类</w:t>
                  </w:r>
                  <w:r>
                    <w:rPr>
                      <w:rFonts w:hint="default" w:ascii="Times New Roman" w:hAnsi="Times New Roman" w:eastAsia="宋体" w:cs="Times New Roman"/>
                      <w:i w:val="0"/>
                      <w:iCs w:val="0"/>
                      <w:color w:val="auto"/>
                      <w:kern w:val="0"/>
                      <w:sz w:val="21"/>
                      <w:szCs w:val="21"/>
                      <w:highlight w:val="none"/>
                      <w:u w:val="none"/>
                      <w:lang w:val="en-US" w:eastAsia="zh-CN"/>
                    </w:rPr>
                    <w:t>设备</w:t>
                  </w:r>
                  <w:r>
                    <w:rPr>
                      <w:rFonts w:hint="eastAsia" w:ascii="Times New Roman" w:hAnsi="Times New Roman" w:eastAsia="宋体" w:cs="Times New Roman"/>
                      <w:i w:val="0"/>
                      <w:iCs w:val="0"/>
                      <w:color w:val="auto"/>
                      <w:kern w:val="0"/>
                      <w:sz w:val="21"/>
                      <w:szCs w:val="21"/>
                      <w:highlight w:val="none"/>
                      <w:u w:val="none"/>
                      <w:lang w:val="en-US" w:eastAsia="zh-CN"/>
                    </w:rPr>
                    <w:t>运行产生的机械</w:t>
                  </w:r>
                  <w:r>
                    <w:rPr>
                      <w:rFonts w:hint="default" w:ascii="Times New Roman" w:hAnsi="Times New Roman" w:eastAsia="宋体" w:cs="Times New Roman"/>
                      <w:i w:val="0"/>
                      <w:iCs w:val="0"/>
                      <w:color w:val="auto"/>
                      <w:kern w:val="0"/>
                      <w:sz w:val="21"/>
                      <w:szCs w:val="21"/>
                      <w:highlight w:val="none"/>
                      <w:u w:val="none"/>
                      <w:lang w:val="en-US" w:eastAsia="zh-CN"/>
                    </w:rPr>
                    <w:t>噪声，</w:t>
                  </w:r>
                  <w:r>
                    <w:rPr>
                      <w:rFonts w:hint="eastAsia" w:ascii="Times New Roman" w:hAnsi="Times New Roman" w:eastAsia="宋体" w:cs="Times New Roman"/>
                      <w:i w:val="0"/>
                      <w:iCs w:val="0"/>
                      <w:color w:val="auto"/>
                      <w:kern w:val="0"/>
                      <w:sz w:val="21"/>
                      <w:szCs w:val="21"/>
                      <w:highlight w:val="none"/>
                      <w:u w:val="none"/>
                      <w:lang w:val="en-US" w:eastAsia="zh-CN"/>
                    </w:rPr>
                    <w:t>建设单位采取优先选用低噪声设备、</w:t>
                  </w:r>
                  <w:r>
                    <w:rPr>
                      <w:rFonts w:hint="default" w:ascii="Times New Roman" w:hAnsi="Times New Roman" w:eastAsia="宋体" w:cs="Times New Roman"/>
                      <w:i w:val="0"/>
                      <w:iCs w:val="0"/>
                      <w:color w:val="auto"/>
                      <w:kern w:val="0"/>
                      <w:sz w:val="21"/>
                      <w:szCs w:val="21"/>
                      <w:highlight w:val="none"/>
                      <w:u w:val="none"/>
                      <w:lang w:val="en-US" w:eastAsia="zh-CN"/>
                    </w:rPr>
                    <w:t>基础减振、厂</w:t>
                  </w:r>
                  <w:r>
                    <w:rPr>
                      <w:rFonts w:hint="eastAsia" w:cs="Times New Roman"/>
                      <w:i w:val="0"/>
                      <w:iCs w:val="0"/>
                      <w:color w:val="auto"/>
                      <w:kern w:val="0"/>
                      <w:sz w:val="21"/>
                      <w:szCs w:val="21"/>
                      <w:highlight w:val="none"/>
                      <w:u w:val="none"/>
                      <w:lang w:val="en-US" w:eastAsia="zh-CN"/>
                    </w:rPr>
                    <w:t>房</w:t>
                  </w:r>
                  <w:r>
                    <w:rPr>
                      <w:rFonts w:hint="default" w:ascii="Times New Roman" w:hAnsi="Times New Roman" w:eastAsia="宋体" w:cs="Times New Roman"/>
                      <w:i w:val="0"/>
                      <w:iCs w:val="0"/>
                      <w:color w:val="auto"/>
                      <w:kern w:val="0"/>
                      <w:sz w:val="21"/>
                      <w:szCs w:val="21"/>
                      <w:highlight w:val="none"/>
                      <w:u w:val="none"/>
                      <w:lang w:val="en-US" w:eastAsia="zh-CN"/>
                    </w:rPr>
                    <w:t>合理布局、厂房隔声、</w:t>
                  </w:r>
                  <w:r>
                    <w:rPr>
                      <w:rFonts w:hint="eastAsia" w:ascii="Times New Roman" w:hAnsi="Times New Roman" w:eastAsia="宋体" w:cs="Times New Roman"/>
                      <w:i w:val="0"/>
                      <w:iCs w:val="0"/>
                      <w:color w:val="auto"/>
                      <w:kern w:val="0"/>
                      <w:sz w:val="21"/>
                      <w:szCs w:val="21"/>
                      <w:highlight w:val="none"/>
                      <w:u w:val="none"/>
                      <w:lang w:val="en-US" w:eastAsia="zh-CN"/>
                    </w:rPr>
                    <w:t>设置隔声罩</w:t>
                  </w:r>
                  <w:r>
                    <w:rPr>
                      <w:rFonts w:hint="eastAsia" w:cs="Times New Roman"/>
                      <w:i w:val="0"/>
                      <w:iCs w:val="0"/>
                      <w:color w:val="auto"/>
                      <w:kern w:val="0"/>
                      <w:sz w:val="21"/>
                      <w:szCs w:val="21"/>
                      <w:highlight w:val="none"/>
                      <w:u w:val="none"/>
                      <w:lang w:val="en-US" w:eastAsia="zh-CN"/>
                    </w:rPr>
                    <w:t>和</w:t>
                  </w:r>
                  <w:r>
                    <w:rPr>
                      <w:rFonts w:hint="eastAsia" w:ascii="Times New Roman" w:hAnsi="Times New Roman" w:eastAsia="宋体" w:cs="Times New Roman"/>
                      <w:i w:val="0"/>
                      <w:iCs w:val="0"/>
                      <w:color w:val="auto"/>
                      <w:kern w:val="0"/>
                      <w:sz w:val="21"/>
                      <w:szCs w:val="21"/>
                      <w:highlight w:val="none"/>
                      <w:u w:val="none"/>
                      <w:lang w:val="en-US" w:eastAsia="zh-CN"/>
                    </w:rPr>
                    <w:t>隔声房、</w:t>
                  </w:r>
                  <w:r>
                    <w:rPr>
                      <w:rFonts w:hint="default" w:ascii="Times New Roman" w:hAnsi="Times New Roman" w:eastAsia="宋体" w:cs="Times New Roman"/>
                      <w:i w:val="0"/>
                      <w:iCs w:val="0"/>
                      <w:color w:val="auto"/>
                      <w:kern w:val="0"/>
                      <w:sz w:val="21"/>
                      <w:szCs w:val="21"/>
                      <w:highlight w:val="none"/>
                      <w:u w:val="none"/>
                      <w:lang w:val="en-US" w:eastAsia="zh-CN"/>
                    </w:rPr>
                    <w:t>距离衰减等措施</w:t>
                  </w:r>
                  <w:r>
                    <w:rPr>
                      <w:rFonts w:hint="eastAsia" w:ascii="Times New Roman" w:hAnsi="Times New Roman" w:eastAsia="宋体" w:cs="Times New Roman"/>
                      <w:i w:val="0"/>
                      <w:iCs w:val="0"/>
                      <w:color w:val="auto"/>
                      <w:kern w:val="0"/>
                      <w:sz w:val="21"/>
                      <w:szCs w:val="21"/>
                      <w:highlight w:val="none"/>
                      <w:u w:val="none"/>
                      <w:lang w:val="en-US" w:eastAsia="zh-CN"/>
                    </w:rPr>
                    <w:t>后</w:t>
                  </w:r>
                  <w:r>
                    <w:rPr>
                      <w:rFonts w:hint="default" w:ascii="Times New Roman" w:hAnsi="Times New Roman" w:eastAsia="宋体" w:cs="Times New Roman"/>
                      <w:i w:val="0"/>
                      <w:iCs w:val="0"/>
                      <w:color w:val="auto"/>
                      <w:kern w:val="0"/>
                      <w:sz w:val="21"/>
                      <w:szCs w:val="21"/>
                      <w:highlight w:val="none"/>
                      <w:u w:val="none"/>
                      <w:lang w:val="en-US" w:eastAsia="zh-CN"/>
                    </w:rPr>
                    <w:t>可</w:t>
                  </w:r>
                  <w:r>
                    <w:rPr>
                      <w:rFonts w:hint="eastAsia" w:ascii="Times New Roman" w:hAnsi="Times New Roman" w:eastAsia="宋体" w:cs="Times New Roman"/>
                      <w:i w:val="0"/>
                      <w:iCs w:val="0"/>
                      <w:color w:val="auto"/>
                      <w:kern w:val="0"/>
                      <w:sz w:val="21"/>
                      <w:szCs w:val="21"/>
                      <w:highlight w:val="none"/>
                      <w:u w:val="none"/>
                      <w:lang w:val="en-US" w:eastAsia="zh-CN"/>
                    </w:rPr>
                    <w:t>实现噪声</w:t>
                  </w:r>
                  <w:r>
                    <w:rPr>
                      <w:rFonts w:hint="default" w:ascii="Times New Roman" w:hAnsi="Times New Roman" w:eastAsia="宋体" w:cs="Times New Roman"/>
                      <w:i w:val="0"/>
                      <w:iCs w:val="0"/>
                      <w:color w:val="auto"/>
                      <w:kern w:val="0"/>
                      <w:sz w:val="21"/>
                      <w:szCs w:val="21"/>
                      <w:highlight w:val="none"/>
                      <w:u w:val="none"/>
                      <w:lang w:val="en-US" w:eastAsia="zh-CN"/>
                    </w:rPr>
                    <w:t>达标排放。</w:t>
                  </w:r>
                </w:p>
              </w:tc>
              <w:tc>
                <w:tcPr>
                  <w:tcW w:w="509" w:type="pct"/>
                  <w:tcBorders>
                    <w:tl2br w:val="nil"/>
                    <w:tr2bl w:val="nil"/>
                  </w:tcBorders>
                  <w:noWrap/>
                  <w:vAlign w:val="center"/>
                </w:tcPr>
                <w:p w14:paraId="6927B29C">
                  <w:pPr>
                    <w:widowControl/>
                    <w:jc w:val="center"/>
                    <w:rPr>
                      <w:rFonts w:hint="eastAsia"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符合</w:t>
                  </w:r>
                </w:p>
              </w:tc>
            </w:tr>
            <w:tr w14:paraId="48CAFD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pct"/>
                  <w:tcBorders>
                    <w:tl2br w:val="nil"/>
                    <w:tr2bl w:val="nil"/>
                  </w:tcBorders>
                  <w:noWrap/>
                  <w:vAlign w:val="center"/>
                </w:tcPr>
                <w:p w14:paraId="5CBDCA13">
                  <w:pPr>
                    <w:autoSpaceDE w:val="0"/>
                    <w:autoSpaceDN w:val="0"/>
                    <w:adjustRightInd w:val="0"/>
                    <w:jc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《宝鸡市大气污染防治条例》（2019年10月30日宝鸡市第十五届人民代表大会常务委员会第二十一次会议通过，2019年11月29日陕西省第十三届人民代表大会常务委员会第十四次会议批准）</w:t>
                  </w:r>
                </w:p>
              </w:tc>
              <w:tc>
                <w:tcPr>
                  <w:tcW w:w="2315" w:type="pct"/>
                  <w:tcBorders>
                    <w:tl2br w:val="nil"/>
                    <w:tr2bl w:val="nil"/>
                  </w:tcBorders>
                  <w:noWrap/>
                  <w:vAlign w:val="center"/>
                </w:tcPr>
                <w:p w14:paraId="71C219AB">
                  <w:pPr>
                    <w:widowControl/>
                    <w:jc w:val="left"/>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第三十四条 施工单位应当制定具体的施工扬尘污染防治实施方案，在施工工地内采取下列防尘措施：（一）应当设置硬质围挡，分段作业、择时施工，洒水抑尘、冲洗地面。（二）建筑土方、工程渣土、建筑垃圾应当及时清运；在场地内堆存的，应当采用密闭式防尘网遮盖。（三）车行道路采取硬化或者铺设礁渣、砾石或其他功能相当的材料等措施</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四）出入口内侧安装车辆冲洗设备，车辆冲洗干净后方可驶出。（五）施工作业产生泥浆的，设置泥浆池、泥浆沟，确保泥浆不溢流，废弃泥浆采用密封式罐车清运。（六）土方作业、拆除、爆破等易产生扬尘的工程，采取洒水抑尘措施。（七）公示扬尘污染防治措施、负责人、扬尘监督管理主管部门等信息。（八）</w:t>
                  </w:r>
                  <w:r>
                    <w:rPr>
                      <w:rFonts w:hint="eastAsia" w:cs="Times New Roman"/>
                      <w:i w:val="0"/>
                      <w:iCs w:val="0"/>
                      <w:color w:val="auto"/>
                      <w:kern w:val="0"/>
                      <w:sz w:val="21"/>
                      <w:szCs w:val="21"/>
                      <w:highlight w:val="none"/>
                      <w:u w:val="none"/>
                      <w:lang w:val="en-US" w:eastAsia="zh-CN"/>
                    </w:rPr>
                    <w:t>法律法规</w:t>
                  </w:r>
                  <w:r>
                    <w:rPr>
                      <w:rFonts w:hint="default" w:ascii="Times New Roman" w:hAnsi="Times New Roman" w:eastAsia="宋体" w:cs="Times New Roman"/>
                      <w:i w:val="0"/>
                      <w:iCs w:val="0"/>
                      <w:color w:val="auto"/>
                      <w:kern w:val="0"/>
                      <w:sz w:val="21"/>
                      <w:szCs w:val="21"/>
                      <w:highlight w:val="none"/>
                      <w:u w:val="none"/>
                      <w:lang w:val="en-US" w:eastAsia="zh-CN"/>
                    </w:rPr>
                    <w:t>规定的其他污染防治措施。暂时不能开工的建设用地，建设单位应当对裸露地面进行覆盖；超过三个月的，应当进行绿化、铺装或者遮盖。</w:t>
                  </w:r>
                </w:p>
              </w:tc>
              <w:tc>
                <w:tcPr>
                  <w:tcW w:w="1375" w:type="pct"/>
                  <w:tcBorders>
                    <w:tl2br w:val="nil"/>
                    <w:tr2bl w:val="nil"/>
                  </w:tcBorders>
                  <w:noWrap/>
                  <w:vAlign w:val="center"/>
                </w:tcPr>
                <w:p w14:paraId="3A78F5CD">
                  <w:pPr>
                    <w:widowControl/>
                    <w:jc w:val="left"/>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项目施工扬尘主要来自：①工业场地设施建设、土方挖掘、回填、堆放和清运过程中的扬尘；②建筑材料、水泥、白灰、砂子等装卸、堆放的扬尘；③运输车辆来往形成的道路扬尘污染；④建筑垃圾和弃土的堆放以及清运过程中造成的扬尘。</w:t>
                  </w:r>
                </w:p>
                <w:p w14:paraId="0ECE797A">
                  <w:pPr>
                    <w:widowControl/>
                    <w:jc w:val="left"/>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本次评价要求建设单位</w:t>
                  </w:r>
                  <w:r>
                    <w:rPr>
                      <w:rFonts w:hint="default" w:ascii="Times New Roman" w:hAnsi="Times New Roman" w:eastAsia="宋体" w:cs="Times New Roman"/>
                      <w:i w:val="0"/>
                      <w:iCs w:val="0"/>
                      <w:color w:val="auto"/>
                      <w:kern w:val="0"/>
                      <w:sz w:val="21"/>
                      <w:szCs w:val="21"/>
                      <w:highlight w:val="none"/>
                      <w:u w:val="none"/>
                      <w:lang w:val="en-US" w:eastAsia="zh-CN"/>
                    </w:rPr>
                    <w:t>按照《陕西省建筑施工扬尘治理措施16条》及《宝鸡市大气污染防治条例》相关规定，</w:t>
                  </w:r>
                  <w:r>
                    <w:rPr>
                      <w:rFonts w:hint="eastAsia" w:cs="Times New Roman"/>
                      <w:i w:val="0"/>
                      <w:iCs w:val="0"/>
                      <w:color w:val="auto"/>
                      <w:kern w:val="0"/>
                      <w:sz w:val="21"/>
                      <w:szCs w:val="21"/>
                      <w:highlight w:val="none"/>
                      <w:u w:val="none"/>
                      <w:lang w:val="en-US" w:eastAsia="zh-CN"/>
                    </w:rPr>
                    <w:t>严格落实相关施工扬尘污染防治措施，落实“六个百分百”，确保</w:t>
                  </w:r>
                  <w:r>
                    <w:rPr>
                      <w:color w:val="auto"/>
                      <w:szCs w:val="21"/>
                      <w:highlight w:val="none"/>
                      <w:lang w:val="en-GB"/>
                    </w:rPr>
                    <w:t>施工场界扬尘可满足</w:t>
                  </w:r>
                  <w:r>
                    <w:rPr>
                      <w:color w:val="auto"/>
                      <w:sz w:val="21"/>
                      <w:szCs w:val="21"/>
                      <w:highlight w:val="none"/>
                    </w:rPr>
                    <w:t>《施工场界扬尘排放限值》</w:t>
                  </w:r>
                  <w:r>
                    <w:rPr>
                      <w:rFonts w:hint="eastAsia"/>
                      <w:color w:val="auto"/>
                      <w:sz w:val="21"/>
                      <w:szCs w:val="21"/>
                      <w:highlight w:val="none"/>
                      <w:lang w:eastAsia="zh-CN"/>
                    </w:rPr>
                    <w:t>（</w:t>
                  </w:r>
                  <w:r>
                    <w:rPr>
                      <w:color w:val="auto"/>
                      <w:sz w:val="21"/>
                      <w:szCs w:val="21"/>
                      <w:highlight w:val="none"/>
                    </w:rPr>
                    <w:t>DB61/1078-2017</w:t>
                  </w:r>
                  <w:r>
                    <w:rPr>
                      <w:rFonts w:hint="eastAsia"/>
                      <w:color w:val="auto"/>
                      <w:sz w:val="21"/>
                      <w:szCs w:val="21"/>
                      <w:highlight w:val="none"/>
                      <w:lang w:eastAsia="zh-CN"/>
                    </w:rPr>
                    <w:t>）</w:t>
                  </w:r>
                  <w:r>
                    <w:rPr>
                      <w:color w:val="auto"/>
                      <w:kern w:val="0"/>
                      <w:szCs w:val="21"/>
                      <w:highlight w:val="none"/>
                    </w:rPr>
                    <w:t>要求。</w:t>
                  </w:r>
                </w:p>
              </w:tc>
              <w:tc>
                <w:tcPr>
                  <w:tcW w:w="509" w:type="pct"/>
                  <w:tcBorders>
                    <w:tl2br w:val="nil"/>
                    <w:tr2bl w:val="nil"/>
                  </w:tcBorders>
                  <w:noWrap/>
                  <w:vAlign w:val="center"/>
                </w:tcPr>
                <w:p w14:paraId="2E622EB2">
                  <w:pPr>
                    <w:widowControl/>
                    <w:jc w:val="center"/>
                    <w:rPr>
                      <w:rFonts w:hint="default" w:eastAsiaTheme="minorEastAsia"/>
                      <w:color w:val="auto"/>
                      <w:kern w:val="0"/>
                      <w:szCs w:val="21"/>
                      <w:highlight w:val="none"/>
                      <w:lang w:val="en-US" w:eastAsia="zh-CN"/>
                    </w:rPr>
                  </w:pPr>
                  <w:r>
                    <w:rPr>
                      <w:rFonts w:hint="eastAsia" w:eastAsiaTheme="minorEastAsia"/>
                      <w:color w:val="auto"/>
                      <w:kern w:val="0"/>
                      <w:szCs w:val="21"/>
                      <w:highlight w:val="none"/>
                      <w:lang w:val="en-US" w:eastAsia="zh-CN"/>
                    </w:rPr>
                    <w:t>符合</w:t>
                  </w:r>
                </w:p>
              </w:tc>
            </w:tr>
          </w:tbl>
          <w:p w14:paraId="531BB14F">
            <w:pPr>
              <w:keepNext w:val="0"/>
              <w:keepLines w:val="0"/>
              <w:pageBreakBefore w:val="0"/>
              <w:widowControl/>
              <w:numPr>
                <w:ilvl w:val="0"/>
                <w:numId w:val="0"/>
              </w:numPr>
              <w:kinsoku/>
              <w:wordWrap/>
              <w:overflowPunct/>
              <w:topLinePunct w:val="0"/>
              <w:bidi w:val="0"/>
              <w:snapToGrid w:val="0"/>
              <w:spacing w:line="360" w:lineRule="auto"/>
              <w:jc w:val="left"/>
              <w:textAlignment w:val="auto"/>
              <w:rPr>
                <w:rFonts w:eastAsiaTheme="minorEastAsia"/>
                <w:b/>
                <w:bCs/>
                <w:color w:val="auto"/>
                <w:kern w:val="0"/>
                <w:sz w:val="24"/>
                <w:highlight w:val="none"/>
              </w:rPr>
            </w:pPr>
            <w:r>
              <w:rPr>
                <w:rFonts w:hint="eastAsia" w:eastAsiaTheme="minorEastAsia"/>
                <w:b/>
                <w:bCs/>
                <w:color w:val="auto"/>
                <w:kern w:val="0"/>
                <w:sz w:val="24"/>
                <w:highlight w:val="none"/>
                <w:lang w:val="en-US" w:eastAsia="zh-CN"/>
              </w:rPr>
              <w:t>3.</w:t>
            </w:r>
            <w:r>
              <w:rPr>
                <w:rFonts w:eastAsiaTheme="minorEastAsia"/>
                <w:b/>
                <w:bCs/>
                <w:color w:val="auto"/>
                <w:kern w:val="0"/>
                <w:sz w:val="24"/>
                <w:highlight w:val="none"/>
              </w:rPr>
              <w:t>项目选址合理性分析</w:t>
            </w:r>
          </w:p>
          <w:p w14:paraId="53B8E028">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kern w:val="0"/>
                <w:sz w:val="24"/>
                <w:highlight w:val="none"/>
              </w:rPr>
              <w:t>本项目位于</w:t>
            </w:r>
            <w:r>
              <w:rPr>
                <w:rFonts w:hint="eastAsia" w:cs="Times New Roman"/>
                <w:color w:val="auto"/>
                <w:kern w:val="0"/>
                <w:sz w:val="24"/>
                <w:highlight w:val="none"/>
                <w:lang w:eastAsia="zh-CN"/>
              </w:rPr>
              <w:t>陕西省宝鸡市凤翔区田家庄镇河北村村北金隅冀东凤翔环保科技有限公司厂区内</w:t>
            </w:r>
            <w:r>
              <w:rPr>
                <w:rFonts w:hint="eastAsia" w:eastAsiaTheme="minorEastAsia"/>
                <w:color w:val="auto"/>
                <w:sz w:val="24"/>
                <w:highlight w:val="none"/>
                <w:lang w:val="en-US" w:eastAsia="zh-CN"/>
              </w:rPr>
              <w:t>，地理坐标经度：</w:t>
            </w:r>
            <w:r>
              <w:rPr>
                <w:rFonts w:hint="default" w:ascii="Times New Roman" w:hAnsi="Times New Roman" w:eastAsia="宋体" w:cs="Times New Roman"/>
                <w:color w:val="auto"/>
                <w:sz w:val="24"/>
                <w:szCs w:val="24"/>
                <w:highlight w:val="none"/>
              </w:rPr>
              <w:t>107°</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15.865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纬度：</w:t>
            </w:r>
            <w:r>
              <w:rPr>
                <w:rFonts w:hint="default" w:ascii="Times New Roman" w:hAnsi="Times New Roman" w:eastAsia="宋体" w:cs="Times New Roman"/>
                <w:color w:val="auto"/>
                <w:sz w:val="24"/>
                <w:szCs w:val="24"/>
                <w:highlight w:val="none"/>
              </w:rPr>
              <w:t>34°</w:t>
            </w:r>
            <w:r>
              <w:rPr>
                <w:rFonts w:hint="eastAsia"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22.411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p>
          <w:p w14:paraId="421A85CE">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eastAsiaTheme="minorEastAsia"/>
                <w:color w:val="auto"/>
                <w:sz w:val="24"/>
                <w:highlight w:val="none"/>
                <w:lang w:eastAsia="zh-CN"/>
              </w:rPr>
              <w:t>（</w:t>
            </w:r>
            <w:r>
              <w:rPr>
                <w:rFonts w:hint="default" w:eastAsiaTheme="minorEastAsia"/>
                <w:color w:val="auto"/>
                <w:sz w:val="24"/>
                <w:highlight w:val="none"/>
                <w:lang w:val="en-US" w:eastAsia="zh-CN"/>
              </w:rPr>
              <w:t>1</w:t>
            </w:r>
            <w:r>
              <w:rPr>
                <w:rFonts w:hint="default" w:eastAsiaTheme="minorEastAsia"/>
                <w:color w:val="auto"/>
                <w:sz w:val="24"/>
                <w:highlight w:val="none"/>
                <w:lang w:eastAsia="zh-CN"/>
              </w:rPr>
              <w:t>）</w:t>
            </w:r>
            <w:r>
              <w:rPr>
                <w:rFonts w:hint="eastAsia" w:ascii="宋体" w:hAnsi="宋体" w:cs="宋体"/>
                <w:color w:val="auto"/>
                <w:kern w:val="0"/>
                <w:sz w:val="24"/>
                <w:highlight w:val="none"/>
                <w:lang w:val="en-US" w:eastAsia="zh-CN"/>
              </w:rPr>
              <w:t>土地性质：</w:t>
            </w:r>
            <w:r>
              <w:rPr>
                <w:rFonts w:hint="eastAsia" w:ascii="Times New Roman" w:hAnsi="Times New Roman" w:eastAsia="宋体" w:cs="Times New Roman"/>
                <w:color w:val="auto"/>
                <w:sz w:val="24"/>
                <w:szCs w:val="24"/>
                <w:highlight w:val="none"/>
                <w:lang w:val="en-US" w:eastAsia="zh-CN"/>
              </w:rPr>
              <w:t>根据建设单位提供的资料，</w:t>
            </w:r>
            <w:r>
              <w:rPr>
                <w:rFonts w:hint="eastAsia" w:cs="Times New Roman"/>
                <w:color w:val="auto"/>
                <w:sz w:val="24"/>
                <w:szCs w:val="24"/>
                <w:highlight w:val="none"/>
                <w:lang w:val="en-US" w:eastAsia="zh-CN"/>
              </w:rPr>
              <w:t>宝鸡市自然资源和规划局凤翔分局</w:t>
            </w:r>
            <w:r>
              <w:rPr>
                <w:rFonts w:hint="eastAsia" w:ascii="Times New Roman" w:hAnsi="Times New Roman" w:eastAsia="宋体" w:cs="Times New Roman"/>
                <w:color w:val="auto"/>
                <w:sz w:val="24"/>
                <w:szCs w:val="24"/>
                <w:highlight w:val="none"/>
                <w:lang w:val="en-US" w:eastAsia="zh-CN"/>
              </w:rPr>
              <w:t>以</w:t>
            </w:r>
            <w:r>
              <w:rPr>
                <w:rFonts w:hint="eastAsia" w:ascii="Times New Roman" w:hAnsi="Times New Roman" w:cs="Times New Roman"/>
                <w:color w:val="auto"/>
                <w:sz w:val="24"/>
                <w:szCs w:val="24"/>
                <w:highlight w:val="none"/>
                <w:lang w:val="en-US" w:eastAsia="zh-CN"/>
              </w:rPr>
              <w:t>陕（20</w:t>
            </w:r>
            <w:r>
              <w:rPr>
                <w:rFonts w:hint="eastAsia" w:cs="Times New Roman"/>
                <w:color w:val="auto"/>
                <w:sz w:val="24"/>
                <w:szCs w:val="24"/>
                <w:highlight w:val="none"/>
                <w:lang w:val="en-US" w:eastAsia="zh-CN"/>
              </w:rPr>
              <w:t>23</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凤翔区</w:t>
            </w:r>
            <w:r>
              <w:rPr>
                <w:rFonts w:hint="eastAsia" w:ascii="Times New Roman" w:hAnsi="Times New Roman" w:cs="Times New Roman"/>
                <w:color w:val="auto"/>
                <w:sz w:val="24"/>
                <w:szCs w:val="24"/>
                <w:highlight w:val="none"/>
                <w:lang w:val="en-US" w:eastAsia="zh-CN"/>
              </w:rPr>
              <w:t>不动产权第</w:t>
            </w:r>
            <w:r>
              <w:rPr>
                <w:rFonts w:hint="eastAsia" w:cs="Times New Roman"/>
                <w:color w:val="auto"/>
                <w:sz w:val="24"/>
                <w:szCs w:val="24"/>
                <w:highlight w:val="none"/>
                <w:lang w:val="en-US" w:eastAsia="zh-CN"/>
              </w:rPr>
              <w:t>0004814</w:t>
            </w:r>
            <w:r>
              <w:rPr>
                <w:rFonts w:hint="default" w:ascii="Times New Roman" w:hAnsi="Times New Roman" w:cs="Times New Roman"/>
                <w:color w:val="auto"/>
                <w:sz w:val="24"/>
                <w:szCs w:val="24"/>
                <w:highlight w:val="none"/>
              </w:rPr>
              <w:t>号</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宗地面积180163m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凤翔县不动产登记局分别以</w:t>
            </w:r>
            <w:r>
              <w:rPr>
                <w:rFonts w:hint="eastAsia" w:ascii="Times New Roman" w:hAnsi="Times New Roman" w:cs="Times New Roman"/>
                <w:color w:val="auto"/>
                <w:sz w:val="24"/>
                <w:szCs w:val="24"/>
                <w:highlight w:val="none"/>
                <w:lang w:val="en-US" w:eastAsia="zh-CN"/>
              </w:rPr>
              <w:t>陕（20</w:t>
            </w:r>
            <w:r>
              <w:rPr>
                <w:rFonts w:hint="eastAsia" w:cs="Times New Roman"/>
                <w:color w:val="auto"/>
                <w:sz w:val="24"/>
                <w:szCs w:val="24"/>
                <w:highlight w:val="none"/>
                <w:lang w:val="en-US" w:eastAsia="zh-CN"/>
              </w:rPr>
              <w:t>21</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凤翔县</w:t>
            </w:r>
            <w:r>
              <w:rPr>
                <w:rFonts w:hint="eastAsia" w:ascii="Times New Roman" w:hAnsi="Times New Roman" w:cs="Times New Roman"/>
                <w:color w:val="auto"/>
                <w:sz w:val="24"/>
                <w:szCs w:val="24"/>
                <w:highlight w:val="none"/>
                <w:lang w:val="en-US" w:eastAsia="zh-CN"/>
              </w:rPr>
              <w:t>不动产权第</w:t>
            </w:r>
            <w:r>
              <w:rPr>
                <w:rFonts w:hint="eastAsia" w:cs="Times New Roman"/>
                <w:color w:val="auto"/>
                <w:sz w:val="24"/>
                <w:szCs w:val="24"/>
                <w:highlight w:val="none"/>
                <w:lang w:val="en-US" w:eastAsia="zh-CN"/>
              </w:rPr>
              <w:t>0000832</w:t>
            </w:r>
            <w:r>
              <w:rPr>
                <w:rFonts w:hint="default" w:ascii="Times New Roman" w:hAnsi="Times New Roman" w:cs="Times New Roman"/>
                <w:color w:val="auto"/>
                <w:sz w:val="24"/>
                <w:szCs w:val="24"/>
                <w:highlight w:val="none"/>
              </w:rPr>
              <w:t>号</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宗地面积11722m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和</w:t>
            </w:r>
            <w:r>
              <w:rPr>
                <w:rFonts w:hint="eastAsia" w:ascii="Times New Roman" w:hAnsi="Times New Roman" w:cs="Times New Roman"/>
                <w:color w:val="auto"/>
                <w:sz w:val="24"/>
                <w:szCs w:val="24"/>
                <w:highlight w:val="none"/>
                <w:lang w:val="en-US" w:eastAsia="zh-CN"/>
              </w:rPr>
              <w:t>陕（20</w:t>
            </w:r>
            <w:r>
              <w:rPr>
                <w:rFonts w:hint="eastAsia" w:cs="Times New Roman"/>
                <w:color w:val="auto"/>
                <w:sz w:val="24"/>
                <w:szCs w:val="24"/>
                <w:highlight w:val="none"/>
                <w:lang w:val="en-US" w:eastAsia="zh-CN"/>
              </w:rPr>
              <w:t>21</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凤翔县</w:t>
            </w:r>
            <w:r>
              <w:rPr>
                <w:rFonts w:hint="eastAsia" w:ascii="Times New Roman" w:hAnsi="Times New Roman" w:cs="Times New Roman"/>
                <w:color w:val="auto"/>
                <w:sz w:val="24"/>
                <w:szCs w:val="24"/>
                <w:highlight w:val="none"/>
                <w:lang w:val="en-US" w:eastAsia="zh-CN"/>
              </w:rPr>
              <w:t>不动产权第</w:t>
            </w:r>
            <w:r>
              <w:rPr>
                <w:rFonts w:hint="eastAsia" w:cs="Times New Roman"/>
                <w:color w:val="auto"/>
                <w:sz w:val="24"/>
                <w:szCs w:val="24"/>
                <w:highlight w:val="none"/>
                <w:lang w:val="en-US" w:eastAsia="zh-CN"/>
              </w:rPr>
              <w:t>0000833</w:t>
            </w:r>
            <w:r>
              <w:rPr>
                <w:rFonts w:hint="default" w:ascii="Times New Roman" w:hAnsi="Times New Roman" w:cs="Times New Roman"/>
                <w:color w:val="auto"/>
                <w:sz w:val="24"/>
                <w:szCs w:val="24"/>
                <w:highlight w:val="none"/>
              </w:rPr>
              <w:t>号</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宗地面积19300m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对本项目用地颁发了土地证，地类用途为工业用地（土地手续见附件</w:t>
            </w:r>
            <w:r>
              <w:rPr>
                <w:rFonts w:hint="eastAsia" w:cs="Times New Roman"/>
                <w:color w:val="auto"/>
                <w:sz w:val="24"/>
                <w:szCs w:val="24"/>
                <w:highlight w:val="none"/>
                <w:lang w:val="en-US" w:eastAsia="zh-CN"/>
              </w:rPr>
              <w:t>四</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w:t>
            </w:r>
          </w:p>
          <w:p w14:paraId="7508C023">
            <w:pPr>
              <w:keepNext w:val="0"/>
              <w:keepLines w:val="0"/>
              <w:pageBreakBefore w:val="0"/>
              <w:numPr>
                <w:ilvl w:val="0"/>
                <w:numId w:val="0"/>
              </w:numPr>
              <w:kinsoku/>
              <w:wordWrap/>
              <w:overflowPunct/>
              <w:topLinePunct w:val="0"/>
              <w:bidi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eastAsiaTheme="minorEastAsia"/>
                <w:color w:val="auto"/>
                <w:sz w:val="24"/>
                <w:highlight w:val="none"/>
                <w:lang w:eastAsia="zh-CN"/>
              </w:rPr>
              <w:t>（</w:t>
            </w:r>
            <w:r>
              <w:rPr>
                <w:rFonts w:hint="eastAsia" w:eastAsiaTheme="minorEastAsia"/>
                <w:color w:val="auto"/>
                <w:sz w:val="24"/>
                <w:highlight w:val="none"/>
                <w:lang w:val="en-US" w:eastAsia="zh-CN"/>
              </w:rPr>
              <w:t>2</w:t>
            </w:r>
            <w:r>
              <w:rPr>
                <w:rFonts w:hint="eastAsia" w:eastAsiaTheme="minorEastAsia"/>
                <w:color w:val="auto"/>
                <w:sz w:val="24"/>
                <w:highlight w:val="none"/>
                <w:lang w:eastAsia="zh-CN"/>
              </w:rPr>
              <w:t>）</w:t>
            </w:r>
            <w:r>
              <w:rPr>
                <w:rFonts w:hint="eastAsia" w:eastAsiaTheme="minorEastAsia"/>
                <w:color w:val="auto"/>
                <w:sz w:val="24"/>
                <w:highlight w:val="none"/>
                <w:lang w:val="en-US" w:eastAsia="zh-CN"/>
              </w:rPr>
              <w:t>环境敏感性：</w:t>
            </w:r>
            <w:r>
              <w:rPr>
                <w:rFonts w:hint="eastAsia" w:ascii="Times New Roman" w:hAnsi="Times New Roman" w:eastAsia="宋体" w:cs="Times New Roman"/>
                <w:b w:val="0"/>
                <w:bCs w:val="0"/>
                <w:color w:val="auto"/>
                <w:sz w:val="24"/>
                <w:szCs w:val="24"/>
                <w:highlight w:val="none"/>
                <w:lang w:val="en-US" w:eastAsia="zh-CN"/>
              </w:rPr>
              <w:t>项目所在区域不属于自然保护区、森林公园、风景名胜区、世界文化遗产、地质公园等禁止开发的生态红线区、重点保护生态红线区以及脆弱生态保护红线区内，项目建设不会占用生态红线保护区，占地范围内无生态环境保护目标。</w:t>
            </w:r>
          </w:p>
          <w:p w14:paraId="1CF61498">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eastAsiaTheme="minorEastAsia"/>
                <w:color w:val="auto"/>
                <w:sz w:val="24"/>
                <w:highlight w:val="none"/>
                <w:lang w:eastAsia="zh-CN"/>
              </w:rPr>
              <w:t>（3）</w:t>
            </w:r>
            <w:r>
              <w:rPr>
                <w:rFonts w:hint="eastAsia" w:eastAsiaTheme="minorEastAsia"/>
                <w:color w:val="auto"/>
                <w:sz w:val="24"/>
                <w:highlight w:val="none"/>
                <w:lang w:val="en-US" w:eastAsia="zh-CN"/>
              </w:rPr>
              <w:t>环境区划功能符合性：</w:t>
            </w:r>
            <w:r>
              <w:rPr>
                <w:rFonts w:hint="eastAsia" w:ascii="Times New Roman" w:hAnsi="Times New Roman" w:eastAsia="宋体" w:cs="Times New Roman"/>
                <w:b w:val="0"/>
                <w:bCs w:val="0"/>
                <w:color w:val="auto"/>
                <w:sz w:val="24"/>
                <w:szCs w:val="24"/>
                <w:highlight w:val="none"/>
                <w:lang w:val="en-US" w:eastAsia="zh-CN"/>
              </w:rPr>
              <w:t>项目所在区域环境空气中SO</w:t>
            </w:r>
            <w:r>
              <w:rPr>
                <w:rFonts w:hint="eastAsia" w:ascii="Times New Roman" w:hAnsi="Times New Roman" w:eastAsia="宋体" w:cs="Times New Roman"/>
                <w:b w:val="0"/>
                <w:bCs w:val="0"/>
                <w:color w:val="auto"/>
                <w:sz w:val="24"/>
                <w:szCs w:val="24"/>
                <w:highlight w:val="none"/>
                <w:vertAlign w:val="subscript"/>
                <w:lang w:val="en-US" w:eastAsia="zh-CN"/>
              </w:rPr>
              <w:t>2</w:t>
            </w:r>
            <w:r>
              <w:rPr>
                <w:rFonts w:hint="eastAsia" w:ascii="Times New Roman" w:hAnsi="Times New Roman" w:eastAsia="宋体" w:cs="Times New Roman"/>
                <w:b w:val="0"/>
                <w:bCs w:val="0"/>
                <w:color w:val="auto"/>
                <w:sz w:val="24"/>
                <w:szCs w:val="24"/>
                <w:highlight w:val="none"/>
                <w:lang w:val="en-US" w:eastAsia="zh-CN"/>
              </w:rPr>
              <w:t>、NO</w:t>
            </w:r>
            <w:r>
              <w:rPr>
                <w:rFonts w:hint="eastAsia" w:ascii="Times New Roman" w:hAnsi="Times New Roman" w:eastAsia="宋体" w:cs="Times New Roman"/>
                <w:b w:val="0"/>
                <w:bCs w:val="0"/>
                <w:color w:val="auto"/>
                <w:sz w:val="24"/>
                <w:szCs w:val="24"/>
                <w:highlight w:val="none"/>
                <w:vertAlign w:val="subscript"/>
                <w:lang w:val="en-US" w:eastAsia="zh-CN"/>
              </w:rPr>
              <w:t>2</w:t>
            </w:r>
            <w:r>
              <w:rPr>
                <w:rFonts w:hint="eastAsia"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lang w:val="en-US" w:eastAsia="zh-CN"/>
              </w:rPr>
              <w:t>PM</w:t>
            </w:r>
            <w:r>
              <w:rPr>
                <w:rFonts w:hint="eastAsia" w:ascii="Times New Roman" w:hAnsi="Times New Roman" w:eastAsia="宋体" w:cs="Times New Roman"/>
                <w:b w:val="0"/>
                <w:bCs w:val="0"/>
                <w:color w:val="auto"/>
                <w:sz w:val="24"/>
                <w:szCs w:val="24"/>
                <w:highlight w:val="none"/>
                <w:vertAlign w:val="subscript"/>
                <w:lang w:val="en-US" w:eastAsia="zh-CN"/>
              </w:rPr>
              <w:t>10</w:t>
            </w:r>
            <w:r>
              <w:rPr>
                <w:rFonts w:hint="eastAsia" w:ascii="Times New Roman" w:hAnsi="Times New Roman" w:eastAsia="宋体" w:cs="Times New Roman"/>
                <w:b w:val="0"/>
                <w:bCs w:val="0"/>
                <w:color w:val="auto"/>
                <w:sz w:val="24"/>
                <w:szCs w:val="24"/>
                <w:highlight w:val="none"/>
                <w:lang w:val="en-US" w:eastAsia="zh-CN"/>
              </w:rPr>
              <w:t>、PM</w:t>
            </w:r>
            <w:r>
              <w:rPr>
                <w:rFonts w:hint="eastAsia" w:ascii="Times New Roman" w:hAnsi="Times New Roman" w:eastAsia="宋体" w:cs="Times New Roman"/>
                <w:b w:val="0"/>
                <w:bCs w:val="0"/>
                <w:color w:val="auto"/>
                <w:sz w:val="24"/>
                <w:szCs w:val="24"/>
                <w:highlight w:val="none"/>
                <w:vertAlign w:val="subscript"/>
                <w:lang w:val="en-US" w:eastAsia="zh-CN"/>
              </w:rPr>
              <w:t>2.5</w:t>
            </w:r>
            <w:r>
              <w:rPr>
                <w:rFonts w:hint="eastAsia" w:ascii="Times New Roman" w:hAnsi="Times New Roman" w:eastAsia="宋体" w:cs="Times New Roman"/>
                <w:b w:val="0"/>
                <w:bCs w:val="0"/>
                <w:color w:val="auto"/>
                <w:sz w:val="24"/>
                <w:szCs w:val="24"/>
                <w:highlight w:val="none"/>
                <w:vertAlign w:val="baseline"/>
                <w:lang w:val="en-US" w:eastAsia="zh-CN"/>
              </w:rPr>
              <w:t>年均值</w:t>
            </w:r>
            <w:r>
              <w:rPr>
                <w:rFonts w:hint="eastAsia" w:ascii="Times New Roman" w:hAnsi="Times New Roman" w:eastAsia="宋体" w:cs="Times New Roman"/>
                <w:b w:val="0"/>
                <w:bCs w:val="0"/>
                <w:color w:val="auto"/>
                <w:sz w:val="24"/>
                <w:szCs w:val="24"/>
                <w:highlight w:val="none"/>
                <w:lang w:val="en-US" w:eastAsia="zh-CN"/>
              </w:rPr>
              <w:t>、CO第95百分位数日平均质量浓度、O</w:t>
            </w:r>
            <w:r>
              <w:rPr>
                <w:rFonts w:hint="eastAsia" w:ascii="Times New Roman" w:hAnsi="Times New Roman" w:eastAsia="宋体" w:cs="Times New Roman"/>
                <w:b w:val="0"/>
                <w:bCs w:val="0"/>
                <w:color w:val="auto"/>
                <w:sz w:val="24"/>
                <w:szCs w:val="24"/>
                <w:highlight w:val="none"/>
                <w:vertAlign w:val="subscript"/>
                <w:lang w:val="en-US" w:eastAsia="zh-CN"/>
              </w:rPr>
              <w:t>3</w:t>
            </w:r>
            <w:r>
              <w:rPr>
                <w:rFonts w:hint="eastAsia" w:ascii="Times New Roman" w:hAnsi="Times New Roman" w:eastAsia="宋体" w:cs="Times New Roman"/>
                <w:b w:val="0"/>
                <w:bCs w:val="0"/>
                <w:color w:val="auto"/>
                <w:sz w:val="24"/>
                <w:szCs w:val="24"/>
                <w:highlight w:val="none"/>
                <w:lang w:val="en-US" w:eastAsia="zh-CN"/>
              </w:rPr>
              <w:t>第90百分位数日最大8小时平均质量浓度均可达到《环境空气质量标准》（GB3095-2012）及其修改单中二级标准要求</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项目所在地属于声环境3类功能区，不属于城市居民区、商业区及其他环境敏感区</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根据工程分析确定的污染物源强，通过大气环境、水环境、声环境影响分析，项目建成后各项污染物均能达标排放，对区域大气、水环境、声环境影响较小，不会对区域环境产生明显制约影响。</w:t>
            </w:r>
          </w:p>
          <w:p w14:paraId="3088963E">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eastAsiaTheme="minorEastAsia"/>
                <w:color w:val="auto"/>
                <w:sz w:val="24"/>
                <w:highlight w:val="none"/>
                <w:lang w:eastAsia="zh-CN"/>
              </w:rPr>
              <w:t>（</w:t>
            </w:r>
            <w:r>
              <w:rPr>
                <w:rFonts w:hint="eastAsia" w:eastAsiaTheme="minorEastAsia"/>
                <w:color w:val="auto"/>
                <w:sz w:val="24"/>
                <w:highlight w:val="none"/>
                <w:lang w:val="en-US" w:eastAsia="zh-CN"/>
              </w:rPr>
              <w:t>4</w:t>
            </w:r>
            <w:r>
              <w:rPr>
                <w:rFonts w:hint="eastAsia" w:eastAsiaTheme="minorEastAsia"/>
                <w:color w:val="auto"/>
                <w:sz w:val="24"/>
                <w:highlight w:val="none"/>
                <w:lang w:eastAsia="zh-CN"/>
              </w:rPr>
              <w:t>）</w:t>
            </w:r>
            <w:r>
              <w:rPr>
                <w:rFonts w:hint="eastAsia" w:eastAsiaTheme="minorEastAsia"/>
                <w:color w:val="auto"/>
                <w:sz w:val="24"/>
                <w:highlight w:val="none"/>
                <w:lang w:val="en-US" w:eastAsia="zh-CN"/>
              </w:rPr>
              <w:t>四邻关系：项目位于陕西省宝鸡市凤翔区田家庄镇河北村村北金隅冀东凤翔环保科技有限公司厂区内，项目区东邻石灰石堆场，西邻绿化带，南邻水泥袋装车间，北邻循环水泵房。厂区西</w:t>
            </w:r>
            <w:r>
              <w:rPr>
                <w:rFonts w:hint="eastAsia" w:ascii="Times New Roman" w:hAnsi="Times New Roman" w:eastAsia="宋体" w:cs="Times New Roman"/>
                <w:b w:val="0"/>
                <w:bCs w:val="0"/>
                <w:color w:val="auto"/>
                <w:sz w:val="24"/>
                <w:szCs w:val="24"/>
                <w:highlight w:val="none"/>
                <w:lang w:val="en-US" w:eastAsia="zh-CN"/>
              </w:rPr>
              <w:t>侧大门出入口连通市政道路</w:t>
            </w:r>
            <w:r>
              <w:rPr>
                <w:rFonts w:hint="eastAsia" w:cs="Times New Roman"/>
                <w:b w:val="0"/>
                <w:bCs w:val="0"/>
                <w:color w:val="auto"/>
                <w:sz w:val="24"/>
                <w:szCs w:val="24"/>
                <w:highlight w:val="none"/>
                <w:lang w:val="en-US" w:eastAsia="zh-CN"/>
              </w:rPr>
              <w:t>（麟凤路）</w:t>
            </w:r>
            <w:r>
              <w:rPr>
                <w:rFonts w:hint="eastAsia" w:ascii="Times New Roman" w:hAnsi="Times New Roman" w:eastAsia="宋体" w:cs="Times New Roman"/>
                <w:b w:val="0"/>
                <w:bCs w:val="0"/>
                <w:color w:val="auto"/>
                <w:sz w:val="24"/>
                <w:szCs w:val="24"/>
                <w:highlight w:val="none"/>
                <w:lang w:val="en-US" w:eastAsia="zh-CN"/>
              </w:rPr>
              <w:t>，周边交通便利，水、电等基础设施完善，辅助设施齐全，完全能满足生产、生活和今后发展的需要。</w:t>
            </w:r>
            <w:r>
              <w:rPr>
                <w:rFonts w:hint="eastAsia" w:cs="Times New Roman"/>
                <w:b w:val="0"/>
                <w:bCs w:val="0"/>
                <w:color w:val="auto"/>
                <w:sz w:val="24"/>
                <w:szCs w:val="24"/>
                <w:highlight w:val="none"/>
                <w:lang w:val="en-US" w:eastAsia="zh-CN"/>
              </w:rPr>
              <w:t>厂区内</w:t>
            </w:r>
            <w:r>
              <w:rPr>
                <w:rFonts w:hint="eastAsia" w:ascii="Times New Roman" w:hAnsi="Times New Roman" w:eastAsia="宋体" w:cs="Times New Roman"/>
                <w:b w:val="0"/>
                <w:bCs w:val="0"/>
                <w:color w:val="auto"/>
                <w:sz w:val="24"/>
                <w:szCs w:val="24"/>
                <w:highlight w:val="none"/>
                <w:lang w:val="en-US" w:eastAsia="zh-CN"/>
              </w:rPr>
              <w:t>建设条件良好，配套设施完善，适宜本项目的建设。</w:t>
            </w:r>
          </w:p>
          <w:p w14:paraId="44780A88">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rFonts w:eastAsiaTheme="minorEastAsia"/>
                <w:snapToGrid w:val="0"/>
                <w:color w:val="auto"/>
                <w:sz w:val="24"/>
                <w:highlight w:val="none"/>
              </w:rPr>
            </w:pPr>
            <w:r>
              <w:rPr>
                <w:rFonts w:hint="default" w:ascii="Times New Roman" w:hAnsi="Times New Roman" w:eastAsia="宋体" w:cs="Times New Roman"/>
                <w:color w:val="auto"/>
                <w:sz w:val="24"/>
                <w:szCs w:val="24"/>
                <w:highlight w:val="none"/>
                <w:lang w:eastAsia="zh-CN"/>
              </w:rPr>
              <w:t>综上所述，本</w:t>
            </w:r>
            <w:r>
              <w:rPr>
                <w:rFonts w:hint="default" w:ascii="Times New Roman" w:hAnsi="Times New Roman" w:cs="Times New Roman"/>
                <w:color w:val="auto"/>
                <w:sz w:val="24"/>
                <w:szCs w:val="24"/>
                <w:highlight w:val="none"/>
              </w:rPr>
              <w:t>项目选址合理</w:t>
            </w:r>
            <w:r>
              <w:rPr>
                <w:rFonts w:hint="default" w:ascii="Times New Roman" w:hAnsi="Times New Roman" w:cs="Times New Roman"/>
                <w:color w:val="auto"/>
                <w:sz w:val="24"/>
                <w:szCs w:val="24"/>
                <w:highlight w:val="none"/>
                <w:lang w:eastAsia="zh-CN"/>
              </w:rPr>
              <w:t>。</w:t>
            </w:r>
          </w:p>
          <w:p w14:paraId="0E580C1D">
            <w:pPr>
              <w:pStyle w:val="15"/>
              <w:keepNext w:val="0"/>
              <w:keepLines w:val="0"/>
              <w:pageBreakBefore w:val="0"/>
              <w:kinsoku/>
              <w:wordWrap/>
              <w:overflowPunct/>
              <w:topLinePunct w:val="0"/>
              <w:bidi w:val="0"/>
              <w:snapToGrid w:val="0"/>
              <w:spacing w:line="360" w:lineRule="auto"/>
              <w:ind w:left="0" w:leftChars="0" w:firstLine="0" w:firstLineChars="0"/>
              <w:textAlignment w:val="auto"/>
              <w:rPr>
                <w:color w:val="auto"/>
                <w:highlight w:val="none"/>
              </w:rPr>
            </w:pPr>
          </w:p>
          <w:p w14:paraId="5EF9E787">
            <w:pPr>
              <w:rPr>
                <w:color w:val="auto"/>
                <w:highlight w:val="none"/>
              </w:rPr>
            </w:pPr>
          </w:p>
          <w:p w14:paraId="0C61530A">
            <w:pPr>
              <w:pStyle w:val="15"/>
              <w:rPr>
                <w:color w:val="auto"/>
                <w:highlight w:val="none"/>
              </w:rPr>
            </w:pPr>
          </w:p>
          <w:p w14:paraId="6579A3FE">
            <w:pPr>
              <w:rPr>
                <w:color w:val="auto"/>
                <w:highlight w:val="none"/>
              </w:rPr>
            </w:pPr>
          </w:p>
          <w:p w14:paraId="741BED91">
            <w:pPr>
              <w:pStyle w:val="15"/>
              <w:rPr>
                <w:color w:val="auto"/>
                <w:highlight w:val="none"/>
              </w:rPr>
            </w:pPr>
          </w:p>
          <w:p w14:paraId="67AD16D2">
            <w:pPr>
              <w:rPr>
                <w:color w:val="auto"/>
                <w:highlight w:val="none"/>
              </w:rPr>
            </w:pPr>
          </w:p>
          <w:p w14:paraId="02698F84">
            <w:pPr>
              <w:rPr>
                <w:color w:val="auto"/>
                <w:highlight w:val="none"/>
              </w:rPr>
            </w:pPr>
          </w:p>
          <w:p w14:paraId="43183CD8">
            <w:pPr>
              <w:pStyle w:val="15"/>
              <w:rPr>
                <w:color w:val="auto"/>
                <w:highlight w:val="none"/>
              </w:rPr>
            </w:pPr>
          </w:p>
          <w:p w14:paraId="5CF96132">
            <w:pPr>
              <w:rPr>
                <w:color w:val="auto"/>
                <w:highlight w:val="none"/>
              </w:rPr>
            </w:pPr>
          </w:p>
          <w:p w14:paraId="723B1FEF">
            <w:pPr>
              <w:pStyle w:val="15"/>
              <w:rPr>
                <w:color w:val="auto"/>
                <w:highlight w:val="none"/>
              </w:rPr>
            </w:pPr>
          </w:p>
          <w:p w14:paraId="115229B9">
            <w:pPr>
              <w:rPr>
                <w:color w:val="auto"/>
                <w:highlight w:val="none"/>
              </w:rPr>
            </w:pPr>
          </w:p>
          <w:p w14:paraId="2D0591F0">
            <w:pPr>
              <w:pStyle w:val="15"/>
              <w:rPr>
                <w:color w:val="auto"/>
                <w:highlight w:val="none"/>
              </w:rPr>
            </w:pPr>
          </w:p>
          <w:p w14:paraId="33228BDB">
            <w:pPr>
              <w:rPr>
                <w:color w:val="auto"/>
                <w:highlight w:val="none"/>
              </w:rPr>
            </w:pPr>
          </w:p>
          <w:p w14:paraId="1123F496">
            <w:pPr>
              <w:pStyle w:val="15"/>
              <w:ind w:left="0" w:leftChars="0" w:firstLine="0" w:firstLineChars="0"/>
              <w:rPr>
                <w:color w:val="auto"/>
                <w:highlight w:val="none"/>
              </w:rPr>
            </w:pPr>
          </w:p>
          <w:p w14:paraId="4BE3293A">
            <w:pPr>
              <w:rPr>
                <w:color w:val="auto"/>
                <w:highlight w:val="none"/>
              </w:rPr>
            </w:pPr>
          </w:p>
          <w:p w14:paraId="027A1F43">
            <w:pPr>
              <w:pStyle w:val="24"/>
              <w:rPr>
                <w:color w:val="auto"/>
                <w:highlight w:val="none"/>
              </w:rPr>
            </w:pPr>
          </w:p>
          <w:p w14:paraId="05740454">
            <w:pPr>
              <w:rPr>
                <w:color w:val="auto"/>
                <w:highlight w:val="none"/>
              </w:rPr>
            </w:pPr>
          </w:p>
          <w:p w14:paraId="33E890F5">
            <w:pPr>
              <w:pStyle w:val="24"/>
              <w:rPr>
                <w:color w:val="auto"/>
                <w:highlight w:val="none"/>
              </w:rPr>
            </w:pPr>
          </w:p>
          <w:p w14:paraId="759529DA">
            <w:pPr>
              <w:rPr>
                <w:color w:val="auto"/>
                <w:highlight w:val="none"/>
              </w:rPr>
            </w:pPr>
          </w:p>
          <w:p w14:paraId="6057FE29">
            <w:pPr>
              <w:pStyle w:val="24"/>
              <w:rPr>
                <w:color w:val="auto"/>
                <w:highlight w:val="none"/>
              </w:rPr>
            </w:pPr>
          </w:p>
        </w:tc>
      </w:tr>
    </w:tbl>
    <w:p w14:paraId="3323BA15">
      <w:pPr>
        <w:rPr>
          <w:color w:val="auto"/>
          <w:highlight w:val="none"/>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6A090EE4">
      <w:pPr>
        <w:pStyle w:val="17"/>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hint="eastAsia" w:ascii="宋体" w:hAnsi="宋体" w:eastAsia="宋体" w:cs="宋体"/>
          <w:snapToGrid w:val="0"/>
          <w:color w:val="auto"/>
          <w:sz w:val="30"/>
          <w:szCs w:val="30"/>
          <w:highlight w:val="none"/>
        </w:rPr>
      </w:pPr>
      <w:bookmarkStart w:id="8" w:name="_Toc21298"/>
      <w:r>
        <w:rPr>
          <w:rFonts w:hint="eastAsia" w:ascii="宋体" w:hAnsi="宋体" w:eastAsia="宋体" w:cs="宋体"/>
          <w:snapToGrid w:val="0"/>
          <w:color w:val="auto"/>
          <w:sz w:val="30"/>
          <w:szCs w:val="30"/>
          <w:highlight w:val="none"/>
        </w:rPr>
        <w:t>二、建设项目工程分析</w:t>
      </w:r>
      <w:bookmarkEnd w:id="8"/>
    </w:p>
    <w:tbl>
      <w:tblPr>
        <w:tblStyle w:val="19"/>
        <w:tblW w:w="92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302"/>
      </w:tblGrid>
      <w:tr w14:paraId="615FD4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959" w:type="dxa"/>
            <w:tcBorders>
              <w:bottom w:val="single" w:color="auto" w:sz="12" w:space="0"/>
              <w:tl2br w:val="nil"/>
              <w:tr2bl w:val="nil"/>
            </w:tcBorders>
            <w:noWrap/>
            <w:vAlign w:val="center"/>
          </w:tcPr>
          <w:p w14:paraId="25933E22">
            <w:pPr>
              <w:pStyle w:val="17"/>
              <w:adjustRightInd w:val="0"/>
              <w:snapToGrid w:val="0"/>
              <w:spacing w:before="0" w:beforeAutospacing="0" w:after="0" w:afterAutospacing="0"/>
              <w:jc w:val="center"/>
              <w:rPr>
                <w:rFonts w:ascii="Times New Roman" w:hAnsi="Times New Roman" w:eastAsiaTheme="minorEastAsia"/>
                <w:color w:val="auto"/>
                <w:sz w:val="21"/>
                <w:szCs w:val="21"/>
                <w:highlight w:val="none"/>
              </w:rPr>
            </w:pPr>
            <w:r>
              <w:rPr>
                <w:rFonts w:ascii="Times New Roman" w:hAnsi="Times New Roman" w:eastAsiaTheme="minorEastAsia"/>
                <w:color w:val="auto"/>
                <w:szCs w:val="24"/>
                <w:highlight w:val="none"/>
              </w:rPr>
              <w:t>建设内容</w:t>
            </w:r>
          </w:p>
        </w:tc>
        <w:tc>
          <w:tcPr>
            <w:tcW w:w="8302" w:type="dxa"/>
            <w:tcBorders>
              <w:bottom w:val="single" w:color="auto" w:sz="12" w:space="0"/>
              <w:tl2br w:val="nil"/>
              <w:tr2bl w:val="nil"/>
            </w:tcBorders>
            <w:noWrap/>
          </w:tcPr>
          <w:p w14:paraId="5787CCAC">
            <w:pPr>
              <w:keepNext w:val="0"/>
              <w:keepLines w:val="0"/>
              <w:pageBreakBefore w:val="0"/>
              <w:kinsoku/>
              <w:wordWrap/>
              <w:overflowPunct/>
              <w:topLinePunct w:val="0"/>
              <w:bidi w:val="0"/>
              <w:snapToGrid w:val="0"/>
              <w:spacing w:line="360" w:lineRule="auto"/>
              <w:textAlignment w:val="auto"/>
              <w:rPr>
                <w:rFonts w:eastAsiaTheme="minorEastAsia"/>
                <w:b/>
                <w:bCs/>
                <w:color w:val="auto"/>
                <w:sz w:val="24"/>
                <w:highlight w:val="none"/>
              </w:rPr>
            </w:pPr>
            <w:r>
              <w:rPr>
                <w:rFonts w:hint="eastAsia" w:eastAsiaTheme="minorEastAsia"/>
                <w:b/>
                <w:bCs/>
                <w:color w:val="auto"/>
                <w:sz w:val="24"/>
                <w:highlight w:val="none"/>
                <w:lang w:val="en-US" w:eastAsia="zh-CN"/>
              </w:rPr>
              <w:t>1.</w:t>
            </w:r>
            <w:r>
              <w:rPr>
                <w:rFonts w:eastAsiaTheme="minorEastAsia"/>
                <w:b/>
                <w:bCs/>
                <w:color w:val="auto"/>
                <w:sz w:val="24"/>
                <w:highlight w:val="none"/>
              </w:rPr>
              <w:t>项目由来</w:t>
            </w:r>
          </w:p>
          <w:p w14:paraId="4E65B459">
            <w:pPr>
              <w:keepNext w:val="0"/>
              <w:keepLines w:val="0"/>
              <w:pageBreakBefore w:val="0"/>
              <w:widowControl/>
              <w:kinsoku/>
              <w:wordWrap/>
              <w:overflowPunct/>
              <w:topLinePunct w:val="0"/>
              <w:bidi w:val="0"/>
              <w:snapToGrid w:val="0"/>
              <w:spacing w:line="360" w:lineRule="auto"/>
              <w:ind w:firstLine="480" w:firstLineChars="200"/>
              <w:jc w:val="left"/>
              <w:textAlignment w:val="auto"/>
              <w:rPr>
                <w:rFonts w:hint="eastAsia" w:eastAsiaTheme="minorEastAsia"/>
                <w:color w:val="auto"/>
                <w:kern w:val="0"/>
                <w:sz w:val="24"/>
                <w:highlight w:val="none"/>
                <w:lang w:eastAsia="zh-CN"/>
              </w:rPr>
            </w:pPr>
            <w:r>
              <w:rPr>
                <w:rFonts w:hint="eastAsia" w:eastAsiaTheme="minorEastAsia"/>
                <w:color w:val="auto"/>
                <w:kern w:val="0"/>
                <w:sz w:val="24"/>
                <w:highlight w:val="none"/>
                <w:lang w:eastAsia="zh-CN"/>
              </w:rPr>
              <w:t>金隅冀东凤翔环保科技有限公司（</w:t>
            </w:r>
            <w:r>
              <w:rPr>
                <w:rFonts w:hint="eastAsia" w:eastAsiaTheme="minorEastAsia"/>
                <w:color w:val="auto"/>
                <w:kern w:val="0"/>
                <w:sz w:val="24"/>
                <w:highlight w:val="none"/>
                <w:lang w:val="en-US" w:eastAsia="zh-CN"/>
              </w:rPr>
              <w:t>曾用名：冀东水泥凤翔有限责任公司</w:t>
            </w:r>
            <w:r>
              <w:rPr>
                <w:rFonts w:hint="eastAsia" w:eastAsiaTheme="minorEastAsia"/>
                <w:color w:val="auto"/>
                <w:kern w:val="0"/>
                <w:sz w:val="24"/>
                <w:highlight w:val="none"/>
                <w:lang w:eastAsia="zh-CN"/>
              </w:rPr>
              <w:t>）</w:t>
            </w:r>
            <w:r>
              <w:rPr>
                <w:rFonts w:hint="eastAsia" w:eastAsiaTheme="minorEastAsia"/>
                <w:color w:val="auto"/>
                <w:kern w:val="0"/>
                <w:sz w:val="24"/>
                <w:highlight w:val="none"/>
                <w:lang w:val="en-US" w:eastAsia="zh-CN"/>
              </w:rPr>
              <w:t>位于陕西省宝鸡市凤翔区田家庄镇河北村村北，</w:t>
            </w:r>
            <w:r>
              <w:rPr>
                <w:rFonts w:hint="eastAsia" w:eastAsiaTheme="minorEastAsia"/>
                <w:color w:val="auto"/>
                <w:kern w:val="0"/>
                <w:sz w:val="24"/>
                <w:highlight w:val="none"/>
                <w:lang w:eastAsia="zh-CN"/>
              </w:rPr>
              <w:t>是由唐山冀东水泥股份有限公司与陕西省天柱水泥制造有限责任公司在充分发挥双方资金、技术、人才优势，综合利用地方资源及区位优势的基础上，共同出资组建的新型干法水泥生产</w:t>
            </w:r>
            <w:r>
              <w:rPr>
                <w:rFonts w:hint="eastAsia" w:eastAsiaTheme="minorEastAsia"/>
                <w:color w:val="auto"/>
                <w:kern w:val="0"/>
                <w:sz w:val="24"/>
                <w:highlight w:val="none"/>
                <w:lang w:val="en-US" w:eastAsia="zh-CN"/>
              </w:rPr>
              <w:t>企业</w:t>
            </w:r>
            <w:r>
              <w:rPr>
                <w:rFonts w:hint="eastAsia" w:eastAsiaTheme="minorEastAsia"/>
                <w:color w:val="auto"/>
                <w:kern w:val="0"/>
                <w:sz w:val="24"/>
                <w:highlight w:val="none"/>
                <w:lang w:eastAsia="zh-CN"/>
              </w:rPr>
              <w:t>。公司于2009年2月23日注册成立，</w:t>
            </w:r>
            <w:r>
              <w:rPr>
                <w:rFonts w:hint="eastAsia" w:eastAsiaTheme="minorEastAsia"/>
                <w:color w:val="auto"/>
                <w:kern w:val="0"/>
                <w:sz w:val="24"/>
                <w:highlight w:val="none"/>
                <w:lang w:val="en-US" w:eastAsia="zh-CN"/>
              </w:rPr>
              <w:t>注册资本贰亿捌仟万元人民币，</w:t>
            </w:r>
            <w:r>
              <w:rPr>
                <w:rFonts w:hint="eastAsia" w:eastAsiaTheme="minorEastAsia"/>
                <w:color w:val="auto"/>
                <w:kern w:val="0"/>
                <w:sz w:val="24"/>
                <w:highlight w:val="none"/>
                <w:lang w:eastAsia="zh-CN"/>
              </w:rPr>
              <w:t>其中唐山冀东水泥股份有限公司持股90%，陕西省天柱水泥制造有限责任公司持股10%。</w:t>
            </w:r>
          </w:p>
          <w:p w14:paraId="3E9D45A7">
            <w:pPr>
              <w:keepNext w:val="0"/>
              <w:keepLines w:val="0"/>
              <w:pageBreakBefore w:val="0"/>
              <w:widowControl/>
              <w:kinsoku/>
              <w:wordWrap/>
              <w:overflowPunct/>
              <w:topLinePunct w:val="0"/>
              <w:bidi w:val="0"/>
              <w:snapToGrid w:val="0"/>
              <w:spacing w:line="360" w:lineRule="auto"/>
              <w:ind w:firstLine="480" w:firstLineChars="200"/>
              <w:jc w:val="left"/>
              <w:textAlignment w:val="auto"/>
              <w:rPr>
                <w:rFonts w:hint="eastAsia" w:eastAsiaTheme="minorEastAsia"/>
                <w:color w:val="auto"/>
                <w:kern w:val="0"/>
                <w:sz w:val="24"/>
                <w:highlight w:val="none"/>
                <w:lang w:val="en-US" w:eastAsia="zh-CN"/>
              </w:rPr>
            </w:pPr>
            <w:r>
              <w:rPr>
                <w:rFonts w:hint="eastAsia" w:eastAsiaTheme="minorEastAsia"/>
                <w:color w:val="auto"/>
                <w:kern w:val="0"/>
                <w:sz w:val="24"/>
                <w:highlight w:val="none"/>
                <w:lang w:val="en-US" w:eastAsia="zh-CN"/>
              </w:rPr>
              <w:t>2020年11月10日，企业名称由“冀东水泥凤翔有限责任公司”变更为“金隅冀东凤翔环保科技有限公司”。</w:t>
            </w:r>
          </w:p>
          <w:p w14:paraId="0DED4278">
            <w:pPr>
              <w:keepNext w:val="0"/>
              <w:keepLines w:val="0"/>
              <w:pageBreakBefore w:val="0"/>
              <w:widowControl/>
              <w:kinsoku/>
              <w:wordWrap/>
              <w:overflowPunct/>
              <w:topLinePunct w:val="0"/>
              <w:bidi w:val="0"/>
              <w:snapToGrid w:val="0"/>
              <w:spacing w:line="360" w:lineRule="auto"/>
              <w:ind w:firstLine="480" w:firstLineChars="200"/>
              <w:jc w:val="left"/>
              <w:textAlignment w:val="auto"/>
              <w:rPr>
                <w:rFonts w:hint="default" w:eastAsiaTheme="minorEastAsia"/>
                <w:color w:val="auto"/>
                <w:kern w:val="0"/>
                <w:sz w:val="24"/>
                <w:highlight w:val="none"/>
                <w:lang w:val="en-US" w:eastAsia="zh-CN"/>
              </w:rPr>
            </w:pPr>
            <w:r>
              <w:rPr>
                <w:rFonts w:hint="eastAsia" w:eastAsiaTheme="minorEastAsia"/>
                <w:color w:val="auto"/>
                <w:sz w:val="24"/>
                <w:highlight w:val="none"/>
                <w:lang w:val="en-US" w:eastAsia="zh-CN"/>
              </w:rPr>
              <w:t>金隅冀东凤翔环保科技有限公司目前拥有一条日产4500t熟料和年产200万吨水泥生产线，并配套建设9MW纯低温余热发电站及利用水泥窑协同处置100000t/a危废处置系统，2024年4月</w:t>
            </w:r>
            <w:bookmarkStart w:id="9" w:name="_Hlk191382362"/>
            <w:r>
              <w:rPr>
                <w:rFonts w:hint="eastAsia" w:eastAsiaTheme="minorEastAsia"/>
                <w:color w:val="auto"/>
                <w:sz w:val="24"/>
                <w:highlight w:val="none"/>
                <w:lang w:val="en-US" w:eastAsia="zh-CN"/>
              </w:rPr>
              <w:t>建成骨料生产系统</w:t>
            </w:r>
            <w:bookmarkEnd w:id="9"/>
            <w:r>
              <w:rPr>
                <w:rFonts w:hint="eastAsia" w:eastAsiaTheme="minorEastAsia"/>
                <w:color w:val="auto"/>
                <w:sz w:val="24"/>
                <w:highlight w:val="none"/>
                <w:lang w:val="en-US" w:eastAsia="zh-CN"/>
              </w:rPr>
              <w:t>，预计2025年5月份建成机制砂及商混生产系统。</w:t>
            </w:r>
          </w:p>
          <w:p w14:paraId="4B393DBC">
            <w:pPr>
              <w:pStyle w:val="27"/>
              <w:spacing w:line="360" w:lineRule="auto"/>
              <w:ind w:right="86" w:firstLine="482" w:firstLineChars="200"/>
              <w:rPr>
                <w:rFonts w:hint="default" w:ascii="Times New Roman" w:hAnsi="Times New Roman" w:cs="Times New Roman" w:eastAsiaTheme="minorEastAsia"/>
                <w:b/>
                <w:bCs/>
                <w:color w:val="auto"/>
                <w:sz w:val="24"/>
                <w:highlight w:val="none"/>
                <w:lang w:val="en-US" w:eastAsia="zh-CN"/>
              </w:rPr>
            </w:pPr>
            <w:r>
              <w:rPr>
                <w:rFonts w:hint="eastAsia" w:ascii="Times New Roman" w:hAnsi="Times New Roman" w:cs="Times New Roman" w:eastAsiaTheme="minorEastAsia"/>
                <w:b/>
                <w:bCs/>
                <w:color w:val="auto"/>
                <w:sz w:val="24"/>
                <w:highlight w:val="none"/>
                <w:lang w:val="en-US" w:eastAsia="zh-CN"/>
              </w:rPr>
              <w:t>现有项目环保手续履行情况</w:t>
            </w:r>
          </w:p>
          <w:p w14:paraId="3367CAC4">
            <w:pPr>
              <w:pStyle w:val="27"/>
              <w:spacing w:line="360" w:lineRule="auto"/>
              <w:ind w:right="86" w:firstLine="480" w:firstLineChars="200"/>
              <w:rPr>
                <w:rFonts w:ascii="Times New Roman" w:hAnsi="Times New Roman" w:cs="Times New Roman" w:eastAsiaTheme="minorEastAsia"/>
                <w:color w:val="auto"/>
                <w:sz w:val="24"/>
                <w:highlight w:val="none"/>
                <w:lang w:val="en-US"/>
              </w:rPr>
            </w:pPr>
            <w:r>
              <w:rPr>
                <w:rFonts w:hint="eastAsia" w:ascii="Times New Roman" w:hAnsi="Times New Roman" w:cs="Times New Roman" w:eastAsiaTheme="minorEastAsia"/>
                <w:color w:val="auto"/>
                <w:sz w:val="24"/>
                <w:highlight w:val="none"/>
                <w:lang w:val="en-US"/>
              </w:rPr>
              <w:t>金隅冀东凤翔环保科技有限公司现有工程及在建工程环保手续履行情况见表</w:t>
            </w:r>
            <w:r>
              <w:rPr>
                <w:rFonts w:hint="eastAsia" w:ascii="Times New Roman" w:hAnsi="Times New Roman" w:cs="Times New Roman" w:eastAsiaTheme="minorEastAsia"/>
                <w:color w:val="auto"/>
                <w:sz w:val="24"/>
                <w:highlight w:val="none"/>
                <w:lang w:val="en-US" w:eastAsia="zh-CN"/>
              </w:rPr>
              <w:t>2-1</w:t>
            </w:r>
            <w:r>
              <w:rPr>
                <w:rFonts w:hint="eastAsia" w:ascii="Times New Roman" w:hAnsi="Times New Roman" w:cs="Times New Roman" w:eastAsiaTheme="minorEastAsia"/>
                <w:color w:val="auto"/>
                <w:sz w:val="24"/>
                <w:highlight w:val="none"/>
                <w:lang w:val="en-US"/>
              </w:rPr>
              <w:t>。</w:t>
            </w:r>
          </w:p>
          <w:p w14:paraId="0C6BCCDD">
            <w:pPr>
              <w:pStyle w:val="27"/>
              <w:spacing w:line="240" w:lineRule="auto"/>
              <w:ind w:right="86" w:firstLine="422" w:firstLineChars="200"/>
              <w:jc w:val="center"/>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表2-1  现有工程及在建工程环保手续履行情况</w:t>
            </w:r>
          </w:p>
          <w:tbl>
            <w:tblPr>
              <w:tblStyle w:val="20"/>
              <w:tblW w:w="80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8"/>
              <w:gridCol w:w="2289"/>
              <w:gridCol w:w="1323"/>
              <w:gridCol w:w="1324"/>
              <w:gridCol w:w="1324"/>
              <w:gridCol w:w="1324"/>
            </w:tblGrid>
            <w:tr w14:paraId="23FAC3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vMerge w:val="restart"/>
                  <w:tcBorders>
                    <w:tl2br w:val="nil"/>
                    <w:tr2bl w:val="nil"/>
                  </w:tcBorders>
                  <w:vAlign w:val="center"/>
                </w:tcPr>
                <w:p w14:paraId="1CA8DBE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序号</w:t>
                  </w:r>
                </w:p>
              </w:tc>
              <w:tc>
                <w:tcPr>
                  <w:tcW w:w="2289" w:type="dxa"/>
                  <w:vMerge w:val="restart"/>
                  <w:tcBorders>
                    <w:tl2br w:val="nil"/>
                    <w:tr2bl w:val="nil"/>
                  </w:tcBorders>
                  <w:vAlign w:val="center"/>
                </w:tcPr>
                <w:p w14:paraId="2DCC1E1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项目名称</w:t>
                  </w:r>
                </w:p>
              </w:tc>
              <w:tc>
                <w:tcPr>
                  <w:tcW w:w="2647" w:type="dxa"/>
                  <w:gridSpan w:val="2"/>
                  <w:tcBorders>
                    <w:tl2br w:val="nil"/>
                    <w:tr2bl w:val="nil"/>
                  </w:tcBorders>
                  <w:vAlign w:val="center"/>
                </w:tcPr>
                <w:p w14:paraId="131F33A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环境影响评价</w:t>
                  </w:r>
                </w:p>
              </w:tc>
              <w:tc>
                <w:tcPr>
                  <w:tcW w:w="2648" w:type="dxa"/>
                  <w:gridSpan w:val="2"/>
                  <w:tcBorders>
                    <w:tl2br w:val="nil"/>
                    <w:tr2bl w:val="nil"/>
                  </w:tcBorders>
                  <w:vAlign w:val="center"/>
                </w:tcPr>
                <w:p w14:paraId="7FD90D7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竣工环境保护验收</w:t>
                  </w:r>
                </w:p>
              </w:tc>
            </w:tr>
            <w:tr w14:paraId="412EBB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vMerge w:val="continue"/>
                  <w:tcBorders>
                    <w:tl2br w:val="nil"/>
                    <w:tr2bl w:val="nil"/>
                  </w:tcBorders>
                  <w:vAlign w:val="center"/>
                </w:tcPr>
                <w:p w14:paraId="7A808CF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p>
              </w:tc>
              <w:tc>
                <w:tcPr>
                  <w:tcW w:w="2289" w:type="dxa"/>
                  <w:vMerge w:val="continue"/>
                  <w:tcBorders>
                    <w:tl2br w:val="nil"/>
                    <w:tr2bl w:val="nil"/>
                  </w:tcBorders>
                  <w:vAlign w:val="center"/>
                </w:tcPr>
                <w:p w14:paraId="418B756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p>
              </w:tc>
              <w:tc>
                <w:tcPr>
                  <w:tcW w:w="1323" w:type="dxa"/>
                  <w:tcBorders>
                    <w:tl2br w:val="nil"/>
                    <w:tr2bl w:val="nil"/>
                  </w:tcBorders>
                  <w:vAlign w:val="center"/>
                </w:tcPr>
                <w:p w14:paraId="0AD67D7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审批单位</w:t>
                  </w:r>
                </w:p>
              </w:tc>
              <w:tc>
                <w:tcPr>
                  <w:tcW w:w="1324" w:type="dxa"/>
                  <w:tcBorders>
                    <w:tl2br w:val="nil"/>
                    <w:tr2bl w:val="nil"/>
                  </w:tcBorders>
                  <w:vAlign w:val="center"/>
                </w:tcPr>
                <w:p w14:paraId="6798DAE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批准文号</w:t>
                  </w:r>
                </w:p>
              </w:tc>
              <w:tc>
                <w:tcPr>
                  <w:tcW w:w="1324" w:type="dxa"/>
                  <w:tcBorders>
                    <w:tl2br w:val="nil"/>
                    <w:tr2bl w:val="nil"/>
                  </w:tcBorders>
                  <w:vAlign w:val="center"/>
                </w:tcPr>
                <w:p w14:paraId="46CE769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审批单位</w:t>
                  </w:r>
                </w:p>
              </w:tc>
              <w:tc>
                <w:tcPr>
                  <w:tcW w:w="1324" w:type="dxa"/>
                  <w:tcBorders>
                    <w:tl2br w:val="nil"/>
                    <w:tr2bl w:val="nil"/>
                  </w:tcBorders>
                  <w:vAlign w:val="center"/>
                </w:tcPr>
                <w:p w14:paraId="286BB00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批准文号</w:t>
                  </w:r>
                </w:p>
              </w:tc>
            </w:tr>
            <w:tr w14:paraId="174218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2958C80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1</w:t>
                  </w:r>
                </w:p>
              </w:tc>
              <w:tc>
                <w:tcPr>
                  <w:tcW w:w="2289" w:type="dxa"/>
                  <w:tcBorders>
                    <w:tl2br w:val="nil"/>
                    <w:tr2bl w:val="nil"/>
                  </w:tcBorders>
                  <w:vAlign w:val="center"/>
                </w:tcPr>
                <w:p w14:paraId="05DFE09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陕西天柱水泥制造有限责任公司资源综合利用4500t/d水泥熟料生产线工程</w:t>
                  </w:r>
                </w:p>
              </w:tc>
              <w:tc>
                <w:tcPr>
                  <w:tcW w:w="1323" w:type="dxa"/>
                  <w:tcBorders>
                    <w:tl2br w:val="nil"/>
                    <w:tr2bl w:val="nil"/>
                  </w:tcBorders>
                  <w:vAlign w:val="center"/>
                </w:tcPr>
                <w:p w14:paraId="5D8FDDB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原陕西省环境保护厅</w:t>
                  </w:r>
                </w:p>
              </w:tc>
              <w:tc>
                <w:tcPr>
                  <w:tcW w:w="1324" w:type="dxa"/>
                  <w:tcBorders>
                    <w:tl2br w:val="nil"/>
                    <w:tr2bl w:val="nil"/>
                  </w:tcBorders>
                  <w:vAlign w:val="center"/>
                </w:tcPr>
                <w:p w14:paraId="0E884A0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陕环批复</w:t>
                  </w:r>
                </w:p>
                <w:p w14:paraId="3CA25A6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〔2007〕867</w:t>
                  </w:r>
                </w:p>
                <w:p w14:paraId="31DA877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号</w:t>
                  </w:r>
                </w:p>
              </w:tc>
              <w:tc>
                <w:tcPr>
                  <w:tcW w:w="1324" w:type="dxa"/>
                  <w:tcBorders>
                    <w:tl2br w:val="nil"/>
                    <w:tr2bl w:val="nil"/>
                  </w:tcBorders>
                  <w:vAlign w:val="center"/>
                </w:tcPr>
                <w:p w14:paraId="78E2BD9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原陕西省环境保护厅</w:t>
                  </w:r>
                </w:p>
              </w:tc>
              <w:tc>
                <w:tcPr>
                  <w:tcW w:w="1324" w:type="dxa"/>
                  <w:tcBorders>
                    <w:tl2br w:val="nil"/>
                    <w:tr2bl w:val="nil"/>
                  </w:tcBorders>
                  <w:vAlign w:val="center"/>
                </w:tcPr>
                <w:p w14:paraId="0922E8A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陕环批复〔2015〕106号</w:t>
                  </w:r>
                </w:p>
              </w:tc>
            </w:tr>
            <w:tr w14:paraId="189104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7C8270C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2</w:t>
                  </w:r>
                </w:p>
              </w:tc>
              <w:tc>
                <w:tcPr>
                  <w:tcW w:w="2289" w:type="dxa"/>
                  <w:tcBorders>
                    <w:tl2br w:val="nil"/>
                    <w:tr2bl w:val="nil"/>
                  </w:tcBorders>
                  <w:vAlign w:val="center"/>
                </w:tcPr>
                <w:p w14:paraId="713BF3D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冀东水泥凤翔有限责任公司4500t/d新型干法水泥熟料生产线石灰石矿山建设项目（200</w:t>
                  </w:r>
                  <w:r>
                    <w:rPr>
                      <w:rFonts w:hint="default" w:ascii="Arial" w:hAnsi="Arial" w:cs="Arial" w:eastAsiaTheme="minorEastAsia"/>
                      <w:color w:val="auto"/>
                      <w:szCs w:val="21"/>
                      <w:highlight w:val="none"/>
                      <w:lang w:val="en-US" w:eastAsia="zh-CN"/>
                    </w:rPr>
                    <w:t>×</w:t>
                  </w:r>
                  <w:r>
                    <w:rPr>
                      <w:rFonts w:hint="eastAsia" w:eastAsiaTheme="minorEastAsia"/>
                      <w:color w:val="auto"/>
                      <w:szCs w:val="21"/>
                      <w:highlight w:val="none"/>
                      <w:lang w:val="en-US" w:eastAsia="zh-CN"/>
                    </w:rPr>
                    <w:t>10</w:t>
                  </w:r>
                  <w:r>
                    <w:rPr>
                      <w:rFonts w:hint="eastAsia" w:eastAsiaTheme="minorEastAsia"/>
                      <w:color w:val="auto"/>
                      <w:szCs w:val="21"/>
                      <w:highlight w:val="none"/>
                      <w:vertAlign w:val="superscript"/>
                      <w:lang w:val="en-US" w:eastAsia="zh-CN"/>
                    </w:rPr>
                    <w:t>4</w:t>
                  </w:r>
                  <w:r>
                    <w:rPr>
                      <w:rFonts w:hint="eastAsia" w:eastAsiaTheme="minorEastAsia"/>
                      <w:color w:val="auto"/>
                      <w:szCs w:val="21"/>
                      <w:highlight w:val="none"/>
                      <w:lang w:val="en-US" w:eastAsia="zh-CN"/>
                    </w:rPr>
                    <w:t>t/a）</w:t>
                  </w:r>
                </w:p>
              </w:tc>
              <w:tc>
                <w:tcPr>
                  <w:tcW w:w="1323" w:type="dxa"/>
                  <w:tcBorders>
                    <w:tl2br w:val="nil"/>
                    <w:tr2bl w:val="nil"/>
                  </w:tcBorders>
                  <w:vAlign w:val="center"/>
                </w:tcPr>
                <w:p w14:paraId="22919A4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原陕西省环境保护厅</w:t>
                  </w:r>
                </w:p>
              </w:tc>
              <w:tc>
                <w:tcPr>
                  <w:tcW w:w="1324" w:type="dxa"/>
                  <w:tcBorders>
                    <w:tl2br w:val="nil"/>
                    <w:tr2bl w:val="nil"/>
                  </w:tcBorders>
                  <w:vAlign w:val="center"/>
                </w:tcPr>
                <w:p w14:paraId="51B93A6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陕环批复〔2010〕386</w:t>
                  </w:r>
                </w:p>
                <w:p w14:paraId="443B9AF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号</w:t>
                  </w:r>
                </w:p>
              </w:tc>
              <w:tc>
                <w:tcPr>
                  <w:tcW w:w="1324" w:type="dxa"/>
                  <w:tcBorders>
                    <w:tl2br w:val="nil"/>
                    <w:tr2bl w:val="nil"/>
                  </w:tcBorders>
                  <w:vAlign w:val="center"/>
                </w:tcPr>
                <w:p w14:paraId="20AFB8F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原陕西省环境保护厅</w:t>
                  </w:r>
                </w:p>
              </w:tc>
              <w:tc>
                <w:tcPr>
                  <w:tcW w:w="1324" w:type="dxa"/>
                  <w:tcBorders>
                    <w:tl2br w:val="nil"/>
                    <w:tr2bl w:val="nil"/>
                  </w:tcBorders>
                  <w:vAlign w:val="center"/>
                </w:tcPr>
                <w:p w14:paraId="6E78D4A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陕环批复〔2016〕51号</w:t>
                  </w:r>
                </w:p>
              </w:tc>
            </w:tr>
            <w:tr w14:paraId="070E6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0E00EFD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3</w:t>
                  </w:r>
                </w:p>
              </w:tc>
              <w:tc>
                <w:tcPr>
                  <w:tcW w:w="2289" w:type="dxa"/>
                  <w:tcBorders>
                    <w:tl2br w:val="nil"/>
                    <w:tr2bl w:val="nil"/>
                  </w:tcBorders>
                  <w:vAlign w:val="center"/>
                </w:tcPr>
                <w:p w14:paraId="2256193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冀东水泥凤翔有限责任公司水泥熟料生产线SNCR烟气脱硝项目</w:t>
                  </w:r>
                </w:p>
              </w:tc>
              <w:tc>
                <w:tcPr>
                  <w:tcW w:w="1323" w:type="dxa"/>
                  <w:tcBorders>
                    <w:tl2br w:val="nil"/>
                    <w:tr2bl w:val="nil"/>
                  </w:tcBorders>
                  <w:shd w:val="clear" w:color="auto" w:fill="auto"/>
                  <w:vAlign w:val="center"/>
                </w:tcPr>
                <w:p w14:paraId="714A2AC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w:t>
                  </w:r>
                </w:p>
              </w:tc>
              <w:tc>
                <w:tcPr>
                  <w:tcW w:w="1324" w:type="dxa"/>
                  <w:tcBorders>
                    <w:tl2br w:val="nil"/>
                    <w:tr2bl w:val="nil"/>
                  </w:tcBorders>
                  <w:shd w:val="clear" w:color="auto" w:fill="auto"/>
                  <w:vAlign w:val="center"/>
                </w:tcPr>
                <w:p w14:paraId="5ED2AFC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w:t>
                  </w:r>
                </w:p>
              </w:tc>
              <w:tc>
                <w:tcPr>
                  <w:tcW w:w="1324" w:type="dxa"/>
                  <w:tcBorders>
                    <w:tl2br w:val="nil"/>
                    <w:tr2bl w:val="nil"/>
                  </w:tcBorders>
                  <w:vAlign w:val="center"/>
                </w:tcPr>
                <w:p w14:paraId="62C72D4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宝鸡市环保局</w:t>
                  </w:r>
                </w:p>
              </w:tc>
              <w:tc>
                <w:tcPr>
                  <w:tcW w:w="1324" w:type="dxa"/>
                  <w:tcBorders>
                    <w:tl2br w:val="nil"/>
                    <w:tr2bl w:val="nil"/>
                  </w:tcBorders>
                  <w:vAlign w:val="center"/>
                </w:tcPr>
                <w:p w14:paraId="08C693B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宝市环函</w:t>
                  </w:r>
                </w:p>
                <w:p w14:paraId="222445A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〔2013〕273</w:t>
                  </w:r>
                </w:p>
                <w:p w14:paraId="14F1E45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号</w:t>
                  </w:r>
                </w:p>
              </w:tc>
            </w:tr>
            <w:tr w14:paraId="19A4BF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4D6DCEC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4</w:t>
                  </w:r>
                </w:p>
              </w:tc>
              <w:tc>
                <w:tcPr>
                  <w:tcW w:w="2289" w:type="dxa"/>
                  <w:tcBorders>
                    <w:tl2br w:val="nil"/>
                    <w:tr2bl w:val="nil"/>
                  </w:tcBorders>
                  <w:vAlign w:val="center"/>
                </w:tcPr>
                <w:p w14:paraId="50207CF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冀东水泥凤翔有限责任公司利用水泥窑协同处置100000t/a危险废物项目</w:t>
                  </w:r>
                </w:p>
              </w:tc>
              <w:tc>
                <w:tcPr>
                  <w:tcW w:w="1323" w:type="dxa"/>
                  <w:tcBorders>
                    <w:tl2br w:val="nil"/>
                    <w:tr2bl w:val="nil"/>
                  </w:tcBorders>
                  <w:vAlign w:val="center"/>
                </w:tcPr>
                <w:p w14:paraId="4523557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陕西省生态环境厅</w:t>
                  </w:r>
                </w:p>
              </w:tc>
              <w:tc>
                <w:tcPr>
                  <w:tcW w:w="1324" w:type="dxa"/>
                  <w:tcBorders>
                    <w:tl2br w:val="nil"/>
                    <w:tr2bl w:val="nil"/>
                  </w:tcBorders>
                  <w:vAlign w:val="center"/>
                </w:tcPr>
                <w:p w14:paraId="390BF99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陕环评批复〔2019〕44</w:t>
                  </w:r>
                </w:p>
                <w:p w14:paraId="1D1513A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号</w:t>
                  </w:r>
                </w:p>
              </w:tc>
              <w:tc>
                <w:tcPr>
                  <w:tcW w:w="2648" w:type="dxa"/>
                  <w:gridSpan w:val="2"/>
                  <w:tcBorders>
                    <w:tl2br w:val="nil"/>
                    <w:tr2bl w:val="nil"/>
                  </w:tcBorders>
                  <w:vAlign w:val="center"/>
                </w:tcPr>
                <w:p w14:paraId="0521126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2021年11月25日</w:t>
                  </w:r>
                  <w:r>
                    <w:rPr>
                      <w:rFonts w:hint="eastAsia"/>
                      <w:lang w:eastAsia="zh-CN"/>
                    </w:rPr>
                    <w:t>，</w:t>
                  </w:r>
                  <w:r>
                    <w:rPr>
                      <w:rFonts w:hint="eastAsia" w:eastAsiaTheme="minorEastAsia"/>
                      <w:color w:val="auto"/>
                      <w:szCs w:val="21"/>
                      <w:highlight w:val="none"/>
                      <w:lang w:val="en-US" w:eastAsia="zh-CN"/>
                    </w:rPr>
                    <w:t>企业</w:t>
                  </w:r>
                </w:p>
                <w:p w14:paraId="229FDBD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组织并邀请专家进行了</w:t>
                  </w:r>
                </w:p>
                <w:p w14:paraId="4EFE143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自主验收</w:t>
                  </w:r>
                </w:p>
              </w:tc>
            </w:tr>
            <w:tr w14:paraId="35660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3B95410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5</w:t>
                  </w:r>
                </w:p>
              </w:tc>
              <w:tc>
                <w:tcPr>
                  <w:tcW w:w="2289" w:type="dxa"/>
                  <w:tcBorders>
                    <w:tl2br w:val="nil"/>
                    <w:tr2bl w:val="nil"/>
                  </w:tcBorders>
                  <w:vAlign w:val="center"/>
                </w:tcPr>
                <w:p w14:paraId="1F90D56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辅料堆棚扩建项目</w:t>
                  </w:r>
                </w:p>
              </w:tc>
              <w:tc>
                <w:tcPr>
                  <w:tcW w:w="5295" w:type="dxa"/>
                  <w:gridSpan w:val="4"/>
                  <w:tcBorders>
                    <w:tl2br w:val="nil"/>
                    <w:tr2bl w:val="nil"/>
                  </w:tcBorders>
                  <w:vAlign w:val="center"/>
                </w:tcPr>
                <w:p w14:paraId="1D12A1E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环境影响登记表（备案号为201861032200000020）</w:t>
                  </w:r>
                </w:p>
              </w:tc>
            </w:tr>
            <w:tr w14:paraId="6B2F7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62667E9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6</w:t>
                  </w:r>
                </w:p>
              </w:tc>
              <w:tc>
                <w:tcPr>
                  <w:tcW w:w="2289" w:type="dxa"/>
                  <w:tcBorders>
                    <w:tl2br w:val="nil"/>
                    <w:tr2bl w:val="nil"/>
                  </w:tcBorders>
                  <w:vAlign w:val="center"/>
                </w:tcPr>
                <w:p w14:paraId="68E6DC4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金隅冀东凤翔环保科技有限公司资源综合利用项目</w:t>
                  </w:r>
                </w:p>
              </w:tc>
              <w:tc>
                <w:tcPr>
                  <w:tcW w:w="1323" w:type="dxa"/>
                  <w:tcBorders>
                    <w:tl2br w:val="nil"/>
                    <w:tr2bl w:val="nil"/>
                  </w:tcBorders>
                  <w:vAlign w:val="center"/>
                </w:tcPr>
                <w:p w14:paraId="0AE6979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陕西省生态环境厅</w:t>
                  </w:r>
                </w:p>
              </w:tc>
              <w:tc>
                <w:tcPr>
                  <w:tcW w:w="1324" w:type="dxa"/>
                  <w:tcBorders>
                    <w:tl2br w:val="nil"/>
                    <w:tr2bl w:val="nil"/>
                  </w:tcBorders>
                  <w:vAlign w:val="center"/>
                </w:tcPr>
                <w:p w14:paraId="6C4ABBF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陕环评批复〔2023〕6号</w:t>
                  </w:r>
                </w:p>
              </w:tc>
              <w:tc>
                <w:tcPr>
                  <w:tcW w:w="2648" w:type="dxa"/>
                  <w:gridSpan w:val="2"/>
                  <w:tcBorders>
                    <w:tl2br w:val="nil"/>
                    <w:tr2bl w:val="nil"/>
                  </w:tcBorders>
                  <w:vAlign w:val="center"/>
                </w:tcPr>
                <w:p w14:paraId="2092B52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环评已批复</w:t>
                  </w:r>
                </w:p>
              </w:tc>
            </w:tr>
            <w:tr w14:paraId="06C3F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651B1C8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7</w:t>
                  </w:r>
                </w:p>
              </w:tc>
              <w:tc>
                <w:tcPr>
                  <w:tcW w:w="2289" w:type="dxa"/>
                  <w:tcBorders>
                    <w:tl2br w:val="nil"/>
                    <w:tr2bl w:val="nil"/>
                  </w:tcBorders>
                  <w:vAlign w:val="center"/>
                </w:tcPr>
                <w:p w14:paraId="7323541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年产50万吨骨料项目</w:t>
                  </w:r>
                </w:p>
              </w:tc>
              <w:tc>
                <w:tcPr>
                  <w:tcW w:w="1323" w:type="dxa"/>
                  <w:tcBorders>
                    <w:tl2br w:val="nil"/>
                    <w:tr2bl w:val="nil"/>
                  </w:tcBorders>
                  <w:vAlign w:val="center"/>
                </w:tcPr>
                <w:p w14:paraId="0803221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宝鸡市生态环境局凤翔分局</w:t>
                  </w:r>
                </w:p>
              </w:tc>
              <w:tc>
                <w:tcPr>
                  <w:tcW w:w="1324" w:type="dxa"/>
                  <w:tcBorders>
                    <w:tl2br w:val="nil"/>
                    <w:tr2bl w:val="nil"/>
                  </w:tcBorders>
                  <w:vAlign w:val="center"/>
                </w:tcPr>
                <w:p w14:paraId="2713A68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宝环凤函〔2024〕2</w:t>
                  </w:r>
                </w:p>
                <w:p w14:paraId="1ABD7C0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号</w:t>
                  </w:r>
                </w:p>
              </w:tc>
              <w:tc>
                <w:tcPr>
                  <w:tcW w:w="2648" w:type="dxa"/>
                  <w:gridSpan w:val="2"/>
                  <w:tcBorders>
                    <w:tl2br w:val="nil"/>
                    <w:tr2bl w:val="nil"/>
                  </w:tcBorders>
                  <w:vAlign w:val="center"/>
                </w:tcPr>
                <w:p w14:paraId="357E5D2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环评已批复</w:t>
                  </w:r>
                </w:p>
              </w:tc>
            </w:tr>
            <w:tr w14:paraId="1D4EA1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01C0B4F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8</w:t>
                  </w:r>
                </w:p>
              </w:tc>
              <w:tc>
                <w:tcPr>
                  <w:tcW w:w="2289" w:type="dxa"/>
                  <w:tcBorders>
                    <w:tl2br w:val="nil"/>
                    <w:tr2bl w:val="nil"/>
                  </w:tcBorders>
                  <w:vAlign w:val="center"/>
                </w:tcPr>
                <w:p w14:paraId="4AE6C6B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金隅冀东凤翔环保科技有限公司水泥窑协同处置固体废物项目</w:t>
                  </w:r>
                </w:p>
              </w:tc>
              <w:tc>
                <w:tcPr>
                  <w:tcW w:w="1323" w:type="dxa"/>
                  <w:tcBorders>
                    <w:tl2br w:val="nil"/>
                    <w:tr2bl w:val="nil"/>
                  </w:tcBorders>
                  <w:vAlign w:val="center"/>
                </w:tcPr>
                <w:p w14:paraId="1950C87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宝鸡市生态环境局凤翔分局</w:t>
                  </w:r>
                </w:p>
              </w:tc>
              <w:tc>
                <w:tcPr>
                  <w:tcW w:w="1324" w:type="dxa"/>
                  <w:tcBorders>
                    <w:tl2br w:val="nil"/>
                    <w:tr2bl w:val="nil"/>
                  </w:tcBorders>
                  <w:vAlign w:val="center"/>
                </w:tcPr>
                <w:p w14:paraId="7C1199A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宝环凤函〔2024〕52</w:t>
                  </w:r>
                </w:p>
                <w:p w14:paraId="1DE6DEB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号</w:t>
                  </w:r>
                </w:p>
              </w:tc>
              <w:tc>
                <w:tcPr>
                  <w:tcW w:w="2648" w:type="dxa"/>
                  <w:gridSpan w:val="2"/>
                  <w:tcBorders>
                    <w:tl2br w:val="nil"/>
                    <w:tr2bl w:val="nil"/>
                  </w:tcBorders>
                  <w:vAlign w:val="center"/>
                </w:tcPr>
                <w:p w14:paraId="171F242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环评已批复</w:t>
                  </w:r>
                </w:p>
              </w:tc>
            </w:tr>
            <w:tr w14:paraId="4589A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02E7F6D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10</w:t>
                  </w:r>
                </w:p>
              </w:tc>
              <w:tc>
                <w:tcPr>
                  <w:tcW w:w="2289" w:type="dxa"/>
                  <w:tcBorders>
                    <w:tl2br w:val="nil"/>
                    <w:tr2bl w:val="nil"/>
                  </w:tcBorders>
                  <w:vAlign w:val="center"/>
                </w:tcPr>
                <w:p w14:paraId="624211C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绿色环保新型建材园项目</w:t>
                  </w:r>
                </w:p>
              </w:tc>
              <w:tc>
                <w:tcPr>
                  <w:tcW w:w="1323" w:type="dxa"/>
                  <w:tcBorders>
                    <w:tl2br w:val="nil"/>
                    <w:tr2bl w:val="nil"/>
                  </w:tcBorders>
                  <w:vAlign w:val="center"/>
                </w:tcPr>
                <w:p w14:paraId="64DC37B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宝鸡市生态环境局凤翔分局</w:t>
                  </w:r>
                </w:p>
              </w:tc>
              <w:tc>
                <w:tcPr>
                  <w:tcW w:w="1324" w:type="dxa"/>
                  <w:tcBorders>
                    <w:tl2br w:val="nil"/>
                    <w:tr2bl w:val="nil"/>
                  </w:tcBorders>
                  <w:vAlign w:val="center"/>
                </w:tcPr>
                <w:p w14:paraId="2914ECB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宝环凤函〔2024〕86</w:t>
                  </w:r>
                </w:p>
                <w:p w14:paraId="66EECDE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号</w:t>
                  </w:r>
                </w:p>
              </w:tc>
              <w:tc>
                <w:tcPr>
                  <w:tcW w:w="2648" w:type="dxa"/>
                  <w:gridSpan w:val="2"/>
                  <w:tcBorders>
                    <w:tl2br w:val="nil"/>
                    <w:tr2bl w:val="nil"/>
                  </w:tcBorders>
                  <w:vAlign w:val="center"/>
                </w:tcPr>
                <w:p w14:paraId="38036E3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环评已批复</w:t>
                  </w:r>
                </w:p>
              </w:tc>
            </w:tr>
            <w:tr w14:paraId="6A966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5970890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9</w:t>
                  </w:r>
                </w:p>
              </w:tc>
              <w:tc>
                <w:tcPr>
                  <w:tcW w:w="2289" w:type="dxa"/>
                  <w:tcBorders>
                    <w:tl2br w:val="nil"/>
                    <w:tr2bl w:val="nil"/>
                  </w:tcBorders>
                  <w:vAlign w:val="center"/>
                </w:tcPr>
                <w:p w14:paraId="62AC862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排污许可证</w:t>
                  </w:r>
                </w:p>
              </w:tc>
              <w:tc>
                <w:tcPr>
                  <w:tcW w:w="5295" w:type="dxa"/>
                  <w:gridSpan w:val="4"/>
                  <w:tcBorders>
                    <w:tl2br w:val="nil"/>
                    <w:tr2bl w:val="nil"/>
                  </w:tcBorders>
                  <w:vAlign w:val="center"/>
                </w:tcPr>
                <w:p w14:paraId="50983EC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证书编号：91610322684763120N001P</w:t>
                  </w:r>
                </w:p>
              </w:tc>
            </w:tr>
            <w:tr w14:paraId="10C78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5A47253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10</w:t>
                  </w:r>
                </w:p>
              </w:tc>
              <w:tc>
                <w:tcPr>
                  <w:tcW w:w="2289" w:type="dxa"/>
                  <w:tcBorders>
                    <w:tl2br w:val="nil"/>
                    <w:tr2bl w:val="nil"/>
                  </w:tcBorders>
                  <w:vAlign w:val="center"/>
                </w:tcPr>
                <w:p w14:paraId="1754082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金隅冀东凤翔环保科技有限公司制定了突发环境事件应急预案</w:t>
                  </w:r>
                </w:p>
              </w:tc>
              <w:tc>
                <w:tcPr>
                  <w:tcW w:w="5295" w:type="dxa"/>
                  <w:gridSpan w:val="4"/>
                  <w:tcBorders>
                    <w:tl2br w:val="nil"/>
                    <w:tr2bl w:val="nil"/>
                  </w:tcBorders>
                  <w:vAlign w:val="center"/>
                </w:tcPr>
                <w:p w14:paraId="5BEC8D0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备案编号：610305-2024-22M</w:t>
                  </w:r>
                </w:p>
              </w:tc>
            </w:tr>
          </w:tbl>
          <w:p w14:paraId="6E8E475E">
            <w:pPr>
              <w:pStyle w:val="15"/>
              <w:keepNext w:val="0"/>
              <w:keepLines w:val="0"/>
              <w:pageBreakBefore w:val="0"/>
              <w:kinsoku/>
              <w:wordWrap/>
              <w:overflowPunct/>
              <w:topLinePunct w:val="0"/>
              <w:bidi w:val="0"/>
              <w:adjustRightInd w:val="0"/>
              <w:snapToGrid w:val="0"/>
              <w:spacing w:line="360" w:lineRule="auto"/>
              <w:ind w:left="0" w:leftChars="0" w:firstLine="480" w:firstLineChars="200"/>
              <w:textAlignment w:val="auto"/>
              <w:rPr>
                <w:rFonts w:hint="eastAsia" w:eastAsiaTheme="minorEastAsia"/>
                <w:color w:val="auto"/>
                <w:sz w:val="24"/>
                <w:highlight w:val="none"/>
                <w:lang w:val="en-US" w:eastAsia="zh-CN"/>
              </w:rPr>
            </w:pPr>
            <w:r>
              <w:rPr>
                <w:rFonts w:hint="eastAsia" w:eastAsiaTheme="minorEastAsia"/>
                <w:color w:val="auto"/>
                <w:sz w:val="24"/>
                <w:highlight w:val="none"/>
                <w:lang w:val="en-US" w:eastAsia="zh-CN"/>
              </w:rPr>
              <w:t>随着建筑行业市场形势的发展，未来建筑工地及家装市场将逐步使用砂浆进行施工装修，袋装水泥销售空间将会被进一步压缩。为实现企业可持续发展，公司计划延伸产业链，建设干混砂浆生产线。在稳固宝鸡地区水泥市场份额的基础上，进一步整合宝鸡砂浆市场，为凤翔公司带来新的利润增长点。</w:t>
            </w:r>
          </w:p>
          <w:p w14:paraId="2CE0A543">
            <w:pPr>
              <w:pStyle w:val="15"/>
              <w:keepNext w:val="0"/>
              <w:keepLines w:val="0"/>
              <w:pageBreakBefore w:val="0"/>
              <w:kinsoku/>
              <w:wordWrap/>
              <w:overflowPunct/>
              <w:topLinePunct w:val="0"/>
              <w:bidi w:val="0"/>
              <w:adjustRightInd w:val="0"/>
              <w:snapToGrid w:val="0"/>
              <w:spacing w:line="360" w:lineRule="auto"/>
              <w:ind w:left="0" w:leftChars="0" w:firstLine="480" w:firstLineChars="200"/>
              <w:textAlignment w:val="auto"/>
              <w:rPr>
                <w:rFonts w:hint="default" w:eastAsiaTheme="minorEastAsia"/>
                <w:color w:val="auto"/>
                <w:sz w:val="24"/>
                <w:highlight w:val="none"/>
                <w:lang w:val="en-US" w:eastAsia="zh-CN"/>
              </w:rPr>
            </w:pPr>
            <w:r>
              <w:rPr>
                <w:rFonts w:hint="eastAsia" w:eastAsiaTheme="minorEastAsia"/>
                <w:color w:val="auto"/>
                <w:sz w:val="24"/>
                <w:highlight w:val="none"/>
                <w:lang w:val="en-US" w:eastAsia="zh-CN"/>
              </w:rPr>
              <w:t>金隅冀东凤翔环保科技有限公司充分依托矿山资源和2025年建设的机制砂生产线，丰富凤翔公司产品结构，培育企业建设成为“水泥+砂石骨料+商混+干混砂浆”供应链企业，充分发挥成本优势，提升企业核心竞争力，助力企业持续降本创效，应对袋装水泥市场的下滑，进一步提升企业盈利能力。投资1240.13万元，建设一条干混砂浆生产线。项目建设后，能提供优质绿色产品，积极发展循环经济，更能增强企业竞争力，符合企业自身发展的需求。2025年6月，该项目已在宝鸡市凤翔区行政审批服务局进行了项目备案，备案文件详见附件1。</w:t>
            </w:r>
          </w:p>
          <w:p w14:paraId="50F3FC11">
            <w:pPr>
              <w:keepNext w:val="0"/>
              <w:keepLines w:val="0"/>
              <w:pageBreakBefore w:val="0"/>
              <w:kinsoku/>
              <w:wordWrap/>
              <w:overflowPunct/>
              <w:topLinePunct w:val="0"/>
              <w:autoSpaceDE w:val="0"/>
              <w:autoSpaceDN w:val="0"/>
              <w:bidi w:val="0"/>
              <w:snapToGrid w:val="0"/>
              <w:spacing w:line="360" w:lineRule="auto"/>
              <w:ind w:firstLine="480" w:firstLineChars="200"/>
              <w:textAlignment w:val="auto"/>
              <w:rPr>
                <w:rFonts w:hint="eastAsia" w:eastAsiaTheme="minorEastAsia"/>
                <w:color w:val="auto"/>
                <w:kern w:val="0"/>
                <w:sz w:val="24"/>
                <w:highlight w:val="none"/>
                <w:lang w:eastAsia="zh-CN"/>
              </w:rPr>
            </w:pPr>
            <w:r>
              <w:rPr>
                <w:rFonts w:eastAsiaTheme="minorEastAsia"/>
                <w:color w:val="auto"/>
                <w:sz w:val="24"/>
                <w:highlight w:val="none"/>
              </w:rPr>
              <w:t>根据《中华人民共和国环境影响评价法</w:t>
            </w:r>
            <w:r>
              <w:rPr>
                <w:rFonts w:hint="eastAsia" w:eastAsiaTheme="minorEastAsia"/>
                <w:color w:val="auto"/>
                <w:sz w:val="24"/>
                <w:highlight w:val="none"/>
                <w:lang w:eastAsia="zh-CN"/>
              </w:rPr>
              <w:t>》《</w:t>
            </w:r>
            <w:r>
              <w:rPr>
                <w:rFonts w:eastAsiaTheme="minorEastAsia"/>
                <w:color w:val="auto"/>
                <w:sz w:val="24"/>
                <w:highlight w:val="none"/>
              </w:rPr>
              <w:t>建设项目环境保护管理条例》及《建设项目环境影响评价分类管理名录》（2021年版）等规定，本项目应进行环境影响评价工作。根据《建设项目环境影响评价分类管理名录》（2021年版）规定，项目属于</w:t>
            </w:r>
            <w:r>
              <w:rPr>
                <w:rFonts w:hint="eastAsia" w:eastAsiaTheme="minorEastAsia"/>
                <w:color w:val="auto"/>
                <w:sz w:val="24"/>
                <w:highlight w:val="none"/>
              </w:rPr>
              <w:t>“</w:t>
            </w:r>
            <w:r>
              <w:rPr>
                <w:rFonts w:hint="eastAsia" w:eastAsiaTheme="minorEastAsia"/>
                <w:color w:val="auto"/>
                <w:sz w:val="24"/>
                <w:highlight w:val="none"/>
                <w:lang w:val="en-US" w:eastAsia="zh-CN"/>
              </w:rPr>
              <w:t>二十七、非金属矿物制品业30-56、砖瓦、石材等建筑材料制造303-粘土砖瓦及建筑砌块制造；建筑用石加工；防水建筑材料制造；隔热、隔音材料制造；其他建筑材料制造（含干粉砂浆搅拌站）以上均不含利用石材板材切割、打磨、成型的</w:t>
            </w:r>
            <w:r>
              <w:rPr>
                <w:rFonts w:hint="eastAsia" w:eastAsiaTheme="minorEastAsia"/>
                <w:color w:val="auto"/>
                <w:kern w:val="0"/>
                <w:sz w:val="24"/>
                <w:highlight w:val="none"/>
              </w:rPr>
              <w:t>”类别，应编制环境影响评价报告表</w:t>
            </w:r>
            <w:r>
              <w:rPr>
                <w:rFonts w:hint="eastAsia" w:eastAsiaTheme="minorEastAsia"/>
                <w:color w:val="auto"/>
                <w:kern w:val="0"/>
                <w:sz w:val="24"/>
                <w:highlight w:val="none"/>
                <w:lang w:eastAsia="zh-CN"/>
              </w:rPr>
              <w:t>。</w:t>
            </w:r>
          </w:p>
          <w:p w14:paraId="487EADB3">
            <w:pPr>
              <w:keepNext w:val="0"/>
              <w:keepLines w:val="0"/>
              <w:pageBreakBefore w:val="0"/>
              <w:kinsoku/>
              <w:wordWrap/>
              <w:overflowPunct/>
              <w:topLinePunct w:val="0"/>
              <w:autoSpaceDE w:val="0"/>
              <w:autoSpaceDN w:val="0"/>
              <w:bidi w:val="0"/>
              <w:snapToGrid w:val="0"/>
              <w:spacing w:line="360" w:lineRule="auto"/>
              <w:ind w:firstLine="480" w:firstLineChars="200"/>
              <w:textAlignment w:val="auto"/>
              <w:rPr>
                <w:rFonts w:eastAsiaTheme="minorEastAsia"/>
                <w:b/>
                <w:bCs/>
                <w:color w:val="auto"/>
                <w:sz w:val="24"/>
                <w:highlight w:val="none"/>
              </w:rPr>
            </w:pPr>
            <w:r>
              <w:rPr>
                <w:rFonts w:hint="eastAsia" w:eastAsiaTheme="minorEastAsia"/>
                <w:color w:val="auto"/>
                <w:sz w:val="24"/>
                <w:highlight w:val="none"/>
                <w:lang w:val="en-US" w:eastAsia="zh-CN"/>
              </w:rPr>
              <w:t>2025年1月</w:t>
            </w:r>
            <w:r>
              <w:rPr>
                <w:rFonts w:eastAsiaTheme="minorEastAsia"/>
                <w:color w:val="auto"/>
                <w:sz w:val="24"/>
                <w:highlight w:val="none"/>
              </w:rPr>
              <w:t>，受</w:t>
            </w:r>
            <w:r>
              <w:rPr>
                <w:rFonts w:hint="eastAsia" w:eastAsiaTheme="minorEastAsia"/>
                <w:color w:val="auto"/>
                <w:kern w:val="0"/>
                <w:sz w:val="24"/>
                <w:highlight w:val="none"/>
                <w:lang w:eastAsia="zh-CN"/>
              </w:rPr>
              <w:t>金隅冀东凤翔环保科技有限公司</w:t>
            </w:r>
            <w:r>
              <w:rPr>
                <w:rFonts w:eastAsiaTheme="minorEastAsia"/>
                <w:color w:val="auto"/>
                <w:sz w:val="24"/>
                <w:highlight w:val="none"/>
              </w:rPr>
              <w:t>委托</w:t>
            </w:r>
            <w:r>
              <w:rPr>
                <w:rFonts w:hint="eastAsia" w:eastAsiaTheme="minorEastAsia"/>
                <w:color w:val="auto"/>
                <w:sz w:val="24"/>
                <w:highlight w:val="none"/>
                <w:lang w:eastAsia="zh-CN"/>
              </w:rPr>
              <w:t>（</w:t>
            </w:r>
            <w:r>
              <w:rPr>
                <w:rFonts w:hint="eastAsia" w:eastAsiaTheme="minorEastAsia"/>
                <w:color w:val="auto"/>
                <w:sz w:val="24"/>
                <w:highlight w:val="none"/>
                <w:lang w:val="en-US" w:eastAsia="zh-CN"/>
              </w:rPr>
              <w:t>委托书见附件一</w:t>
            </w:r>
            <w:r>
              <w:rPr>
                <w:rFonts w:hint="eastAsia" w:eastAsiaTheme="minorEastAsia"/>
                <w:color w:val="auto"/>
                <w:sz w:val="24"/>
                <w:highlight w:val="none"/>
                <w:lang w:eastAsia="zh-CN"/>
              </w:rPr>
              <w:t>）</w:t>
            </w:r>
            <w:r>
              <w:rPr>
                <w:rFonts w:eastAsiaTheme="minorEastAsia"/>
                <w:color w:val="auto"/>
                <w:sz w:val="24"/>
                <w:highlight w:val="none"/>
              </w:rPr>
              <w:t>，我公司组织工程技术人员进行了现场调查，研读了有关政策与技术文件，在收集现有资料的基础上，通过综合整理和认真分析研究，编制完成了该项目环境影响报告表。为项目环保设计、业主环保设施运行管理、当地生态环境行政管理部门进行环境管理提供科学依据。</w:t>
            </w:r>
          </w:p>
          <w:p w14:paraId="75C6BD8C">
            <w:pPr>
              <w:keepNext w:val="0"/>
              <w:keepLines w:val="0"/>
              <w:pageBreakBefore w:val="0"/>
              <w:kinsoku/>
              <w:wordWrap/>
              <w:overflowPunct/>
              <w:topLinePunct w:val="0"/>
              <w:bidi w:val="0"/>
              <w:adjustRightInd w:val="0"/>
              <w:snapToGrid w:val="0"/>
              <w:spacing w:line="360" w:lineRule="auto"/>
              <w:textAlignment w:val="auto"/>
              <w:rPr>
                <w:rFonts w:eastAsiaTheme="minorEastAsia"/>
                <w:b/>
                <w:bCs/>
                <w:color w:val="auto"/>
                <w:sz w:val="24"/>
                <w:highlight w:val="none"/>
              </w:rPr>
            </w:pPr>
            <w:r>
              <w:rPr>
                <w:rFonts w:eastAsiaTheme="minorEastAsia"/>
                <w:b/>
                <w:bCs/>
                <w:color w:val="auto"/>
                <w:sz w:val="24"/>
                <w:highlight w:val="none"/>
              </w:rPr>
              <w:t>2.2 项目基本情况</w:t>
            </w:r>
          </w:p>
          <w:p w14:paraId="2F0C7C88">
            <w:pPr>
              <w:keepNext w:val="0"/>
              <w:keepLines w:val="0"/>
              <w:pageBreakBefore w:val="0"/>
              <w:kinsoku/>
              <w:wordWrap/>
              <w:overflowPunct/>
              <w:topLinePunct w:val="0"/>
              <w:bidi w:val="0"/>
              <w:adjustRightInd w:val="0"/>
              <w:snapToGrid w:val="0"/>
              <w:spacing w:line="360" w:lineRule="auto"/>
              <w:ind w:firstLine="240" w:firstLineChars="100"/>
              <w:textAlignment w:val="auto"/>
              <w:rPr>
                <w:rFonts w:hint="eastAsia" w:eastAsiaTheme="minorEastAsia"/>
                <w:color w:val="auto"/>
                <w:sz w:val="24"/>
                <w:highlight w:val="none"/>
                <w:lang w:eastAsia="zh-CN"/>
              </w:rPr>
            </w:pPr>
            <w:r>
              <w:rPr>
                <w:rFonts w:eastAsiaTheme="minorEastAsia"/>
                <w:color w:val="auto"/>
                <w:sz w:val="24"/>
                <w:highlight w:val="none"/>
              </w:rPr>
              <w:t>（1）项目名称：</w:t>
            </w:r>
            <w:r>
              <w:rPr>
                <w:rFonts w:hint="eastAsia" w:eastAsiaTheme="minorEastAsia"/>
                <w:color w:val="auto"/>
                <w:sz w:val="24"/>
                <w:highlight w:val="none"/>
                <w:lang w:val="zh-CN"/>
              </w:rPr>
              <w:t>干混砂浆项目</w:t>
            </w:r>
          </w:p>
          <w:p w14:paraId="4895513D">
            <w:pPr>
              <w:keepNext w:val="0"/>
              <w:keepLines w:val="0"/>
              <w:pageBreakBefore w:val="0"/>
              <w:kinsoku/>
              <w:wordWrap/>
              <w:overflowPunct/>
              <w:topLinePunct w:val="0"/>
              <w:bidi w:val="0"/>
              <w:adjustRightInd w:val="0"/>
              <w:snapToGrid w:val="0"/>
              <w:spacing w:line="360" w:lineRule="auto"/>
              <w:ind w:firstLine="240" w:firstLineChars="100"/>
              <w:textAlignment w:val="auto"/>
              <w:rPr>
                <w:rFonts w:hint="eastAsia" w:eastAsiaTheme="minorEastAsia"/>
                <w:color w:val="auto"/>
                <w:kern w:val="0"/>
                <w:sz w:val="24"/>
                <w:highlight w:val="none"/>
                <w:lang w:eastAsia="zh-CN"/>
              </w:rPr>
            </w:pPr>
            <w:r>
              <w:rPr>
                <w:rFonts w:eastAsiaTheme="minorEastAsia"/>
                <w:color w:val="auto"/>
                <w:sz w:val="24"/>
                <w:highlight w:val="none"/>
              </w:rPr>
              <w:t>（2）建设单位：</w:t>
            </w:r>
            <w:r>
              <w:rPr>
                <w:rFonts w:hint="eastAsia" w:eastAsiaTheme="minorEastAsia"/>
                <w:color w:val="auto"/>
                <w:kern w:val="0"/>
                <w:sz w:val="24"/>
                <w:highlight w:val="none"/>
                <w:lang w:eastAsia="zh-CN"/>
              </w:rPr>
              <w:t>金隅冀东凤翔环保科技有限公司</w:t>
            </w:r>
          </w:p>
          <w:p w14:paraId="5C45EB03">
            <w:pPr>
              <w:keepNext w:val="0"/>
              <w:keepLines w:val="0"/>
              <w:pageBreakBefore w:val="0"/>
              <w:kinsoku/>
              <w:wordWrap/>
              <w:overflowPunct/>
              <w:topLinePunct w:val="0"/>
              <w:bidi w:val="0"/>
              <w:adjustRightInd w:val="0"/>
              <w:snapToGrid w:val="0"/>
              <w:spacing w:line="360" w:lineRule="auto"/>
              <w:ind w:firstLine="240" w:firstLineChars="100"/>
              <w:textAlignment w:val="auto"/>
              <w:rPr>
                <w:rFonts w:hint="eastAsia" w:eastAsiaTheme="minorEastAsia"/>
                <w:b w:val="0"/>
                <w:bCs w:val="0"/>
                <w:color w:val="auto"/>
                <w:sz w:val="24"/>
                <w:highlight w:val="none"/>
                <w:lang w:val="en-US" w:eastAsia="zh-CN"/>
              </w:rPr>
            </w:pPr>
            <w:r>
              <w:rPr>
                <w:rFonts w:eastAsiaTheme="minorEastAsia"/>
                <w:color w:val="auto"/>
                <w:sz w:val="24"/>
                <w:highlight w:val="none"/>
              </w:rPr>
              <w:t>（3）建设性质：</w:t>
            </w:r>
            <w:r>
              <w:rPr>
                <w:rFonts w:hint="eastAsia" w:eastAsiaTheme="minorEastAsia"/>
                <w:b w:val="0"/>
                <w:bCs w:val="0"/>
                <w:color w:val="auto"/>
                <w:sz w:val="24"/>
                <w:highlight w:val="none"/>
                <w:lang w:val="en-US" w:eastAsia="zh-CN"/>
              </w:rPr>
              <w:t>扩建</w:t>
            </w:r>
          </w:p>
          <w:p w14:paraId="4CC3543A">
            <w:pPr>
              <w:keepNext w:val="0"/>
              <w:keepLines w:val="0"/>
              <w:pageBreakBefore w:val="0"/>
              <w:kinsoku/>
              <w:wordWrap/>
              <w:overflowPunct/>
              <w:topLinePunct w:val="0"/>
              <w:bidi w:val="0"/>
              <w:adjustRightInd w:val="0"/>
              <w:snapToGrid w:val="0"/>
              <w:spacing w:line="360" w:lineRule="auto"/>
              <w:ind w:firstLine="240" w:firstLineChars="100"/>
              <w:textAlignment w:val="auto"/>
              <w:rPr>
                <w:rFonts w:eastAsiaTheme="minorEastAsia"/>
                <w:color w:val="auto"/>
                <w:sz w:val="24"/>
                <w:highlight w:val="none"/>
              </w:rPr>
            </w:pPr>
            <w:r>
              <w:rPr>
                <w:rFonts w:eastAsiaTheme="minorEastAsia"/>
                <w:color w:val="auto"/>
                <w:sz w:val="24"/>
                <w:highlight w:val="none"/>
              </w:rPr>
              <w:t>（4）建设地点：陕西省</w:t>
            </w:r>
            <w:r>
              <w:rPr>
                <w:rFonts w:hint="eastAsia" w:eastAsiaTheme="minorEastAsia"/>
                <w:color w:val="auto"/>
                <w:kern w:val="0"/>
                <w:sz w:val="24"/>
                <w:highlight w:val="none"/>
                <w:lang w:eastAsia="zh-CN"/>
              </w:rPr>
              <w:t>宝鸡市</w:t>
            </w:r>
            <w:r>
              <w:rPr>
                <w:rFonts w:hint="eastAsia" w:eastAsiaTheme="minorEastAsia"/>
                <w:color w:val="auto"/>
                <w:kern w:val="0"/>
                <w:sz w:val="24"/>
                <w:highlight w:val="none"/>
                <w:lang w:val="en-US" w:eastAsia="zh-CN"/>
              </w:rPr>
              <w:t>凤翔区田家庄镇河北村村北</w:t>
            </w:r>
            <w:r>
              <w:rPr>
                <w:rFonts w:hint="eastAsia" w:eastAsiaTheme="minorEastAsia"/>
                <w:color w:val="auto"/>
                <w:kern w:val="0"/>
                <w:sz w:val="24"/>
                <w:highlight w:val="none"/>
                <w:lang w:eastAsia="zh-CN"/>
              </w:rPr>
              <w:t>金隅冀东凤翔环保科技有限公司</w:t>
            </w:r>
            <w:r>
              <w:rPr>
                <w:rFonts w:hint="eastAsia" w:eastAsiaTheme="minorEastAsia"/>
                <w:color w:val="auto"/>
                <w:kern w:val="0"/>
                <w:sz w:val="24"/>
                <w:highlight w:val="none"/>
                <w:lang w:val="en-US" w:eastAsia="zh-CN"/>
              </w:rPr>
              <w:t>厂区内</w:t>
            </w:r>
            <w:r>
              <w:rPr>
                <w:rFonts w:eastAsiaTheme="minorEastAsia"/>
                <w:color w:val="auto"/>
                <w:sz w:val="24"/>
                <w:highlight w:val="none"/>
              </w:rPr>
              <w:t>，项目地中心坐标经度10</w:t>
            </w:r>
            <w:r>
              <w:rPr>
                <w:rFonts w:hint="eastAsia" w:eastAsiaTheme="minorEastAsia"/>
                <w:color w:val="auto"/>
                <w:sz w:val="24"/>
                <w:highlight w:val="none"/>
                <w:lang w:val="en-US" w:eastAsia="zh-CN"/>
              </w:rPr>
              <w:t>7</w:t>
            </w:r>
            <w:r>
              <w:rPr>
                <w:rFonts w:eastAsiaTheme="minorEastAsia"/>
                <w:color w:val="auto"/>
                <w:sz w:val="24"/>
                <w:highlight w:val="none"/>
              </w:rPr>
              <w:t>°</w:t>
            </w:r>
            <w:r>
              <w:rPr>
                <w:rFonts w:hint="eastAsia" w:eastAsiaTheme="minorEastAsia"/>
                <w:color w:val="auto"/>
                <w:sz w:val="24"/>
                <w:highlight w:val="none"/>
                <w:lang w:val="en-US" w:eastAsia="zh-CN"/>
              </w:rPr>
              <w:t>30</w:t>
            </w:r>
            <w:r>
              <w:rPr>
                <w:rFonts w:eastAsiaTheme="minorEastAsia"/>
                <w:color w:val="auto"/>
                <w:sz w:val="24"/>
                <w:highlight w:val="none"/>
              </w:rPr>
              <w:t>′</w:t>
            </w:r>
            <w:r>
              <w:rPr>
                <w:rFonts w:hint="eastAsia" w:eastAsiaTheme="minorEastAsia"/>
                <w:color w:val="auto"/>
                <w:sz w:val="24"/>
                <w:highlight w:val="none"/>
                <w:lang w:val="en-US" w:eastAsia="zh-CN"/>
              </w:rPr>
              <w:t>15.865</w:t>
            </w:r>
            <w:r>
              <w:rPr>
                <w:rFonts w:eastAsiaTheme="minorEastAsia"/>
                <w:color w:val="auto"/>
                <w:sz w:val="24"/>
                <w:highlight w:val="none"/>
              </w:rPr>
              <w:t>″，纬度：34°</w:t>
            </w:r>
            <w:r>
              <w:rPr>
                <w:rFonts w:hint="eastAsia" w:eastAsiaTheme="minorEastAsia"/>
                <w:color w:val="auto"/>
                <w:sz w:val="24"/>
                <w:highlight w:val="none"/>
                <w:lang w:val="en-US" w:eastAsia="zh-CN"/>
              </w:rPr>
              <w:t>32</w:t>
            </w:r>
            <w:r>
              <w:rPr>
                <w:rFonts w:eastAsiaTheme="minorEastAsia"/>
                <w:color w:val="auto"/>
                <w:sz w:val="24"/>
                <w:highlight w:val="none"/>
              </w:rPr>
              <w:t>′</w:t>
            </w:r>
            <w:r>
              <w:rPr>
                <w:rFonts w:hint="eastAsia" w:eastAsiaTheme="minorEastAsia"/>
                <w:color w:val="auto"/>
                <w:sz w:val="24"/>
                <w:highlight w:val="none"/>
                <w:lang w:val="en-US" w:eastAsia="zh-CN"/>
              </w:rPr>
              <w:t>22.411</w:t>
            </w:r>
            <w:r>
              <w:rPr>
                <w:rFonts w:eastAsiaTheme="minorEastAsia"/>
                <w:color w:val="auto"/>
                <w:sz w:val="24"/>
                <w:highlight w:val="none"/>
              </w:rPr>
              <w:t>″，建设项目</w:t>
            </w:r>
            <w:r>
              <w:rPr>
                <w:rFonts w:eastAsiaTheme="minorEastAsia"/>
                <w:color w:val="auto"/>
                <w:sz w:val="24"/>
                <w:highlight w:val="none"/>
                <w:shd w:val="clear" w:color="auto" w:fill="FFFFFF"/>
              </w:rPr>
              <w:t>地理位置详见附图一。</w:t>
            </w:r>
          </w:p>
          <w:p w14:paraId="526098C1">
            <w:pPr>
              <w:keepNext w:val="0"/>
              <w:keepLines w:val="0"/>
              <w:pageBreakBefore w:val="0"/>
              <w:kinsoku/>
              <w:wordWrap/>
              <w:overflowPunct/>
              <w:topLinePunct w:val="0"/>
              <w:bidi w:val="0"/>
              <w:adjustRightInd w:val="0"/>
              <w:snapToGrid w:val="0"/>
              <w:spacing w:line="360" w:lineRule="auto"/>
              <w:ind w:firstLine="240" w:firstLineChars="100"/>
              <w:textAlignment w:val="auto"/>
              <w:rPr>
                <w:rFonts w:hint="default" w:eastAsiaTheme="minorEastAsia"/>
                <w:color w:val="auto"/>
                <w:sz w:val="24"/>
                <w:highlight w:val="none"/>
                <w:lang w:val="en-US" w:eastAsia="zh-CN"/>
              </w:rPr>
            </w:pPr>
            <w:r>
              <w:rPr>
                <w:rFonts w:eastAsiaTheme="minorEastAsia"/>
                <w:color w:val="auto"/>
                <w:sz w:val="24"/>
                <w:highlight w:val="none"/>
              </w:rPr>
              <w:t>（5）总投资</w:t>
            </w:r>
            <w:r>
              <w:rPr>
                <w:rFonts w:hint="eastAsia" w:eastAsiaTheme="minorEastAsia"/>
                <w:color w:val="auto"/>
                <w:sz w:val="24"/>
                <w:highlight w:val="none"/>
                <w:lang w:eastAsia="zh-CN"/>
              </w:rPr>
              <w:t>：</w:t>
            </w:r>
            <w:r>
              <w:rPr>
                <w:rFonts w:hint="eastAsia" w:eastAsiaTheme="minorEastAsia"/>
                <w:color w:val="auto"/>
                <w:sz w:val="24"/>
                <w:highlight w:val="none"/>
                <w:lang w:val="en-US" w:eastAsia="zh-CN"/>
              </w:rPr>
              <w:t>项目总投资1240.13</w:t>
            </w:r>
            <w:r>
              <w:rPr>
                <w:rFonts w:eastAsiaTheme="minorEastAsia"/>
                <w:color w:val="auto"/>
                <w:sz w:val="24"/>
                <w:highlight w:val="none"/>
              </w:rPr>
              <w:t>万元</w:t>
            </w:r>
            <w:r>
              <w:rPr>
                <w:rFonts w:hint="eastAsia" w:eastAsiaTheme="minorEastAsia"/>
                <w:color w:val="auto"/>
                <w:sz w:val="24"/>
                <w:highlight w:val="none"/>
                <w:lang w:eastAsia="zh-CN"/>
              </w:rPr>
              <w:t>，</w:t>
            </w:r>
            <w:r>
              <w:rPr>
                <w:rFonts w:hint="eastAsia" w:eastAsiaTheme="minorEastAsia"/>
                <w:color w:val="auto"/>
                <w:sz w:val="24"/>
                <w:highlight w:val="none"/>
                <w:lang w:val="en-US" w:eastAsia="zh-CN"/>
              </w:rPr>
              <w:t>其中环保投资148万元。</w:t>
            </w:r>
          </w:p>
          <w:p w14:paraId="1315345D">
            <w:pPr>
              <w:keepNext w:val="0"/>
              <w:keepLines w:val="0"/>
              <w:pageBreakBefore w:val="0"/>
              <w:kinsoku/>
              <w:wordWrap/>
              <w:overflowPunct/>
              <w:topLinePunct w:val="0"/>
              <w:bidi w:val="0"/>
              <w:adjustRightInd w:val="0"/>
              <w:snapToGrid w:val="0"/>
              <w:spacing w:line="360" w:lineRule="auto"/>
              <w:textAlignment w:val="auto"/>
              <w:rPr>
                <w:rFonts w:eastAsiaTheme="minorEastAsia"/>
                <w:b/>
                <w:bCs/>
                <w:color w:val="auto"/>
                <w:sz w:val="24"/>
                <w:highlight w:val="none"/>
              </w:rPr>
            </w:pPr>
            <w:r>
              <w:rPr>
                <w:rFonts w:eastAsiaTheme="minorEastAsia"/>
                <w:b/>
                <w:bCs/>
                <w:color w:val="auto"/>
                <w:sz w:val="24"/>
                <w:highlight w:val="none"/>
              </w:rPr>
              <w:t>2.3 项目建设内容与规模</w:t>
            </w:r>
          </w:p>
          <w:p w14:paraId="1E7413F9">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eastAsiaTheme="minorEastAsia"/>
                <w:color w:val="auto"/>
                <w:sz w:val="24"/>
                <w:highlight w:val="none"/>
                <w:lang w:val="en-US" w:eastAsia="zh-CN"/>
              </w:rPr>
            </w:pPr>
            <w:r>
              <w:rPr>
                <w:rFonts w:eastAsiaTheme="minorEastAsia"/>
                <w:color w:val="auto"/>
                <w:sz w:val="24"/>
                <w:highlight w:val="none"/>
              </w:rPr>
              <w:t>（1）建设内容</w:t>
            </w:r>
            <w:r>
              <w:rPr>
                <w:rFonts w:hint="eastAsia" w:eastAsiaTheme="minorEastAsia"/>
                <w:color w:val="auto"/>
                <w:sz w:val="24"/>
                <w:highlight w:val="none"/>
                <w:lang w:val="en-US" w:eastAsia="zh-CN"/>
              </w:rPr>
              <w:t>及规模</w:t>
            </w:r>
          </w:p>
          <w:p w14:paraId="54C34A21">
            <w:pPr>
              <w:keepNext w:val="0"/>
              <w:keepLines w:val="0"/>
              <w:pageBreakBefore w:val="0"/>
              <w:widowControl/>
              <w:kinsoku/>
              <w:wordWrap/>
              <w:overflowPunct/>
              <w:topLinePunct w:val="0"/>
              <w:bidi w:val="0"/>
              <w:snapToGrid w:val="0"/>
              <w:spacing w:line="360" w:lineRule="auto"/>
              <w:ind w:firstLine="480" w:firstLineChars="200"/>
              <w:jc w:val="left"/>
              <w:textAlignment w:val="auto"/>
              <w:rPr>
                <w:rFonts w:hint="default" w:eastAsiaTheme="minorEastAsia"/>
                <w:color w:val="auto"/>
                <w:sz w:val="24"/>
                <w:highlight w:val="none"/>
                <w:lang w:val="en-US" w:eastAsia="zh-CN"/>
              </w:rPr>
            </w:pPr>
            <w:bookmarkStart w:id="10" w:name="OLE_LINK48"/>
            <w:r>
              <w:rPr>
                <w:rFonts w:hint="eastAsia" w:eastAsiaTheme="minorEastAsia"/>
                <w:color w:val="auto"/>
                <w:sz w:val="24"/>
                <w:highlight w:val="none"/>
                <w:lang w:val="zh-CN"/>
              </w:rPr>
              <w:t>本项目建设内容主要包括</w:t>
            </w:r>
            <w:bookmarkStart w:id="11" w:name="_Hlk192261720"/>
            <w:r>
              <w:rPr>
                <w:rFonts w:hint="eastAsia" w:eastAsiaTheme="minorEastAsia"/>
                <w:color w:val="auto"/>
                <w:sz w:val="24"/>
                <w:highlight w:val="none"/>
                <w:lang w:val="zh-CN"/>
              </w:rPr>
              <w:t>利用现有水泥包装厂房，对包装5-8车道进行改造，</w:t>
            </w:r>
            <w:bookmarkEnd w:id="11"/>
            <w:r>
              <w:rPr>
                <w:rFonts w:hint="eastAsia" w:eastAsiaTheme="minorEastAsia"/>
                <w:color w:val="auto"/>
                <w:sz w:val="24"/>
                <w:highlight w:val="none"/>
                <w:lang w:val="zh-CN"/>
              </w:rPr>
              <w:t>拆除5-7车道装车机，将7车道的自动装车机及收尘器移到2车道，将包装二层四条皮带缩短，水泥袋装在1-4车道发运，拆除6、7车道部分厂房，建设一条干混砂浆生产线。干混砂浆的生产分为原材料预处理及上料储存、配料计量、搅拌混合、成品散装及袋装、袋装码包及覆膜系统及配套电气等辅助设施</w:t>
            </w:r>
            <w:bookmarkEnd w:id="10"/>
            <w:r>
              <w:rPr>
                <w:rFonts w:hint="eastAsia" w:eastAsiaTheme="minorEastAsia"/>
                <w:color w:val="auto"/>
                <w:sz w:val="24"/>
                <w:highlight w:val="none"/>
              </w:rPr>
              <w:t>。</w:t>
            </w:r>
            <w:r>
              <w:rPr>
                <w:rFonts w:hint="eastAsia" w:eastAsiaTheme="minorEastAsia"/>
                <w:color w:val="auto"/>
                <w:sz w:val="24"/>
                <w:highlight w:val="none"/>
                <w:lang w:val="en-US" w:eastAsia="zh-CN"/>
              </w:rPr>
              <w:t>具体建设内容见下表2-2。</w:t>
            </w:r>
          </w:p>
          <w:p w14:paraId="0223E282">
            <w:pPr>
              <w:adjustRightInd w:val="0"/>
              <w:snapToGrid w:val="0"/>
              <w:ind w:firstLine="422" w:firstLineChars="200"/>
              <w:jc w:val="center"/>
              <w:rPr>
                <w:rFonts w:eastAsiaTheme="minorEastAsia"/>
                <w:b/>
                <w:bCs/>
                <w:color w:val="auto"/>
                <w:szCs w:val="21"/>
                <w:highlight w:val="none"/>
              </w:rPr>
            </w:pPr>
            <w:r>
              <w:rPr>
                <w:rFonts w:eastAsiaTheme="minorEastAsia"/>
                <w:b/>
                <w:bCs/>
                <w:color w:val="auto"/>
                <w:szCs w:val="21"/>
                <w:highlight w:val="none"/>
              </w:rPr>
              <w:t>表2-</w:t>
            </w:r>
            <w:r>
              <w:rPr>
                <w:rFonts w:hint="eastAsia" w:eastAsiaTheme="minorEastAsia"/>
                <w:b/>
                <w:bCs/>
                <w:color w:val="auto"/>
                <w:szCs w:val="21"/>
                <w:highlight w:val="none"/>
                <w:lang w:val="en-US" w:eastAsia="zh-CN"/>
              </w:rPr>
              <w:t>2</w:t>
            </w:r>
            <w:r>
              <w:rPr>
                <w:rFonts w:eastAsiaTheme="minorEastAsia"/>
                <w:b/>
                <w:bCs/>
                <w:color w:val="auto"/>
                <w:szCs w:val="21"/>
                <w:highlight w:val="none"/>
              </w:rPr>
              <w:t xml:space="preserve"> </w:t>
            </w:r>
            <w:r>
              <w:rPr>
                <w:rFonts w:hint="eastAsia" w:eastAsiaTheme="minorEastAsia"/>
                <w:b/>
                <w:bCs/>
                <w:color w:val="auto"/>
                <w:szCs w:val="21"/>
                <w:highlight w:val="none"/>
                <w:lang w:val="en-US" w:eastAsia="zh-CN"/>
              </w:rPr>
              <w:t xml:space="preserve"> </w:t>
            </w:r>
            <w:r>
              <w:rPr>
                <w:rFonts w:eastAsiaTheme="minorEastAsia"/>
                <w:b/>
                <w:bCs/>
                <w:color w:val="auto"/>
                <w:szCs w:val="21"/>
                <w:highlight w:val="none"/>
              </w:rPr>
              <w:t>项目</w:t>
            </w:r>
            <w:r>
              <w:rPr>
                <w:rFonts w:hint="eastAsia" w:eastAsiaTheme="minorEastAsia"/>
                <w:b/>
                <w:bCs/>
                <w:color w:val="auto"/>
                <w:szCs w:val="21"/>
                <w:highlight w:val="none"/>
                <w:lang w:val="en-US" w:eastAsia="zh-CN"/>
              </w:rPr>
              <w:t>建设内容</w:t>
            </w:r>
            <w:r>
              <w:rPr>
                <w:rFonts w:eastAsiaTheme="minorEastAsia"/>
                <w:b/>
                <w:bCs/>
                <w:color w:val="auto"/>
                <w:szCs w:val="21"/>
                <w:highlight w:val="none"/>
              </w:rPr>
              <w:t>一览表</w:t>
            </w:r>
          </w:p>
          <w:tbl>
            <w:tblPr>
              <w:tblStyle w:val="19"/>
              <w:tblW w:w="80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7"/>
              <w:gridCol w:w="494"/>
              <w:gridCol w:w="1037"/>
              <w:gridCol w:w="5075"/>
              <w:gridCol w:w="744"/>
            </w:tblGrid>
            <w:tr w14:paraId="0C41F9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Align w:val="center"/>
                </w:tcPr>
                <w:p w14:paraId="040FAF4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Theme="minorEastAsia"/>
                      <w:b/>
                      <w:bCs/>
                      <w:color w:val="auto"/>
                      <w:sz w:val="21"/>
                      <w:szCs w:val="21"/>
                      <w:highlight w:val="none"/>
                      <w:lang w:val="en-US" w:eastAsia="zh-CN"/>
                    </w:rPr>
                  </w:pPr>
                  <w:r>
                    <w:rPr>
                      <w:rFonts w:eastAsiaTheme="minorEastAsia"/>
                      <w:b/>
                      <w:bCs/>
                      <w:color w:val="auto"/>
                      <w:sz w:val="21"/>
                      <w:szCs w:val="21"/>
                      <w:highlight w:val="none"/>
                    </w:rPr>
                    <w:t>工程</w:t>
                  </w:r>
                  <w:r>
                    <w:rPr>
                      <w:rFonts w:hint="eastAsia" w:eastAsiaTheme="minorEastAsia"/>
                      <w:b/>
                      <w:bCs/>
                      <w:color w:val="auto"/>
                      <w:sz w:val="21"/>
                      <w:szCs w:val="21"/>
                      <w:highlight w:val="none"/>
                      <w:lang w:val="en-US" w:eastAsia="zh-CN"/>
                    </w:rPr>
                    <w:t>组成</w:t>
                  </w:r>
                </w:p>
              </w:tc>
              <w:tc>
                <w:tcPr>
                  <w:tcW w:w="1531" w:type="dxa"/>
                  <w:gridSpan w:val="2"/>
                  <w:vAlign w:val="center"/>
                </w:tcPr>
                <w:p w14:paraId="2D58EFB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Theme="minorEastAsia"/>
                      <w:b/>
                      <w:bCs/>
                      <w:color w:val="auto"/>
                      <w:sz w:val="21"/>
                      <w:szCs w:val="21"/>
                      <w:highlight w:val="none"/>
                      <w:lang w:val="en-US" w:eastAsia="zh-CN"/>
                    </w:rPr>
                  </w:pPr>
                  <w:r>
                    <w:rPr>
                      <w:rFonts w:hint="eastAsia" w:eastAsiaTheme="minorEastAsia"/>
                      <w:b/>
                      <w:bCs/>
                      <w:color w:val="auto"/>
                      <w:sz w:val="21"/>
                      <w:szCs w:val="21"/>
                      <w:highlight w:val="none"/>
                      <w:lang w:val="en-US" w:eastAsia="zh-CN"/>
                    </w:rPr>
                    <w:t>项目</w:t>
                  </w:r>
                </w:p>
              </w:tc>
              <w:tc>
                <w:tcPr>
                  <w:tcW w:w="5075" w:type="dxa"/>
                  <w:vAlign w:val="center"/>
                </w:tcPr>
                <w:p w14:paraId="4F2F44E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eastAsiaTheme="minorEastAsia"/>
                      <w:b/>
                      <w:bCs/>
                      <w:color w:val="auto"/>
                      <w:kern w:val="2"/>
                      <w:sz w:val="21"/>
                      <w:szCs w:val="21"/>
                      <w:highlight w:val="none"/>
                      <w:lang w:val="en-US" w:eastAsia="zh-CN" w:bidi="ar-SA"/>
                    </w:rPr>
                  </w:pPr>
                  <w:r>
                    <w:rPr>
                      <w:rFonts w:eastAsiaTheme="minorEastAsia"/>
                      <w:b/>
                      <w:bCs/>
                      <w:color w:val="auto"/>
                      <w:sz w:val="21"/>
                      <w:szCs w:val="21"/>
                      <w:highlight w:val="none"/>
                    </w:rPr>
                    <w:t>主要</w:t>
                  </w:r>
                  <w:r>
                    <w:rPr>
                      <w:rFonts w:hint="eastAsia" w:eastAsiaTheme="minorEastAsia"/>
                      <w:b/>
                      <w:bCs/>
                      <w:color w:val="auto"/>
                      <w:sz w:val="21"/>
                      <w:szCs w:val="21"/>
                      <w:highlight w:val="none"/>
                      <w:lang w:val="en-US" w:eastAsia="zh-CN"/>
                    </w:rPr>
                    <w:t>建设</w:t>
                  </w:r>
                  <w:r>
                    <w:rPr>
                      <w:rFonts w:eastAsiaTheme="minorEastAsia"/>
                      <w:b/>
                      <w:bCs/>
                      <w:color w:val="auto"/>
                      <w:sz w:val="21"/>
                      <w:szCs w:val="21"/>
                      <w:highlight w:val="none"/>
                    </w:rPr>
                    <w:t>内容</w:t>
                  </w:r>
                </w:p>
              </w:tc>
              <w:tc>
                <w:tcPr>
                  <w:tcW w:w="744" w:type="dxa"/>
                  <w:vAlign w:val="center"/>
                </w:tcPr>
                <w:p w14:paraId="062DE51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Theme="minorEastAsia"/>
                      <w:b/>
                      <w:bCs/>
                      <w:color w:val="auto"/>
                      <w:sz w:val="21"/>
                      <w:szCs w:val="21"/>
                      <w:highlight w:val="none"/>
                      <w:lang w:val="en-US" w:eastAsia="zh-CN"/>
                    </w:rPr>
                  </w:pPr>
                  <w:r>
                    <w:rPr>
                      <w:rFonts w:hint="eastAsia" w:eastAsiaTheme="minorEastAsia"/>
                      <w:b/>
                      <w:bCs/>
                      <w:color w:val="auto"/>
                      <w:sz w:val="21"/>
                      <w:szCs w:val="21"/>
                      <w:highlight w:val="none"/>
                      <w:lang w:val="en-US" w:eastAsia="zh-CN"/>
                    </w:rPr>
                    <w:t>备注</w:t>
                  </w:r>
                </w:p>
              </w:tc>
            </w:tr>
            <w:tr w14:paraId="5632B5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restart"/>
                  <w:vAlign w:val="center"/>
                </w:tcPr>
                <w:p w14:paraId="30DF97B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r>
                    <w:rPr>
                      <w:rFonts w:eastAsiaTheme="minorEastAsia"/>
                      <w:color w:val="auto"/>
                      <w:sz w:val="21"/>
                      <w:szCs w:val="21"/>
                      <w:highlight w:val="none"/>
                    </w:rPr>
                    <w:t>主体工程</w:t>
                  </w:r>
                </w:p>
              </w:tc>
              <w:tc>
                <w:tcPr>
                  <w:tcW w:w="1531" w:type="dxa"/>
                  <w:gridSpan w:val="2"/>
                  <w:vAlign w:val="center"/>
                </w:tcPr>
                <w:p w14:paraId="17A8A60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制砂车间</w:t>
                  </w:r>
                </w:p>
              </w:tc>
              <w:tc>
                <w:tcPr>
                  <w:tcW w:w="5075" w:type="dxa"/>
                  <w:vAlign w:val="center"/>
                </w:tcPr>
                <w:p w14:paraId="2366008D">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eastAsia" w:cs="Times New Roman" w:eastAsiaTheme="minorEastAsia"/>
                      <w:color w:val="auto"/>
                      <w:kern w:val="2"/>
                      <w:sz w:val="21"/>
                      <w:szCs w:val="21"/>
                      <w:highlight w:val="none"/>
                      <w:vertAlign w:val="baseline"/>
                      <w:lang w:val="en-US" w:eastAsia="zh-CN" w:bidi="ar-SA"/>
                    </w:rPr>
                    <w:t>依托原有项目机制砂生产工序，新安装1套概率筛设备，并且配套相应的设备，对原有项目生产的机制砂再次进行筛分，筛分出适用于本项目生产的中粗砂</w:t>
                  </w:r>
                  <w:r>
                    <w:rPr>
                      <w:rFonts w:hint="default" w:ascii="Times New Roman" w:hAnsi="Times New Roman" w:cs="Times New Roman" w:eastAsiaTheme="minorEastAsia"/>
                      <w:color w:val="auto"/>
                      <w:kern w:val="2"/>
                      <w:sz w:val="21"/>
                      <w:szCs w:val="21"/>
                      <w:highlight w:val="none"/>
                      <w:vertAlign w:val="baseline"/>
                      <w:lang w:val="en-US" w:eastAsia="zh-CN" w:bidi="ar-SA"/>
                    </w:rPr>
                    <w:t>，</w:t>
                  </w:r>
                  <w:r>
                    <w:rPr>
                      <w:rFonts w:hint="eastAsia" w:cs="Times New Roman" w:eastAsiaTheme="minorEastAsia"/>
                      <w:color w:val="auto"/>
                      <w:kern w:val="2"/>
                      <w:sz w:val="21"/>
                      <w:szCs w:val="21"/>
                      <w:highlight w:val="none"/>
                      <w:vertAlign w:val="baseline"/>
                      <w:lang w:val="en-US" w:eastAsia="zh-CN" w:bidi="ar-SA"/>
                    </w:rPr>
                    <w:t>经过密闭管廊将筛分的中、粗砂输送至相应的料仓中。</w:t>
                  </w:r>
                </w:p>
              </w:tc>
              <w:tc>
                <w:tcPr>
                  <w:tcW w:w="744" w:type="dxa"/>
                  <w:vAlign w:val="center"/>
                </w:tcPr>
                <w:p w14:paraId="470DC1A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依托</w:t>
                  </w:r>
                  <w:r>
                    <w:rPr>
                      <w:rFonts w:hint="eastAsia" w:cs="Times New Roman" w:eastAsiaTheme="minorEastAsia"/>
                      <w:color w:val="auto"/>
                      <w:kern w:val="2"/>
                      <w:sz w:val="21"/>
                      <w:szCs w:val="21"/>
                      <w:highlight w:val="none"/>
                      <w:vertAlign w:val="baseline"/>
                      <w:lang w:val="en-US" w:eastAsia="zh-CN" w:bidi="ar-SA"/>
                    </w:rPr>
                    <w:t>机制砂生产厂房</w:t>
                  </w:r>
                </w:p>
              </w:tc>
            </w:tr>
            <w:tr w14:paraId="788E25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4D5E645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1531" w:type="dxa"/>
                  <w:gridSpan w:val="2"/>
                  <w:vAlign w:val="center"/>
                </w:tcPr>
                <w:p w14:paraId="662DC83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干混砂浆搅拌楼</w:t>
                  </w:r>
                </w:p>
              </w:tc>
              <w:tc>
                <w:tcPr>
                  <w:tcW w:w="5075" w:type="dxa"/>
                  <w:vAlign w:val="center"/>
                </w:tcPr>
                <w:p w14:paraId="2ECF75D3">
                  <w:pPr>
                    <w:keepNext w:val="0"/>
                    <w:keepLines w:val="0"/>
                    <w:pageBreakBefore w:val="0"/>
                    <w:kinsoku/>
                    <w:wordWrap/>
                    <w:overflowPunct/>
                    <w:topLinePunct w:val="0"/>
                    <w:autoSpaceDE/>
                    <w:autoSpaceDN/>
                    <w:bidi w:val="0"/>
                    <w:snapToGrid w:val="0"/>
                    <w:spacing w:line="240" w:lineRule="auto"/>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kern w:val="2"/>
                      <w:sz w:val="21"/>
                      <w:szCs w:val="21"/>
                      <w:highlight w:val="none"/>
                      <w:vertAlign w:val="baseline"/>
                      <w:lang w:val="en-US" w:eastAsia="zh-CN" w:bidi="ar-SA"/>
                    </w:rPr>
                    <w:t>利用现有水泥包装厂房，对包装5-8车道进行改造，拆除5-7车道装车机，将7车道的自动装车机及收尘器移到2车道，将包装二层四条皮带缩短，水泥袋装在1-4车道发运，拆除6、7车道部分厂房，建设一条干混砂浆生产线。干混砂浆的生产分为原材料预处理及上料储存、配料计量、搅拌混合、成品散装及袋装、袋装码包及覆膜系统及配套电气等辅助设施</w:t>
                  </w:r>
                </w:p>
              </w:tc>
              <w:tc>
                <w:tcPr>
                  <w:tcW w:w="744" w:type="dxa"/>
                  <w:vAlign w:val="center"/>
                </w:tcPr>
                <w:p w14:paraId="344F918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利用</w:t>
                  </w:r>
                  <w:r>
                    <w:rPr>
                      <w:rFonts w:hint="eastAsia" w:cs="Times New Roman" w:eastAsiaTheme="minorEastAsia"/>
                      <w:color w:val="auto"/>
                      <w:kern w:val="2"/>
                      <w:sz w:val="21"/>
                      <w:szCs w:val="21"/>
                      <w:highlight w:val="none"/>
                      <w:lang w:val="en-US" w:eastAsia="zh-CN" w:bidi="ar-SA"/>
                    </w:rPr>
                    <w:t>现有</w:t>
                  </w:r>
                  <w:r>
                    <w:rPr>
                      <w:rFonts w:hint="default" w:ascii="Times New Roman" w:hAnsi="Times New Roman" w:cs="Times New Roman" w:eastAsiaTheme="minorEastAsia"/>
                      <w:color w:val="auto"/>
                      <w:kern w:val="2"/>
                      <w:sz w:val="21"/>
                      <w:szCs w:val="21"/>
                      <w:highlight w:val="none"/>
                      <w:lang w:val="en-US" w:eastAsia="zh-CN" w:bidi="ar-SA"/>
                    </w:rPr>
                    <w:t>厂房</w:t>
                  </w:r>
                  <w:r>
                    <w:rPr>
                      <w:rFonts w:hint="eastAsia" w:cs="Times New Roman" w:eastAsiaTheme="minorEastAsia"/>
                      <w:color w:val="auto"/>
                      <w:kern w:val="2"/>
                      <w:sz w:val="21"/>
                      <w:szCs w:val="21"/>
                      <w:highlight w:val="none"/>
                      <w:lang w:val="en-US" w:eastAsia="zh-CN" w:bidi="ar-SA"/>
                    </w:rPr>
                    <w:t>，对袋装5-8车道部分柱子进行加固</w:t>
                  </w:r>
                </w:p>
              </w:tc>
            </w:tr>
            <w:tr w14:paraId="05DAE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07" w:type="dxa"/>
                  <w:vAlign w:val="center"/>
                </w:tcPr>
                <w:p w14:paraId="23BECD6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r>
                    <w:rPr>
                      <w:rFonts w:eastAsiaTheme="minorEastAsia"/>
                      <w:color w:val="auto"/>
                      <w:sz w:val="21"/>
                      <w:szCs w:val="21"/>
                      <w:highlight w:val="none"/>
                    </w:rPr>
                    <w:t>辅助工程</w:t>
                  </w:r>
                </w:p>
              </w:tc>
              <w:tc>
                <w:tcPr>
                  <w:tcW w:w="1531" w:type="dxa"/>
                  <w:gridSpan w:val="2"/>
                  <w:vAlign w:val="center"/>
                </w:tcPr>
                <w:p w14:paraId="266B6F5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办公区</w:t>
                  </w:r>
                </w:p>
              </w:tc>
              <w:tc>
                <w:tcPr>
                  <w:tcW w:w="5075" w:type="dxa"/>
                  <w:vAlign w:val="center"/>
                </w:tcPr>
                <w:p w14:paraId="28B015D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依托厂区现有办公区</w:t>
                  </w:r>
                </w:p>
              </w:tc>
              <w:tc>
                <w:tcPr>
                  <w:tcW w:w="744" w:type="dxa"/>
                  <w:vAlign w:val="center"/>
                </w:tcPr>
                <w:p w14:paraId="3E74072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依托现有</w:t>
                  </w:r>
                </w:p>
              </w:tc>
            </w:tr>
            <w:tr w14:paraId="33862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07" w:type="dxa"/>
                  <w:vMerge w:val="restart"/>
                  <w:vAlign w:val="center"/>
                </w:tcPr>
                <w:p w14:paraId="08DCD3C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储运工程</w:t>
                  </w:r>
                </w:p>
              </w:tc>
              <w:tc>
                <w:tcPr>
                  <w:tcW w:w="1531" w:type="dxa"/>
                  <w:gridSpan w:val="2"/>
                  <w:vAlign w:val="center"/>
                </w:tcPr>
                <w:p w14:paraId="349A3C2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cs="Times New Roman"/>
                      <w:i w:val="0"/>
                      <w:iCs w:val="0"/>
                      <w:color w:val="auto"/>
                      <w:sz w:val="21"/>
                      <w:szCs w:val="21"/>
                      <w:highlight w:val="none"/>
                      <w:u w:val="none"/>
                      <w:lang w:val="en-US" w:eastAsia="zh-CN"/>
                    </w:rPr>
                    <w:t>筒砂仓</w:t>
                  </w:r>
                </w:p>
              </w:tc>
              <w:tc>
                <w:tcPr>
                  <w:tcW w:w="5075" w:type="dxa"/>
                  <w:vAlign w:val="center"/>
                </w:tcPr>
                <w:p w14:paraId="003EAD29">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密闭式筒仓，4个，单个有效储量200吨</w:t>
                  </w:r>
                </w:p>
              </w:tc>
              <w:tc>
                <w:tcPr>
                  <w:tcW w:w="744" w:type="dxa"/>
                  <w:vAlign w:val="center"/>
                </w:tcPr>
                <w:p w14:paraId="4C54208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新建</w:t>
                  </w:r>
                </w:p>
              </w:tc>
            </w:tr>
            <w:tr w14:paraId="158FB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2291658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1531" w:type="dxa"/>
                  <w:gridSpan w:val="2"/>
                  <w:vAlign w:val="center"/>
                </w:tcPr>
                <w:p w14:paraId="16238B2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default" w:eastAsiaTheme="minorEastAsia"/>
                      <w:color w:val="auto"/>
                      <w:sz w:val="21"/>
                      <w:szCs w:val="21"/>
                      <w:highlight w:val="none"/>
                      <w:lang w:val="en-US" w:eastAsia="zh-CN"/>
                    </w:rPr>
                    <w:t>粉料配料仓</w:t>
                  </w:r>
                </w:p>
              </w:tc>
              <w:tc>
                <w:tcPr>
                  <w:tcW w:w="5075" w:type="dxa"/>
                  <w:vAlign w:val="center"/>
                </w:tcPr>
                <w:p w14:paraId="4646A0EA">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密闭式筒仓，5个，储存水泥（两种）、粉煤灰、石粉、矿粉，单个有效储量200吨</w:t>
                  </w:r>
                </w:p>
              </w:tc>
              <w:tc>
                <w:tcPr>
                  <w:tcW w:w="744" w:type="dxa"/>
                  <w:vAlign w:val="center"/>
                </w:tcPr>
                <w:p w14:paraId="1832C4F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新建</w:t>
                  </w:r>
                </w:p>
              </w:tc>
            </w:tr>
            <w:tr w14:paraId="456C22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7A77ABE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1531" w:type="dxa"/>
                  <w:gridSpan w:val="2"/>
                  <w:vAlign w:val="center"/>
                </w:tcPr>
                <w:p w14:paraId="1DB718B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u w:val="none"/>
                    </w:rPr>
                    <w:t>过渡仓</w:t>
                  </w:r>
                </w:p>
              </w:tc>
              <w:tc>
                <w:tcPr>
                  <w:tcW w:w="5075" w:type="dxa"/>
                  <w:vAlign w:val="center"/>
                </w:tcPr>
                <w:p w14:paraId="22C3A8DC">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1个，容积5m</w:t>
                  </w:r>
                  <w:r>
                    <w:rPr>
                      <w:rFonts w:hint="eastAsia" w:eastAsiaTheme="minorEastAsia"/>
                      <w:color w:val="auto"/>
                      <w:sz w:val="21"/>
                      <w:szCs w:val="21"/>
                      <w:highlight w:val="none"/>
                      <w:vertAlign w:val="superscript"/>
                      <w:lang w:val="en-US" w:eastAsia="zh-CN"/>
                    </w:rPr>
                    <w:t>3</w:t>
                  </w:r>
                  <w:r>
                    <w:rPr>
                      <w:rFonts w:hint="eastAsia" w:eastAsiaTheme="minorEastAsia"/>
                      <w:color w:val="auto"/>
                      <w:sz w:val="21"/>
                      <w:szCs w:val="21"/>
                      <w:highlight w:val="none"/>
                      <w:lang w:val="en-US" w:eastAsia="zh-CN"/>
                    </w:rPr>
                    <w:t>，</w:t>
                  </w:r>
                  <w:r>
                    <w:rPr>
                      <w:rFonts w:hint="default" w:ascii="Times New Roman" w:hAnsi="Times New Roman" w:eastAsia="宋体" w:cs="Times New Roman"/>
                      <w:i w:val="0"/>
                      <w:iCs w:val="0"/>
                      <w:color w:val="auto"/>
                      <w:kern w:val="2"/>
                      <w:sz w:val="21"/>
                      <w:szCs w:val="21"/>
                      <w:highlight w:val="none"/>
                      <w:u w:val="none"/>
                      <w:lang w:val="en-US" w:eastAsia="zh-CN" w:bidi="ar-SA"/>
                    </w:rPr>
                    <w:t>储存已完成搅拌的成品</w:t>
                  </w:r>
                </w:p>
              </w:tc>
              <w:tc>
                <w:tcPr>
                  <w:tcW w:w="744" w:type="dxa"/>
                  <w:vAlign w:val="center"/>
                </w:tcPr>
                <w:p w14:paraId="6C53981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新建</w:t>
                  </w:r>
                </w:p>
              </w:tc>
            </w:tr>
            <w:tr w14:paraId="02DE39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55EF8CA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1531" w:type="dxa"/>
                  <w:gridSpan w:val="2"/>
                  <w:vAlign w:val="center"/>
                </w:tcPr>
                <w:p w14:paraId="7B7027F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rPr>
                    <w:t>成品仓</w:t>
                  </w:r>
                </w:p>
              </w:tc>
              <w:tc>
                <w:tcPr>
                  <w:tcW w:w="5075" w:type="dxa"/>
                  <w:vAlign w:val="center"/>
                </w:tcPr>
                <w:p w14:paraId="19B315D4">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eastAsiaTheme="minorEastAsia"/>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rPr>
                    <w:t>1个，</w:t>
                  </w:r>
                  <w:r>
                    <w:rPr>
                      <w:rFonts w:hint="default" w:ascii="Times New Roman" w:hAnsi="Times New Roman" w:eastAsia="宋体" w:cs="Times New Roman"/>
                      <w:i w:val="0"/>
                      <w:iCs w:val="0"/>
                      <w:color w:val="auto"/>
                      <w:kern w:val="0"/>
                      <w:sz w:val="21"/>
                      <w:szCs w:val="21"/>
                      <w:highlight w:val="none"/>
                      <w:u w:val="none"/>
                      <w:lang w:val="en-US" w:eastAsia="zh-CN"/>
                    </w:rPr>
                    <w:t>椎体5mm，罐口4米</w:t>
                  </w:r>
                </w:p>
              </w:tc>
              <w:tc>
                <w:tcPr>
                  <w:tcW w:w="744" w:type="dxa"/>
                  <w:vAlign w:val="center"/>
                </w:tcPr>
                <w:p w14:paraId="4F11E47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新建</w:t>
                  </w:r>
                </w:p>
              </w:tc>
            </w:tr>
            <w:tr w14:paraId="136119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7" w:type="dxa"/>
                  <w:vMerge w:val="restart"/>
                  <w:vAlign w:val="center"/>
                </w:tcPr>
                <w:p w14:paraId="70BAA48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r>
                    <w:rPr>
                      <w:rFonts w:eastAsiaTheme="minorEastAsia"/>
                      <w:color w:val="auto"/>
                      <w:sz w:val="21"/>
                      <w:szCs w:val="21"/>
                      <w:highlight w:val="none"/>
                    </w:rPr>
                    <w:t>公用工程</w:t>
                  </w:r>
                </w:p>
              </w:tc>
              <w:tc>
                <w:tcPr>
                  <w:tcW w:w="1531" w:type="dxa"/>
                  <w:gridSpan w:val="2"/>
                  <w:vAlign w:val="center"/>
                </w:tcPr>
                <w:p w14:paraId="2271619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r>
                    <w:rPr>
                      <w:rFonts w:eastAsiaTheme="minorEastAsia"/>
                      <w:color w:val="auto"/>
                      <w:sz w:val="21"/>
                      <w:szCs w:val="21"/>
                      <w:highlight w:val="none"/>
                    </w:rPr>
                    <w:t>供水</w:t>
                  </w:r>
                </w:p>
              </w:tc>
              <w:tc>
                <w:tcPr>
                  <w:tcW w:w="5075" w:type="dxa"/>
                  <w:vAlign w:val="center"/>
                </w:tcPr>
                <w:p w14:paraId="310B300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依托厂区现有供水系统</w:t>
                  </w:r>
                </w:p>
              </w:tc>
              <w:tc>
                <w:tcPr>
                  <w:tcW w:w="744" w:type="dxa"/>
                  <w:vAlign w:val="center"/>
                </w:tcPr>
                <w:p w14:paraId="4CFEEA4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kern w:val="0"/>
                      <w:sz w:val="21"/>
                      <w:szCs w:val="21"/>
                      <w:highlight w:val="none"/>
                      <w:lang w:val="en-US" w:eastAsia="zh-CN"/>
                    </w:rPr>
                  </w:pPr>
                  <w:r>
                    <w:rPr>
                      <w:rFonts w:hint="eastAsia" w:eastAsiaTheme="minorEastAsia"/>
                      <w:color w:val="auto"/>
                      <w:kern w:val="0"/>
                      <w:sz w:val="21"/>
                      <w:szCs w:val="21"/>
                      <w:highlight w:val="none"/>
                      <w:lang w:val="en-US" w:eastAsia="zh-CN"/>
                    </w:rPr>
                    <w:t>依托现有</w:t>
                  </w:r>
                </w:p>
              </w:tc>
            </w:tr>
            <w:tr w14:paraId="096DFF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3CD4114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1531" w:type="dxa"/>
                  <w:gridSpan w:val="2"/>
                  <w:vAlign w:val="center"/>
                </w:tcPr>
                <w:p w14:paraId="57F7FF3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r>
                    <w:rPr>
                      <w:rFonts w:eastAsiaTheme="minorEastAsia"/>
                      <w:color w:val="auto"/>
                      <w:sz w:val="21"/>
                      <w:szCs w:val="21"/>
                      <w:highlight w:val="none"/>
                    </w:rPr>
                    <w:t>供电</w:t>
                  </w:r>
                </w:p>
              </w:tc>
              <w:tc>
                <w:tcPr>
                  <w:tcW w:w="5075" w:type="dxa"/>
                  <w:vAlign w:val="center"/>
                </w:tcPr>
                <w:p w14:paraId="54590EE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市政供电电网</w:t>
                  </w:r>
                </w:p>
              </w:tc>
              <w:tc>
                <w:tcPr>
                  <w:tcW w:w="744" w:type="dxa"/>
                  <w:vAlign w:val="center"/>
                </w:tcPr>
                <w:p w14:paraId="4B8D0DA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kern w:val="0"/>
                      <w:sz w:val="21"/>
                      <w:szCs w:val="21"/>
                      <w:highlight w:val="none"/>
                      <w:lang w:val="en-US" w:eastAsia="zh-CN"/>
                    </w:rPr>
                  </w:pPr>
                  <w:r>
                    <w:rPr>
                      <w:rFonts w:hint="eastAsia" w:eastAsiaTheme="minorEastAsia"/>
                      <w:color w:val="auto"/>
                      <w:kern w:val="0"/>
                      <w:sz w:val="21"/>
                      <w:szCs w:val="21"/>
                      <w:highlight w:val="none"/>
                      <w:lang w:val="en-US" w:eastAsia="zh-CN"/>
                    </w:rPr>
                    <w:t>依托现有</w:t>
                  </w:r>
                </w:p>
              </w:tc>
            </w:tr>
            <w:tr w14:paraId="2ECDFF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1CC505C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1531" w:type="dxa"/>
                  <w:gridSpan w:val="2"/>
                  <w:vAlign w:val="center"/>
                </w:tcPr>
                <w:p w14:paraId="3D20F62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采暖</w:t>
                  </w:r>
                </w:p>
              </w:tc>
              <w:tc>
                <w:tcPr>
                  <w:tcW w:w="5075" w:type="dxa"/>
                  <w:vAlign w:val="center"/>
                </w:tcPr>
                <w:p w14:paraId="1653C6F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办公室采暖采用空调</w:t>
                  </w:r>
                </w:p>
              </w:tc>
              <w:tc>
                <w:tcPr>
                  <w:tcW w:w="744" w:type="dxa"/>
                  <w:vAlign w:val="center"/>
                </w:tcPr>
                <w:p w14:paraId="1276EE3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kern w:val="0"/>
                      <w:sz w:val="21"/>
                      <w:szCs w:val="21"/>
                      <w:highlight w:val="none"/>
                      <w:lang w:val="en-US" w:eastAsia="zh-CN"/>
                    </w:rPr>
                  </w:pPr>
                  <w:r>
                    <w:rPr>
                      <w:rFonts w:hint="eastAsia" w:eastAsiaTheme="minorEastAsia"/>
                      <w:color w:val="auto"/>
                      <w:kern w:val="0"/>
                      <w:sz w:val="21"/>
                      <w:szCs w:val="21"/>
                      <w:highlight w:val="none"/>
                      <w:lang w:val="en-US" w:eastAsia="zh-CN"/>
                    </w:rPr>
                    <w:t>依托现有</w:t>
                  </w:r>
                </w:p>
              </w:tc>
            </w:tr>
            <w:tr w14:paraId="50B05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restart"/>
                  <w:vAlign w:val="center"/>
                </w:tcPr>
                <w:p w14:paraId="0308966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r>
                    <w:rPr>
                      <w:rFonts w:eastAsiaTheme="minorEastAsia"/>
                      <w:color w:val="auto"/>
                      <w:sz w:val="21"/>
                      <w:szCs w:val="21"/>
                      <w:highlight w:val="none"/>
                    </w:rPr>
                    <w:t>环保工程</w:t>
                  </w:r>
                </w:p>
              </w:tc>
              <w:tc>
                <w:tcPr>
                  <w:tcW w:w="494" w:type="dxa"/>
                  <w:vMerge w:val="restart"/>
                  <w:vAlign w:val="center"/>
                </w:tcPr>
                <w:p w14:paraId="5AFE08C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r>
                    <w:rPr>
                      <w:rFonts w:eastAsiaTheme="minorEastAsia"/>
                      <w:color w:val="auto"/>
                      <w:sz w:val="21"/>
                      <w:szCs w:val="21"/>
                      <w:highlight w:val="none"/>
                    </w:rPr>
                    <w:t>废气治理</w:t>
                  </w:r>
                </w:p>
              </w:tc>
              <w:tc>
                <w:tcPr>
                  <w:tcW w:w="1037" w:type="dxa"/>
                  <w:vAlign w:val="center"/>
                </w:tcPr>
                <w:p w14:paraId="4EB09FB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筛分</w:t>
                  </w:r>
                </w:p>
              </w:tc>
              <w:tc>
                <w:tcPr>
                  <w:tcW w:w="5075" w:type="dxa"/>
                  <w:vAlign w:val="center"/>
                </w:tcPr>
                <w:p w14:paraId="6C7CCA09">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概率筛粉尘采用脉冲式布袋除尘器处理后，经1根15m排气筒（离地高度，DA107）排放</w:t>
                  </w:r>
                </w:p>
              </w:tc>
              <w:tc>
                <w:tcPr>
                  <w:tcW w:w="744" w:type="dxa"/>
                  <w:vAlign w:val="center"/>
                </w:tcPr>
                <w:p w14:paraId="30AE3BA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新建</w:t>
                  </w:r>
                </w:p>
              </w:tc>
            </w:tr>
            <w:tr w14:paraId="3C6534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1A9294C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494" w:type="dxa"/>
                  <w:vMerge w:val="continue"/>
                  <w:vAlign w:val="center"/>
                </w:tcPr>
                <w:p w14:paraId="3BBD32B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1037" w:type="dxa"/>
                  <w:vAlign w:val="center"/>
                </w:tcPr>
                <w:p w14:paraId="18554615">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筒仓粉尘</w:t>
                  </w:r>
                </w:p>
              </w:tc>
              <w:tc>
                <w:tcPr>
                  <w:tcW w:w="5075" w:type="dxa"/>
                  <w:vAlign w:val="center"/>
                </w:tcPr>
                <w:p w14:paraId="09EF0B08">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各筒仓均位于封闭式车间内，粉尘由仓顶设置仓顶除尘器装置，处理后</w:t>
                  </w:r>
                  <w:r>
                    <w:rPr>
                      <w:rFonts w:hint="eastAsia" w:cs="Times New Roman" w:eastAsiaTheme="minorEastAsia"/>
                      <w:color w:val="auto"/>
                      <w:kern w:val="2"/>
                      <w:sz w:val="21"/>
                      <w:szCs w:val="21"/>
                      <w:highlight w:val="none"/>
                      <w:lang w:val="en-US" w:eastAsia="zh-CN" w:bidi="ar-SA"/>
                    </w:rPr>
                    <w:t>在</w:t>
                  </w:r>
                  <w:r>
                    <w:rPr>
                      <w:rFonts w:hint="default" w:ascii="Times New Roman" w:hAnsi="Times New Roman" w:cs="Times New Roman" w:eastAsiaTheme="minorEastAsia"/>
                      <w:color w:val="auto"/>
                      <w:kern w:val="2"/>
                      <w:sz w:val="21"/>
                      <w:szCs w:val="21"/>
                      <w:highlight w:val="none"/>
                      <w:lang w:val="en-US" w:eastAsia="zh-CN" w:bidi="ar-SA"/>
                    </w:rPr>
                    <w:t>车间内排放。</w:t>
                  </w:r>
                </w:p>
              </w:tc>
              <w:tc>
                <w:tcPr>
                  <w:tcW w:w="744" w:type="dxa"/>
                  <w:shd w:val="clear" w:color="auto" w:fill="auto"/>
                  <w:vAlign w:val="center"/>
                </w:tcPr>
                <w:p w14:paraId="3098B72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eastAsiaTheme="minorEastAsia"/>
                      <w:color w:val="auto"/>
                      <w:sz w:val="21"/>
                      <w:szCs w:val="21"/>
                      <w:highlight w:val="none"/>
                      <w:lang w:val="en-US" w:eastAsia="zh-CN"/>
                    </w:rPr>
                    <w:t>新建</w:t>
                  </w:r>
                </w:p>
              </w:tc>
            </w:tr>
            <w:tr w14:paraId="6A39B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3F4350B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494" w:type="dxa"/>
                  <w:vMerge w:val="continue"/>
                  <w:vAlign w:val="center"/>
                </w:tcPr>
                <w:p w14:paraId="1516D71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1037" w:type="dxa"/>
                  <w:vAlign w:val="center"/>
                </w:tcPr>
                <w:p w14:paraId="4EB02F4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r>
                    <w:rPr>
                      <w:rFonts w:hint="eastAsia" w:eastAsiaTheme="minorEastAsia"/>
                      <w:color w:val="auto"/>
                      <w:sz w:val="21"/>
                      <w:szCs w:val="21"/>
                      <w:highlight w:val="none"/>
                      <w:lang w:val="en-US" w:eastAsia="zh-CN"/>
                    </w:rPr>
                    <w:t>搅拌机粉尘</w:t>
                  </w:r>
                </w:p>
              </w:tc>
              <w:tc>
                <w:tcPr>
                  <w:tcW w:w="5075" w:type="dxa"/>
                  <w:vAlign w:val="center"/>
                </w:tcPr>
                <w:p w14:paraId="5FFD5DA0">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2</w:t>
                  </w:r>
                  <w:r>
                    <w:rPr>
                      <w:rFonts w:hint="default" w:ascii="Times New Roman" w:hAnsi="Times New Roman" w:cs="Times New Roman" w:eastAsiaTheme="minorEastAsia"/>
                      <w:color w:val="auto"/>
                      <w:kern w:val="2"/>
                      <w:sz w:val="21"/>
                      <w:szCs w:val="21"/>
                      <w:highlight w:val="none"/>
                      <w:lang w:val="en-US" w:eastAsia="zh-CN" w:bidi="ar-SA"/>
                    </w:rPr>
                    <w:t>台混合机，</w:t>
                  </w:r>
                  <w:r>
                    <w:rPr>
                      <w:rFonts w:hint="eastAsia" w:cs="Times New Roman" w:eastAsiaTheme="minorEastAsia"/>
                      <w:color w:val="auto"/>
                      <w:kern w:val="2"/>
                      <w:sz w:val="21"/>
                      <w:szCs w:val="21"/>
                      <w:highlight w:val="none"/>
                      <w:lang w:val="en-US" w:eastAsia="zh-CN" w:bidi="ar-SA"/>
                    </w:rPr>
                    <w:t>配套2套</w:t>
                  </w:r>
                  <w:r>
                    <w:rPr>
                      <w:rFonts w:hint="default" w:cs="Times New Roman"/>
                      <w:i w:val="0"/>
                      <w:iCs w:val="0"/>
                      <w:color w:val="auto"/>
                      <w:kern w:val="0"/>
                      <w:sz w:val="21"/>
                      <w:szCs w:val="21"/>
                      <w:highlight w:val="none"/>
                      <w:u w:val="none"/>
                      <w:lang w:val="en-US" w:eastAsia="zh-CN"/>
                    </w:rPr>
                    <w:t>脉冲</w:t>
                  </w:r>
                  <w:r>
                    <w:rPr>
                      <w:rFonts w:hint="default" w:ascii="Times New Roman" w:hAnsi="Times New Roman" w:cs="Times New Roman" w:eastAsiaTheme="minorEastAsia"/>
                      <w:color w:val="auto"/>
                      <w:kern w:val="2"/>
                      <w:sz w:val="21"/>
                      <w:szCs w:val="21"/>
                      <w:highlight w:val="none"/>
                      <w:lang w:val="en-US" w:eastAsia="zh-CN" w:bidi="ar-SA"/>
                    </w:rPr>
                    <w:t>布袋除尘器，粉尘经负压管道收集</w:t>
                  </w:r>
                  <w:r>
                    <w:rPr>
                      <w:rFonts w:hint="eastAsia" w:cs="Times New Roman" w:eastAsiaTheme="minorEastAsia"/>
                      <w:color w:val="auto"/>
                      <w:kern w:val="2"/>
                      <w:sz w:val="21"/>
                      <w:szCs w:val="21"/>
                      <w:highlight w:val="none"/>
                      <w:lang w:val="en-US" w:eastAsia="zh-CN" w:bidi="ar-SA"/>
                    </w:rPr>
                    <w:t>，</w:t>
                  </w:r>
                  <w:r>
                    <w:rPr>
                      <w:rFonts w:hint="default" w:ascii="Times New Roman" w:hAnsi="Times New Roman" w:cs="Times New Roman" w:eastAsiaTheme="minorEastAsia"/>
                      <w:color w:val="auto"/>
                      <w:kern w:val="2"/>
                      <w:sz w:val="21"/>
                      <w:szCs w:val="21"/>
                      <w:highlight w:val="none"/>
                      <w:lang w:val="en-US" w:eastAsia="zh-CN" w:bidi="ar-SA"/>
                    </w:rPr>
                    <w:t>通过除尘器处理后</w:t>
                  </w:r>
                  <w:r>
                    <w:rPr>
                      <w:rFonts w:hint="eastAsia"/>
                      <w:lang w:eastAsia="zh-CN"/>
                    </w:rPr>
                    <w:t>，</w:t>
                  </w:r>
                  <w:r>
                    <w:rPr>
                      <w:rFonts w:hint="default" w:ascii="Times New Roman" w:hAnsi="Times New Roman" w:cs="Times New Roman" w:eastAsiaTheme="minorEastAsia"/>
                      <w:color w:val="auto"/>
                      <w:kern w:val="2"/>
                      <w:sz w:val="21"/>
                      <w:szCs w:val="21"/>
                      <w:highlight w:val="none"/>
                      <w:lang w:val="en-US" w:eastAsia="zh-CN" w:bidi="ar-SA"/>
                    </w:rPr>
                    <w:t>车间内排放。</w:t>
                  </w:r>
                </w:p>
              </w:tc>
              <w:tc>
                <w:tcPr>
                  <w:tcW w:w="744" w:type="dxa"/>
                  <w:shd w:val="clear" w:color="auto" w:fill="auto"/>
                  <w:vAlign w:val="center"/>
                </w:tcPr>
                <w:p w14:paraId="1620B55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eastAsiaTheme="minorEastAsia"/>
                      <w:color w:val="auto"/>
                      <w:sz w:val="21"/>
                      <w:szCs w:val="21"/>
                      <w:highlight w:val="none"/>
                      <w:lang w:val="en-US" w:eastAsia="zh-CN"/>
                    </w:rPr>
                    <w:t>新建</w:t>
                  </w:r>
                </w:p>
              </w:tc>
            </w:tr>
            <w:tr w14:paraId="4D63E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6A5B1E3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494" w:type="dxa"/>
                  <w:vMerge w:val="continue"/>
                  <w:vAlign w:val="center"/>
                </w:tcPr>
                <w:p w14:paraId="109694E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1037" w:type="dxa"/>
                  <w:vAlign w:val="center"/>
                </w:tcPr>
                <w:p w14:paraId="5818C31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投料粉尘</w:t>
                  </w:r>
                </w:p>
              </w:tc>
              <w:tc>
                <w:tcPr>
                  <w:tcW w:w="5075" w:type="dxa"/>
                  <w:vAlign w:val="center"/>
                </w:tcPr>
                <w:p w14:paraId="75494A65">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rPr>
                    <w:t>经1套脉冲式布袋除尘器，</w:t>
                  </w:r>
                  <w:r>
                    <w:rPr>
                      <w:rFonts w:hint="default" w:ascii="Times New Roman" w:hAnsi="Times New Roman" w:cs="Times New Roman" w:eastAsiaTheme="minorEastAsia"/>
                      <w:color w:val="auto"/>
                      <w:kern w:val="2"/>
                      <w:sz w:val="21"/>
                      <w:szCs w:val="21"/>
                      <w:highlight w:val="none"/>
                      <w:lang w:val="en-US" w:eastAsia="zh-CN" w:bidi="ar-SA"/>
                    </w:rPr>
                    <w:t>粉尘经负压管道收集后</w:t>
                  </w:r>
                  <w:r>
                    <w:rPr>
                      <w:rFonts w:hint="eastAsia"/>
                      <w:lang w:eastAsia="zh-CN"/>
                    </w:rPr>
                    <w:t>，</w:t>
                  </w:r>
                  <w:r>
                    <w:rPr>
                      <w:rFonts w:hint="default" w:ascii="Times New Roman" w:hAnsi="Times New Roman" w:cs="Times New Roman" w:eastAsiaTheme="minorEastAsia"/>
                      <w:color w:val="auto"/>
                      <w:kern w:val="2"/>
                      <w:sz w:val="21"/>
                      <w:szCs w:val="21"/>
                      <w:highlight w:val="none"/>
                      <w:lang w:val="en-US" w:eastAsia="zh-CN" w:bidi="ar-SA"/>
                    </w:rPr>
                    <w:t>通过除尘器处理后</w:t>
                  </w:r>
                  <w:r>
                    <w:rPr>
                      <w:rFonts w:hint="eastAsia"/>
                      <w:lang w:val="en-US" w:eastAsia="zh-CN"/>
                    </w:rPr>
                    <w:t>在</w:t>
                  </w:r>
                  <w:r>
                    <w:rPr>
                      <w:rFonts w:hint="default" w:ascii="Times New Roman" w:hAnsi="Times New Roman" w:cs="Times New Roman" w:eastAsiaTheme="minorEastAsia"/>
                      <w:color w:val="auto"/>
                      <w:kern w:val="2"/>
                      <w:sz w:val="21"/>
                      <w:szCs w:val="21"/>
                      <w:highlight w:val="none"/>
                      <w:lang w:val="en-US" w:eastAsia="zh-CN" w:bidi="ar-SA"/>
                    </w:rPr>
                    <w:t>车间内排放</w:t>
                  </w:r>
                </w:p>
              </w:tc>
              <w:tc>
                <w:tcPr>
                  <w:tcW w:w="744" w:type="dxa"/>
                  <w:shd w:val="clear" w:color="auto" w:fill="auto"/>
                  <w:vAlign w:val="center"/>
                </w:tcPr>
                <w:p w14:paraId="6E39EDD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eastAsiaTheme="minorEastAsia"/>
                      <w:color w:val="auto"/>
                      <w:sz w:val="21"/>
                      <w:szCs w:val="21"/>
                      <w:highlight w:val="none"/>
                      <w:lang w:val="en-US" w:eastAsia="zh-CN"/>
                    </w:rPr>
                    <w:t>新建</w:t>
                  </w:r>
                </w:p>
              </w:tc>
            </w:tr>
            <w:tr w14:paraId="177E5F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52C7952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494" w:type="dxa"/>
                  <w:vMerge w:val="continue"/>
                  <w:vAlign w:val="center"/>
                </w:tcPr>
                <w:p w14:paraId="7600DCA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1037" w:type="dxa"/>
                  <w:vAlign w:val="center"/>
                </w:tcPr>
                <w:p w14:paraId="244C701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散装粉尘</w:t>
                  </w:r>
                </w:p>
              </w:tc>
              <w:tc>
                <w:tcPr>
                  <w:tcW w:w="5075" w:type="dxa"/>
                  <w:vAlign w:val="center"/>
                </w:tcPr>
                <w:p w14:paraId="462EA04C">
                  <w:pPr>
                    <w:keepNext w:val="0"/>
                    <w:keepLines w:val="0"/>
                    <w:pageBreakBefore w:val="0"/>
                    <w:widowControl/>
                    <w:suppressLineNumbers w:val="0"/>
                    <w:kinsoku/>
                    <w:wordWrap/>
                    <w:overflowPunct/>
                    <w:topLinePunct w:val="0"/>
                    <w:autoSpaceDE/>
                    <w:autoSpaceDN/>
                    <w:bidi w:val="0"/>
                    <w:snapToGrid w:val="0"/>
                    <w:spacing w:line="240" w:lineRule="auto"/>
                    <w:jc w:val="left"/>
                    <w:textAlignment w:val="auto"/>
                    <w:rPr>
                      <w:rFonts w:hint="eastAsia" w:cs="Times New Roman"/>
                      <w:i w:val="0"/>
                      <w:iCs w:val="0"/>
                      <w:color w:val="auto"/>
                      <w:kern w:val="0"/>
                      <w:sz w:val="21"/>
                      <w:szCs w:val="21"/>
                      <w:highlight w:val="none"/>
                      <w:u w:val="none"/>
                      <w:lang w:val="en-US" w:eastAsia="zh-CN"/>
                    </w:rPr>
                  </w:pPr>
                  <w:r>
                    <w:rPr>
                      <w:rFonts w:hint="eastAsia" w:ascii="宋体" w:hAnsi="宋体" w:eastAsia="宋体" w:cs="宋体"/>
                      <w:color w:val="auto"/>
                      <w:kern w:val="0"/>
                      <w:sz w:val="21"/>
                      <w:szCs w:val="21"/>
                      <w:highlight w:val="none"/>
                      <w:lang w:val="en-US" w:eastAsia="zh-CN"/>
                    </w:rPr>
                    <w:t>散装包装设置2套脉冲布袋除尘器，粉尘经负压管道收集后通过布袋除尘器处理后</w:t>
                  </w:r>
                  <w:r>
                    <w:rPr>
                      <w:rFonts w:hint="eastAsia"/>
                      <w:lang w:val="en-US" w:eastAsia="zh-CN"/>
                    </w:rPr>
                    <w:t>在</w:t>
                  </w:r>
                  <w:r>
                    <w:rPr>
                      <w:rFonts w:hint="eastAsia" w:ascii="宋体" w:hAnsi="宋体" w:eastAsia="宋体" w:cs="宋体"/>
                      <w:color w:val="auto"/>
                      <w:kern w:val="0"/>
                      <w:sz w:val="21"/>
                      <w:szCs w:val="21"/>
                      <w:highlight w:val="none"/>
                      <w:lang w:val="en-US" w:eastAsia="zh-CN"/>
                    </w:rPr>
                    <w:t>车间内排放。</w:t>
                  </w:r>
                </w:p>
              </w:tc>
              <w:tc>
                <w:tcPr>
                  <w:tcW w:w="744" w:type="dxa"/>
                  <w:shd w:val="clear" w:color="auto" w:fill="auto"/>
                  <w:vAlign w:val="center"/>
                </w:tcPr>
                <w:p w14:paraId="3A5F15F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新建</w:t>
                  </w:r>
                </w:p>
              </w:tc>
            </w:tr>
            <w:tr w14:paraId="18C19D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72053E7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494" w:type="dxa"/>
                  <w:vMerge w:val="continue"/>
                  <w:vAlign w:val="center"/>
                </w:tcPr>
                <w:p w14:paraId="067603F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1037" w:type="dxa"/>
                  <w:vAlign w:val="center"/>
                </w:tcPr>
                <w:p w14:paraId="0BE2DD43">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包装粉尘</w:t>
                  </w:r>
                </w:p>
              </w:tc>
              <w:tc>
                <w:tcPr>
                  <w:tcW w:w="5075" w:type="dxa"/>
                  <w:vAlign w:val="center"/>
                </w:tcPr>
                <w:p w14:paraId="2CA0F89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cs="Times New Roman"/>
                      <w:i w:val="0"/>
                      <w:iCs w:val="0"/>
                      <w:color w:val="auto"/>
                      <w:kern w:val="0"/>
                      <w:sz w:val="21"/>
                      <w:szCs w:val="21"/>
                      <w:highlight w:val="none"/>
                      <w:u w:val="none"/>
                      <w:lang w:val="en-US" w:eastAsia="zh-CN"/>
                    </w:rPr>
                  </w:pPr>
                  <w:r>
                    <w:rPr>
                      <w:rFonts w:hint="eastAsia" w:ascii="宋体" w:hAnsi="宋体" w:eastAsia="宋体" w:cs="宋体"/>
                      <w:color w:val="auto"/>
                      <w:kern w:val="0"/>
                      <w:sz w:val="21"/>
                      <w:szCs w:val="21"/>
                      <w:highlight w:val="none"/>
                      <w:lang w:val="en-US" w:eastAsia="zh-CN"/>
                    </w:rPr>
                    <w:t>粉尘经负压管道收集后通过</w:t>
                  </w:r>
                  <w:r>
                    <w:rPr>
                      <w:rFonts w:hint="eastAsia" w:ascii="宋体" w:hAnsi="宋体" w:cs="宋体"/>
                      <w:color w:val="auto"/>
                      <w:kern w:val="0"/>
                      <w:sz w:val="21"/>
                      <w:szCs w:val="21"/>
                      <w:highlight w:val="none"/>
                      <w:lang w:val="en-US" w:eastAsia="zh-CN"/>
                    </w:rPr>
                    <w:t>脉冲式</w:t>
                  </w:r>
                  <w:r>
                    <w:rPr>
                      <w:rFonts w:hint="eastAsia" w:ascii="宋体" w:hAnsi="宋体" w:eastAsia="宋体" w:cs="宋体"/>
                      <w:color w:val="auto"/>
                      <w:kern w:val="0"/>
                      <w:sz w:val="21"/>
                      <w:szCs w:val="21"/>
                      <w:highlight w:val="none"/>
                      <w:lang w:val="en-US" w:eastAsia="zh-CN"/>
                    </w:rPr>
                    <w:t>布袋除尘器处理后</w:t>
                  </w:r>
                  <w:r>
                    <w:rPr>
                      <w:rFonts w:hint="eastAsia" w:ascii="宋体" w:hAnsi="宋体" w:cs="宋体"/>
                      <w:color w:val="auto"/>
                      <w:kern w:val="0"/>
                      <w:sz w:val="21"/>
                      <w:szCs w:val="21"/>
                      <w:highlight w:val="none"/>
                      <w:lang w:val="en-US" w:eastAsia="zh-CN"/>
                    </w:rPr>
                    <w:t>在</w:t>
                  </w:r>
                  <w:r>
                    <w:rPr>
                      <w:rFonts w:hint="eastAsia" w:ascii="宋体" w:hAnsi="宋体" w:eastAsia="宋体" w:cs="宋体"/>
                      <w:color w:val="auto"/>
                      <w:kern w:val="0"/>
                      <w:sz w:val="21"/>
                      <w:szCs w:val="21"/>
                      <w:highlight w:val="none"/>
                      <w:lang w:val="en-US" w:eastAsia="zh-CN"/>
                    </w:rPr>
                    <w:t>车间内排放</w:t>
                  </w:r>
                  <w:r>
                    <w:rPr>
                      <w:rFonts w:hint="eastAsia" w:cs="Times New Roman"/>
                      <w:i w:val="0"/>
                      <w:iCs w:val="0"/>
                      <w:color w:val="auto"/>
                      <w:kern w:val="0"/>
                      <w:sz w:val="21"/>
                      <w:szCs w:val="21"/>
                      <w:highlight w:val="none"/>
                      <w:u w:val="none"/>
                      <w:lang w:val="en-US" w:eastAsia="zh-CN"/>
                    </w:rPr>
                    <w:t>。</w:t>
                  </w:r>
                </w:p>
              </w:tc>
              <w:tc>
                <w:tcPr>
                  <w:tcW w:w="744" w:type="dxa"/>
                  <w:shd w:val="clear" w:color="auto" w:fill="auto"/>
                  <w:vAlign w:val="center"/>
                </w:tcPr>
                <w:p w14:paraId="0529E1D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新建</w:t>
                  </w:r>
                </w:p>
              </w:tc>
            </w:tr>
            <w:tr w14:paraId="5E85D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0DDA723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494" w:type="dxa"/>
                  <w:vMerge w:val="continue"/>
                  <w:vAlign w:val="center"/>
                </w:tcPr>
                <w:p w14:paraId="7A64780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1037" w:type="dxa"/>
                  <w:vAlign w:val="center"/>
                </w:tcPr>
                <w:p w14:paraId="2B71E98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车辆运输扬尘</w:t>
                  </w:r>
                </w:p>
              </w:tc>
              <w:tc>
                <w:tcPr>
                  <w:tcW w:w="5075" w:type="dxa"/>
                  <w:vAlign w:val="center"/>
                </w:tcPr>
                <w:p w14:paraId="1767381C">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依托现有项目设置洗车台，厂区地面硬化并加大对地面的清扫和洒水频率，控制车速等措施，减少车辆运输产生的扬尘</w:t>
                  </w:r>
                </w:p>
              </w:tc>
              <w:tc>
                <w:tcPr>
                  <w:tcW w:w="744" w:type="dxa"/>
                  <w:shd w:val="clear" w:color="auto" w:fill="auto"/>
                  <w:vAlign w:val="center"/>
                </w:tcPr>
                <w:p w14:paraId="1627B3C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依托</w:t>
                  </w:r>
                </w:p>
              </w:tc>
            </w:tr>
            <w:tr w14:paraId="1921AD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03744B4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1531" w:type="dxa"/>
                  <w:gridSpan w:val="2"/>
                  <w:vMerge w:val="restart"/>
                  <w:vAlign w:val="center"/>
                </w:tcPr>
                <w:p w14:paraId="18CB714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废水治理</w:t>
                  </w:r>
                </w:p>
              </w:tc>
              <w:tc>
                <w:tcPr>
                  <w:tcW w:w="5075" w:type="dxa"/>
                  <w:vAlign w:val="center"/>
                </w:tcPr>
                <w:p w14:paraId="164DE9A2">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车辆冲洗废水经洗车平台沉淀池沉淀后回用于洗车，不外排</w:t>
                  </w:r>
                </w:p>
              </w:tc>
              <w:tc>
                <w:tcPr>
                  <w:tcW w:w="744" w:type="dxa"/>
                  <w:vAlign w:val="center"/>
                </w:tcPr>
                <w:p w14:paraId="04FA0A5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依托现有</w:t>
                  </w:r>
                </w:p>
              </w:tc>
            </w:tr>
            <w:tr w14:paraId="7D20FA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2C5EDE6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1531" w:type="dxa"/>
                  <w:gridSpan w:val="2"/>
                  <w:vMerge w:val="continue"/>
                  <w:vAlign w:val="center"/>
                </w:tcPr>
                <w:p w14:paraId="5D2A834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Theme="minorEastAsia"/>
                      <w:color w:val="auto"/>
                      <w:sz w:val="21"/>
                      <w:szCs w:val="21"/>
                      <w:highlight w:val="none"/>
                      <w:lang w:val="en-US" w:eastAsia="zh-CN"/>
                    </w:rPr>
                  </w:pPr>
                </w:p>
              </w:tc>
              <w:tc>
                <w:tcPr>
                  <w:tcW w:w="5075" w:type="dxa"/>
                  <w:vAlign w:val="center"/>
                </w:tcPr>
                <w:p w14:paraId="6EE38DB4">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本项目不新增劳动定员，无新增生活污水</w:t>
                  </w:r>
                </w:p>
              </w:tc>
              <w:tc>
                <w:tcPr>
                  <w:tcW w:w="744" w:type="dxa"/>
                  <w:vAlign w:val="center"/>
                </w:tcPr>
                <w:p w14:paraId="77A89EE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Theme="minorEastAsia"/>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3EC1AF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40A135D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1531" w:type="dxa"/>
                  <w:gridSpan w:val="2"/>
                  <w:vAlign w:val="center"/>
                </w:tcPr>
                <w:p w14:paraId="01AEC7A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Theme="minorEastAsia"/>
                      <w:color w:val="auto"/>
                      <w:sz w:val="21"/>
                      <w:szCs w:val="21"/>
                      <w:highlight w:val="none"/>
                      <w:lang w:val="en-US" w:eastAsia="zh-CN"/>
                    </w:rPr>
                  </w:pPr>
                  <w:r>
                    <w:rPr>
                      <w:rFonts w:eastAsiaTheme="minorEastAsia"/>
                      <w:color w:val="auto"/>
                      <w:sz w:val="21"/>
                      <w:szCs w:val="21"/>
                      <w:highlight w:val="none"/>
                    </w:rPr>
                    <w:t>噪声</w:t>
                  </w:r>
                  <w:r>
                    <w:rPr>
                      <w:rFonts w:hint="eastAsia" w:eastAsiaTheme="minorEastAsia"/>
                      <w:color w:val="auto"/>
                      <w:sz w:val="21"/>
                      <w:szCs w:val="21"/>
                      <w:highlight w:val="none"/>
                      <w:lang w:val="en-US" w:eastAsia="zh-CN"/>
                    </w:rPr>
                    <w:t>治理</w:t>
                  </w:r>
                </w:p>
              </w:tc>
              <w:tc>
                <w:tcPr>
                  <w:tcW w:w="5075" w:type="dxa"/>
                  <w:vAlign w:val="center"/>
                </w:tcPr>
                <w:p w14:paraId="7168507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采用基础减振、合理布局、加装消声器、厂房隔声等措施</w:t>
                  </w:r>
                </w:p>
              </w:tc>
              <w:tc>
                <w:tcPr>
                  <w:tcW w:w="744" w:type="dxa"/>
                  <w:vAlign w:val="center"/>
                </w:tcPr>
                <w:p w14:paraId="77BD767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新建</w:t>
                  </w:r>
                </w:p>
              </w:tc>
            </w:tr>
            <w:tr w14:paraId="1F3F4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44ACA87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494" w:type="dxa"/>
                  <w:vMerge w:val="restart"/>
                  <w:vAlign w:val="center"/>
                </w:tcPr>
                <w:p w14:paraId="463668F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Theme="minorEastAsia"/>
                      <w:color w:val="auto"/>
                      <w:sz w:val="21"/>
                      <w:szCs w:val="21"/>
                      <w:highlight w:val="none"/>
                      <w:lang w:val="en-US" w:eastAsia="zh-CN"/>
                    </w:rPr>
                  </w:pPr>
                  <w:r>
                    <w:rPr>
                      <w:rFonts w:eastAsiaTheme="minorEastAsia"/>
                      <w:color w:val="auto"/>
                      <w:sz w:val="21"/>
                      <w:szCs w:val="21"/>
                      <w:highlight w:val="none"/>
                    </w:rPr>
                    <w:t>固废</w:t>
                  </w:r>
                  <w:r>
                    <w:rPr>
                      <w:rFonts w:hint="eastAsia" w:eastAsiaTheme="minorEastAsia"/>
                      <w:color w:val="auto"/>
                      <w:sz w:val="21"/>
                      <w:szCs w:val="21"/>
                      <w:highlight w:val="none"/>
                      <w:lang w:val="en-US" w:eastAsia="zh-CN"/>
                    </w:rPr>
                    <w:t>治理</w:t>
                  </w:r>
                </w:p>
              </w:tc>
              <w:tc>
                <w:tcPr>
                  <w:tcW w:w="1037" w:type="dxa"/>
                  <w:vAlign w:val="center"/>
                </w:tcPr>
                <w:p w14:paraId="279E3D5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除尘器收集粉尘</w:t>
                  </w:r>
                </w:p>
              </w:tc>
              <w:tc>
                <w:tcPr>
                  <w:tcW w:w="5075" w:type="dxa"/>
                  <w:vAlign w:val="center"/>
                </w:tcPr>
                <w:p w14:paraId="20AE978A">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除尘器收集粉尘经收集后回用于生产</w:t>
                  </w:r>
                </w:p>
              </w:tc>
              <w:tc>
                <w:tcPr>
                  <w:tcW w:w="744" w:type="dxa"/>
                  <w:vAlign w:val="center"/>
                </w:tcPr>
                <w:p w14:paraId="52BF364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新建</w:t>
                  </w:r>
                </w:p>
              </w:tc>
            </w:tr>
            <w:tr w14:paraId="47BFB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087E028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494" w:type="dxa"/>
                  <w:vMerge w:val="continue"/>
                  <w:vAlign w:val="center"/>
                </w:tcPr>
                <w:p w14:paraId="17DE097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1037" w:type="dxa"/>
                  <w:vAlign w:val="center"/>
                </w:tcPr>
                <w:p w14:paraId="2597B2F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废布袋</w:t>
                  </w:r>
                </w:p>
              </w:tc>
              <w:tc>
                <w:tcPr>
                  <w:tcW w:w="5075" w:type="dxa"/>
                  <w:vMerge w:val="restart"/>
                  <w:vAlign w:val="center"/>
                </w:tcPr>
                <w:p w14:paraId="2955EB3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收集后经专业公司回收处置</w:t>
                  </w:r>
                </w:p>
              </w:tc>
              <w:tc>
                <w:tcPr>
                  <w:tcW w:w="744" w:type="dxa"/>
                  <w:vMerge w:val="restart"/>
                  <w:vAlign w:val="center"/>
                </w:tcPr>
                <w:p w14:paraId="709C7C1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依托现有</w:t>
                  </w:r>
                </w:p>
              </w:tc>
            </w:tr>
            <w:tr w14:paraId="10EAA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5703F27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494" w:type="dxa"/>
                  <w:vMerge w:val="continue"/>
                  <w:vAlign w:val="center"/>
                </w:tcPr>
                <w:p w14:paraId="4335AF1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1037" w:type="dxa"/>
                  <w:vAlign w:val="center"/>
                </w:tcPr>
                <w:p w14:paraId="72BC702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废包装袋</w:t>
                  </w:r>
                </w:p>
              </w:tc>
              <w:tc>
                <w:tcPr>
                  <w:tcW w:w="5075" w:type="dxa"/>
                  <w:vMerge w:val="continue"/>
                  <w:vAlign w:val="center"/>
                </w:tcPr>
                <w:p w14:paraId="258CBB90">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cs="Times New Roman" w:eastAsiaTheme="minorEastAsia"/>
                      <w:color w:val="auto"/>
                      <w:kern w:val="2"/>
                      <w:sz w:val="21"/>
                      <w:szCs w:val="21"/>
                      <w:highlight w:val="none"/>
                      <w:lang w:val="en-US" w:eastAsia="zh-CN" w:bidi="ar-SA"/>
                    </w:rPr>
                  </w:pPr>
                </w:p>
              </w:tc>
              <w:tc>
                <w:tcPr>
                  <w:tcW w:w="744" w:type="dxa"/>
                  <w:vMerge w:val="continue"/>
                  <w:vAlign w:val="center"/>
                </w:tcPr>
                <w:p w14:paraId="36C44BB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Theme="minorEastAsia"/>
                      <w:color w:val="auto"/>
                      <w:sz w:val="21"/>
                      <w:szCs w:val="21"/>
                      <w:highlight w:val="none"/>
                      <w:lang w:val="en-US" w:eastAsia="zh-CN"/>
                    </w:rPr>
                  </w:pPr>
                </w:p>
              </w:tc>
            </w:tr>
            <w:tr w14:paraId="5271F1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149D381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494" w:type="dxa"/>
                  <w:vMerge w:val="continue"/>
                  <w:vAlign w:val="center"/>
                </w:tcPr>
                <w:p w14:paraId="15BFDC0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highlight w:val="none"/>
                    </w:rPr>
                  </w:pPr>
                </w:p>
              </w:tc>
              <w:tc>
                <w:tcPr>
                  <w:tcW w:w="1037" w:type="dxa"/>
                  <w:vAlign w:val="center"/>
                </w:tcPr>
                <w:p w14:paraId="33B185E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废润</w:t>
                  </w:r>
                </w:p>
                <w:p w14:paraId="1E9D545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滑油</w:t>
                  </w:r>
                </w:p>
              </w:tc>
              <w:tc>
                <w:tcPr>
                  <w:tcW w:w="5075" w:type="dxa"/>
                  <w:vAlign w:val="center"/>
                </w:tcPr>
                <w:p w14:paraId="553084C3">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废润滑油经收集后送至厂区现有危废贮存库暂存，依托现有水泥窑协同处置100000t/a危险废物项目进行协同处置</w:t>
                  </w:r>
                </w:p>
              </w:tc>
              <w:tc>
                <w:tcPr>
                  <w:tcW w:w="744" w:type="dxa"/>
                  <w:vAlign w:val="center"/>
                </w:tcPr>
                <w:p w14:paraId="406F5E9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依托现有</w:t>
                  </w:r>
                </w:p>
              </w:tc>
            </w:tr>
            <w:tr w14:paraId="2B3F4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restart"/>
                  <w:vAlign w:val="center"/>
                </w:tcPr>
                <w:p w14:paraId="42B2D3F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依托工程</w:t>
                  </w:r>
                </w:p>
              </w:tc>
              <w:tc>
                <w:tcPr>
                  <w:tcW w:w="1531" w:type="dxa"/>
                  <w:gridSpan w:val="2"/>
                  <w:vAlign w:val="center"/>
                </w:tcPr>
                <w:p w14:paraId="28DD771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水泥</w:t>
                  </w:r>
                </w:p>
              </w:tc>
              <w:tc>
                <w:tcPr>
                  <w:tcW w:w="5075" w:type="dxa"/>
                  <w:vAlign w:val="center"/>
                </w:tcPr>
                <w:p w14:paraId="4F46F0BF">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cs="Times New Roman" w:eastAsiaTheme="minorEastAsia"/>
                      <w:color w:val="auto"/>
                      <w:kern w:val="2"/>
                      <w:sz w:val="21"/>
                      <w:szCs w:val="21"/>
                      <w:highlight w:val="none"/>
                      <w:lang w:val="en-US" w:eastAsia="zh-CN" w:bidi="ar-SA"/>
                    </w:rPr>
                  </w:pPr>
                  <w:r>
                    <w:rPr>
                      <w:rFonts w:hint="default" w:cs="Times New Roman" w:eastAsiaTheme="minorEastAsia"/>
                      <w:color w:val="auto"/>
                      <w:kern w:val="2"/>
                      <w:sz w:val="21"/>
                      <w:szCs w:val="21"/>
                      <w:highlight w:val="none"/>
                      <w:lang w:val="en-US" w:eastAsia="zh-CN" w:bidi="ar-SA"/>
                    </w:rPr>
                    <w:t>年产200万吨水泥生产线</w:t>
                  </w:r>
                </w:p>
              </w:tc>
              <w:tc>
                <w:tcPr>
                  <w:tcW w:w="744" w:type="dxa"/>
                  <w:vMerge w:val="restart"/>
                  <w:vAlign w:val="center"/>
                </w:tcPr>
                <w:p w14:paraId="1B4F062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依托现有</w:t>
                  </w:r>
                </w:p>
              </w:tc>
            </w:tr>
            <w:tr w14:paraId="6EC7C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462A65C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p>
              </w:tc>
              <w:tc>
                <w:tcPr>
                  <w:tcW w:w="1531" w:type="dxa"/>
                  <w:gridSpan w:val="2"/>
                  <w:vAlign w:val="center"/>
                </w:tcPr>
                <w:p w14:paraId="54F3295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熟料</w:t>
                  </w:r>
                </w:p>
              </w:tc>
              <w:tc>
                <w:tcPr>
                  <w:tcW w:w="5075" w:type="dxa"/>
                  <w:vAlign w:val="center"/>
                </w:tcPr>
                <w:p w14:paraId="20F6795A">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日产4500t熟料生产线</w:t>
                  </w:r>
                </w:p>
              </w:tc>
              <w:tc>
                <w:tcPr>
                  <w:tcW w:w="744" w:type="dxa"/>
                  <w:vMerge w:val="continue"/>
                  <w:vAlign w:val="center"/>
                </w:tcPr>
                <w:p w14:paraId="2B179DA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p>
              </w:tc>
            </w:tr>
            <w:tr w14:paraId="314CF9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45C8925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p>
              </w:tc>
              <w:tc>
                <w:tcPr>
                  <w:tcW w:w="1531" w:type="dxa"/>
                  <w:gridSpan w:val="2"/>
                  <w:vAlign w:val="center"/>
                </w:tcPr>
                <w:p w14:paraId="4E9B934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危废处理</w:t>
                  </w:r>
                </w:p>
              </w:tc>
              <w:tc>
                <w:tcPr>
                  <w:tcW w:w="5075" w:type="dxa"/>
                  <w:vAlign w:val="center"/>
                </w:tcPr>
                <w:p w14:paraId="2D70A273">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利用水泥窑协同处置100000t/a危险废物项目</w:t>
                  </w:r>
                </w:p>
              </w:tc>
              <w:tc>
                <w:tcPr>
                  <w:tcW w:w="744" w:type="dxa"/>
                  <w:vMerge w:val="continue"/>
                  <w:vAlign w:val="center"/>
                </w:tcPr>
                <w:p w14:paraId="54D3A08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p>
              </w:tc>
            </w:tr>
            <w:tr w14:paraId="6F4B0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7" w:type="dxa"/>
                  <w:vMerge w:val="continue"/>
                  <w:vAlign w:val="center"/>
                </w:tcPr>
                <w:p w14:paraId="6F6C2CF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Theme="minorEastAsia"/>
                      <w:color w:val="auto"/>
                      <w:sz w:val="21"/>
                      <w:szCs w:val="21"/>
                      <w:highlight w:val="none"/>
                      <w:lang w:val="en-US" w:eastAsia="zh-CN"/>
                    </w:rPr>
                  </w:pPr>
                </w:p>
              </w:tc>
              <w:tc>
                <w:tcPr>
                  <w:tcW w:w="1531" w:type="dxa"/>
                  <w:gridSpan w:val="2"/>
                  <w:vAlign w:val="center"/>
                </w:tcPr>
                <w:p w14:paraId="1BA3C21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车辆冲洗废水</w:t>
                  </w:r>
                </w:p>
              </w:tc>
              <w:tc>
                <w:tcPr>
                  <w:tcW w:w="5075" w:type="dxa"/>
                  <w:vAlign w:val="center"/>
                </w:tcPr>
                <w:p w14:paraId="5397555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洗车台+沉淀池</w:t>
                  </w:r>
                </w:p>
              </w:tc>
              <w:tc>
                <w:tcPr>
                  <w:tcW w:w="744" w:type="dxa"/>
                  <w:vMerge w:val="continue"/>
                  <w:vAlign w:val="center"/>
                </w:tcPr>
                <w:p w14:paraId="0F402BF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Theme="minorEastAsia"/>
                      <w:color w:val="auto"/>
                      <w:sz w:val="21"/>
                      <w:szCs w:val="21"/>
                      <w:highlight w:val="none"/>
                      <w:lang w:val="en-US" w:eastAsia="zh-CN"/>
                    </w:rPr>
                  </w:pPr>
                </w:p>
              </w:tc>
            </w:tr>
          </w:tbl>
          <w:p w14:paraId="0E12295C">
            <w:pPr>
              <w:numPr>
                <w:ilvl w:val="0"/>
                <w:numId w:val="5"/>
              </w:numPr>
              <w:adjustRightInd w:val="0"/>
              <w:snapToGrid w:val="0"/>
              <w:spacing w:line="360" w:lineRule="auto"/>
              <w:ind w:left="-60" w:leftChars="0" w:firstLine="480" w:firstLineChars="0"/>
              <w:rPr>
                <w:rFonts w:hint="eastAsia" w:eastAsiaTheme="minorEastAsia"/>
                <w:color w:val="auto"/>
                <w:sz w:val="24"/>
                <w:highlight w:val="none"/>
                <w:lang w:val="en-US" w:eastAsia="zh-CN"/>
              </w:rPr>
            </w:pPr>
            <w:r>
              <w:rPr>
                <w:rFonts w:hint="eastAsia" w:eastAsiaTheme="minorEastAsia"/>
                <w:color w:val="auto"/>
                <w:sz w:val="24"/>
                <w:highlight w:val="none"/>
                <w:lang w:val="en-US" w:eastAsia="zh-CN"/>
              </w:rPr>
              <w:t>产品方案</w:t>
            </w:r>
          </w:p>
          <w:p w14:paraId="60918D81">
            <w:pPr>
              <w:numPr>
                <w:ilvl w:val="0"/>
                <w:numId w:val="0"/>
              </w:numPr>
              <w:adjustRightInd w:val="0"/>
              <w:snapToGrid w:val="0"/>
              <w:spacing w:line="360" w:lineRule="auto"/>
              <w:ind w:firstLine="480" w:firstLineChars="200"/>
              <w:rPr>
                <w:rFonts w:eastAsiaTheme="minorEastAsia"/>
                <w:color w:val="auto"/>
                <w:sz w:val="24"/>
                <w:highlight w:val="none"/>
              </w:rPr>
            </w:pPr>
            <w:r>
              <w:rPr>
                <w:rFonts w:hint="eastAsia" w:eastAsiaTheme="minorEastAsia"/>
                <w:color w:val="auto"/>
                <w:sz w:val="24"/>
                <w:highlight w:val="none"/>
                <w:lang w:val="en-US" w:eastAsia="zh-CN"/>
              </w:rPr>
              <w:t>具体</w:t>
            </w:r>
            <w:r>
              <w:rPr>
                <w:rFonts w:eastAsiaTheme="minorEastAsia"/>
                <w:color w:val="auto"/>
                <w:sz w:val="24"/>
                <w:highlight w:val="none"/>
              </w:rPr>
              <w:t>产品方案见表2-</w:t>
            </w:r>
            <w:r>
              <w:rPr>
                <w:rFonts w:hint="eastAsia" w:eastAsiaTheme="minorEastAsia"/>
                <w:color w:val="auto"/>
                <w:sz w:val="24"/>
                <w:highlight w:val="none"/>
                <w:lang w:val="en-US" w:eastAsia="zh-CN"/>
              </w:rPr>
              <w:t>3</w:t>
            </w:r>
            <w:r>
              <w:rPr>
                <w:rFonts w:eastAsiaTheme="minorEastAsia"/>
                <w:color w:val="auto"/>
                <w:sz w:val="24"/>
                <w:highlight w:val="none"/>
              </w:rPr>
              <w:t>。</w:t>
            </w:r>
          </w:p>
          <w:p w14:paraId="49B89BFA">
            <w:pPr>
              <w:adjustRightInd w:val="0"/>
              <w:snapToGrid w:val="0"/>
              <w:ind w:firstLine="422" w:firstLineChars="200"/>
              <w:jc w:val="center"/>
              <w:rPr>
                <w:rFonts w:eastAsiaTheme="minorEastAsia"/>
                <w:b/>
                <w:bCs/>
                <w:color w:val="auto"/>
                <w:szCs w:val="21"/>
                <w:highlight w:val="none"/>
              </w:rPr>
            </w:pPr>
            <w:r>
              <w:rPr>
                <w:rFonts w:eastAsiaTheme="minorEastAsia"/>
                <w:b/>
                <w:bCs/>
                <w:color w:val="auto"/>
                <w:szCs w:val="21"/>
                <w:highlight w:val="none"/>
              </w:rPr>
              <w:t>表2-</w:t>
            </w:r>
            <w:r>
              <w:rPr>
                <w:rFonts w:hint="eastAsia" w:eastAsiaTheme="minorEastAsia"/>
                <w:b/>
                <w:bCs/>
                <w:color w:val="auto"/>
                <w:szCs w:val="21"/>
                <w:highlight w:val="none"/>
                <w:lang w:val="en-US" w:eastAsia="zh-CN"/>
              </w:rPr>
              <w:t xml:space="preserve">3 </w:t>
            </w:r>
            <w:r>
              <w:rPr>
                <w:rFonts w:eastAsiaTheme="minorEastAsia"/>
                <w:b/>
                <w:bCs/>
                <w:color w:val="auto"/>
                <w:szCs w:val="21"/>
                <w:highlight w:val="none"/>
              </w:rPr>
              <w:t xml:space="preserve"> 项目产品方案</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528"/>
              <w:gridCol w:w="1112"/>
              <w:gridCol w:w="1025"/>
              <w:gridCol w:w="1425"/>
              <w:gridCol w:w="2306"/>
            </w:tblGrid>
            <w:tr w14:paraId="082834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tcBorders>
                    <w:tl2br w:val="nil"/>
                    <w:tr2bl w:val="nil"/>
                  </w:tcBorders>
                  <w:vAlign w:val="center"/>
                </w:tcPr>
                <w:p w14:paraId="3602DD7F">
                  <w:pPr>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序号</w:t>
                  </w:r>
                </w:p>
              </w:tc>
              <w:tc>
                <w:tcPr>
                  <w:tcW w:w="948" w:type="pct"/>
                  <w:tcBorders>
                    <w:tl2br w:val="nil"/>
                    <w:tr2bl w:val="nil"/>
                  </w:tcBorders>
                  <w:vAlign w:val="center"/>
                </w:tcPr>
                <w:p w14:paraId="2BC25624">
                  <w:pPr>
                    <w:jc w:val="center"/>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产品名称</w:t>
                  </w:r>
                </w:p>
              </w:tc>
              <w:tc>
                <w:tcPr>
                  <w:tcW w:w="690" w:type="pct"/>
                  <w:tcBorders>
                    <w:tl2br w:val="nil"/>
                    <w:tr2bl w:val="nil"/>
                  </w:tcBorders>
                  <w:vAlign w:val="center"/>
                </w:tcPr>
                <w:p w14:paraId="688772B6">
                  <w:pPr>
                    <w:jc w:val="center"/>
                    <w:rPr>
                      <w:rFonts w:hint="eastAsia" w:ascii="Times New Roman" w:hAnsi="Times New Roman" w:cs="Times New Roman" w:eastAsiaTheme="minorEastAsia"/>
                      <w:b/>
                      <w:bCs/>
                      <w:color w:val="auto"/>
                      <w:kern w:val="0"/>
                      <w:sz w:val="21"/>
                      <w:szCs w:val="21"/>
                      <w:highlight w:val="none"/>
                      <w:lang w:val="en-US" w:eastAsia="zh-CN"/>
                    </w:rPr>
                  </w:pPr>
                  <w:r>
                    <w:rPr>
                      <w:rFonts w:hint="eastAsia" w:cs="Times New Roman" w:eastAsiaTheme="minorEastAsia"/>
                      <w:b/>
                      <w:bCs/>
                      <w:color w:val="auto"/>
                      <w:kern w:val="0"/>
                      <w:sz w:val="21"/>
                      <w:szCs w:val="21"/>
                      <w:highlight w:val="none"/>
                      <w:lang w:val="en-US" w:eastAsia="zh-CN"/>
                    </w:rPr>
                    <w:t>单位</w:t>
                  </w:r>
                </w:p>
              </w:tc>
              <w:tc>
                <w:tcPr>
                  <w:tcW w:w="636" w:type="pct"/>
                  <w:tcBorders>
                    <w:tl2br w:val="nil"/>
                    <w:tr2bl w:val="nil"/>
                  </w:tcBorders>
                  <w:vAlign w:val="center"/>
                </w:tcPr>
                <w:p w14:paraId="6C5176B3">
                  <w:pPr>
                    <w:jc w:val="center"/>
                    <w:rPr>
                      <w:rFonts w:hint="default" w:ascii="Times New Roman" w:hAnsi="Times New Roman" w:cs="Times New Roman" w:eastAsiaTheme="minorEastAsia"/>
                      <w:b/>
                      <w:bCs/>
                      <w:color w:val="auto"/>
                      <w:kern w:val="0"/>
                      <w:sz w:val="21"/>
                      <w:szCs w:val="21"/>
                      <w:highlight w:val="none"/>
                      <w:lang w:val="en-US" w:eastAsia="zh-CN"/>
                    </w:rPr>
                  </w:pPr>
                  <w:r>
                    <w:rPr>
                      <w:rFonts w:hint="eastAsia" w:cs="Times New Roman" w:eastAsiaTheme="minorEastAsia"/>
                      <w:b/>
                      <w:bCs/>
                      <w:color w:val="auto"/>
                      <w:kern w:val="0"/>
                      <w:sz w:val="21"/>
                      <w:szCs w:val="21"/>
                      <w:highlight w:val="none"/>
                      <w:lang w:val="en-US" w:eastAsia="zh-CN"/>
                    </w:rPr>
                    <w:t>年产能</w:t>
                  </w:r>
                </w:p>
              </w:tc>
              <w:tc>
                <w:tcPr>
                  <w:tcW w:w="884" w:type="pct"/>
                  <w:tcBorders>
                    <w:tl2br w:val="nil"/>
                    <w:tr2bl w:val="nil"/>
                  </w:tcBorders>
                  <w:vAlign w:val="center"/>
                </w:tcPr>
                <w:p w14:paraId="01CD1591">
                  <w:pPr>
                    <w:jc w:val="center"/>
                    <w:rPr>
                      <w:rFonts w:hint="eastAsia" w:cs="Times New Roman" w:eastAsiaTheme="minorEastAsia"/>
                      <w:b/>
                      <w:bCs/>
                      <w:color w:val="auto"/>
                      <w:kern w:val="0"/>
                      <w:sz w:val="21"/>
                      <w:szCs w:val="21"/>
                      <w:highlight w:val="none"/>
                      <w:lang w:val="en-US" w:eastAsia="zh-CN"/>
                    </w:rPr>
                  </w:pPr>
                  <w:r>
                    <w:rPr>
                      <w:rFonts w:hint="eastAsia" w:cs="Times New Roman" w:eastAsiaTheme="minorEastAsia"/>
                      <w:b/>
                      <w:bCs/>
                      <w:color w:val="auto"/>
                      <w:kern w:val="0"/>
                      <w:sz w:val="21"/>
                      <w:szCs w:val="21"/>
                      <w:highlight w:val="none"/>
                      <w:lang w:val="en-US" w:eastAsia="zh-CN"/>
                    </w:rPr>
                    <w:t>规格</w:t>
                  </w:r>
                </w:p>
              </w:tc>
              <w:tc>
                <w:tcPr>
                  <w:tcW w:w="1431" w:type="pct"/>
                  <w:tcBorders>
                    <w:tl2br w:val="nil"/>
                    <w:tr2bl w:val="nil"/>
                  </w:tcBorders>
                  <w:vAlign w:val="center"/>
                </w:tcPr>
                <w:p w14:paraId="04BCF35B">
                  <w:pPr>
                    <w:jc w:val="center"/>
                    <w:rPr>
                      <w:rFonts w:hint="default" w:ascii="Times New Roman" w:hAnsi="Times New Roman" w:cs="Times New Roman" w:eastAsiaTheme="minorEastAsia"/>
                      <w:b/>
                      <w:bCs/>
                      <w:color w:val="auto"/>
                      <w:kern w:val="0"/>
                      <w:sz w:val="21"/>
                      <w:szCs w:val="21"/>
                      <w:highlight w:val="none"/>
                      <w:lang w:val="en-US" w:eastAsia="zh-CN"/>
                    </w:rPr>
                  </w:pPr>
                  <w:r>
                    <w:rPr>
                      <w:rFonts w:hint="eastAsia" w:cs="Times New Roman" w:eastAsiaTheme="minorEastAsia"/>
                      <w:b/>
                      <w:bCs/>
                      <w:color w:val="auto"/>
                      <w:kern w:val="0"/>
                      <w:sz w:val="21"/>
                      <w:szCs w:val="21"/>
                      <w:highlight w:val="none"/>
                      <w:lang w:val="en-US" w:eastAsia="zh-CN"/>
                    </w:rPr>
                    <w:t>备注</w:t>
                  </w:r>
                </w:p>
              </w:tc>
            </w:tr>
            <w:tr w14:paraId="060E0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tcBorders>
                    <w:tl2br w:val="nil"/>
                    <w:tr2bl w:val="nil"/>
                  </w:tcBorders>
                  <w:vAlign w:val="center"/>
                </w:tcPr>
                <w:p w14:paraId="763540A9">
                  <w:pPr>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1</w:t>
                  </w:r>
                </w:p>
              </w:tc>
              <w:tc>
                <w:tcPr>
                  <w:tcW w:w="948" w:type="pct"/>
                  <w:tcBorders>
                    <w:tl2br w:val="nil"/>
                    <w:tr2bl w:val="nil"/>
                  </w:tcBorders>
                  <w:vAlign w:val="center"/>
                </w:tcPr>
                <w:p w14:paraId="08DC3DB8">
                  <w:pPr>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普通砂浆</w:t>
                  </w:r>
                </w:p>
              </w:tc>
              <w:tc>
                <w:tcPr>
                  <w:tcW w:w="690" w:type="pct"/>
                  <w:tcBorders>
                    <w:tl2br w:val="nil"/>
                    <w:tr2bl w:val="nil"/>
                  </w:tcBorders>
                  <w:vAlign w:val="center"/>
                </w:tcPr>
                <w:p w14:paraId="775C93C5">
                  <w:pPr>
                    <w:widowControl/>
                    <w:jc w:val="center"/>
                    <w:rPr>
                      <w:rFonts w:hint="default" w:ascii="Times New Roman" w:hAnsi="Times New Roman" w:cs="Times New Roman" w:eastAsiaTheme="minorEastAsia"/>
                      <w:color w:val="auto"/>
                      <w:kern w:val="0"/>
                      <w:sz w:val="21"/>
                      <w:szCs w:val="21"/>
                      <w:highlight w:val="none"/>
                    </w:rPr>
                  </w:pPr>
                  <w:r>
                    <w:rPr>
                      <w:rFonts w:hint="eastAsia" w:eastAsiaTheme="minorEastAsia"/>
                      <w:color w:val="auto"/>
                      <w:sz w:val="21"/>
                      <w:szCs w:val="21"/>
                      <w:highlight w:val="none"/>
                      <w:lang w:val="en-US" w:eastAsia="zh-CN"/>
                    </w:rPr>
                    <w:t>万t/a</w:t>
                  </w:r>
                </w:p>
              </w:tc>
              <w:tc>
                <w:tcPr>
                  <w:tcW w:w="636" w:type="pct"/>
                  <w:tcBorders>
                    <w:tl2br w:val="nil"/>
                    <w:tr2bl w:val="nil"/>
                  </w:tcBorders>
                  <w:vAlign w:val="center"/>
                </w:tcPr>
                <w:p w14:paraId="4331F312">
                  <w:pPr>
                    <w:widowControl/>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20</w:t>
                  </w:r>
                </w:p>
              </w:tc>
              <w:tc>
                <w:tcPr>
                  <w:tcW w:w="884" w:type="pct"/>
                  <w:tcBorders>
                    <w:tl2br w:val="nil"/>
                    <w:tr2bl w:val="nil"/>
                  </w:tcBorders>
                  <w:shd w:val="clear" w:color="auto" w:fill="auto"/>
                  <w:vAlign w:val="center"/>
                </w:tcPr>
                <w:p w14:paraId="1683FD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M10-M20</w:t>
                  </w:r>
                </w:p>
              </w:tc>
              <w:tc>
                <w:tcPr>
                  <w:tcW w:w="1431" w:type="pct"/>
                  <w:tcBorders>
                    <w:tl2br w:val="nil"/>
                    <w:tr2bl w:val="nil"/>
                  </w:tcBorders>
                  <w:vAlign w:val="center"/>
                </w:tcPr>
                <w:p w14:paraId="7F58F349">
                  <w:pPr>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主要产品</w:t>
                  </w:r>
                </w:p>
              </w:tc>
            </w:tr>
            <w:tr w14:paraId="50062D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tcBorders>
                    <w:tl2br w:val="nil"/>
                    <w:tr2bl w:val="nil"/>
                  </w:tcBorders>
                  <w:vAlign w:val="center"/>
                </w:tcPr>
                <w:p w14:paraId="207128A0">
                  <w:pPr>
                    <w:jc w:val="center"/>
                    <w:rPr>
                      <w:rFonts w:hint="eastAsia" w:ascii="Times New Roman" w:hAnsi="Times New Roman" w:cs="Times New Roman" w:eastAsiaTheme="minorEastAsia"/>
                      <w:b w:val="0"/>
                      <w:bCs/>
                      <w:color w:val="auto"/>
                      <w:kern w:val="0"/>
                      <w:sz w:val="21"/>
                      <w:szCs w:val="21"/>
                      <w:highlight w:val="none"/>
                      <w:lang w:val="en-US" w:eastAsia="zh-CN"/>
                    </w:rPr>
                  </w:pPr>
                  <w:r>
                    <w:rPr>
                      <w:rFonts w:hint="eastAsia" w:cs="Times New Roman" w:eastAsiaTheme="minorEastAsia"/>
                      <w:b w:val="0"/>
                      <w:bCs/>
                      <w:color w:val="auto"/>
                      <w:kern w:val="0"/>
                      <w:sz w:val="21"/>
                      <w:szCs w:val="21"/>
                      <w:highlight w:val="none"/>
                      <w:lang w:val="en-US" w:eastAsia="zh-CN"/>
                    </w:rPr>
                    <w:t>2</w:t>
                  </w:r>
                </w:p>
              </w:tc>
              <w:tc>
                <w:tcPr>
                  <w:tcW w:w="948" w:type="pct"/>
                  <w:tcBorders>
                    <w:tl2br w:val="nil"/>
                    <w:tr2bl w:val="nil"/>
                  </w:tcBorders>
                  <w:vAlign w:val="center"/>
                </w:tcPr>
                <w:p w14:paraId="44834C43">
                  <w:pPr>
                    <w:jc w:val="center"/>
                    <w:rPr>
                      <w:rFonts w:hint="default"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定制砂浆</w:t>
                  </w:r>
                </w:p>
              </w:tc>
              <w:tc>
                <w:tcPr>
                  <w:tcW w:w="690" w:type="pct"/>
                  <w:tcBorders>
                    <w:tl2br w:val="nil"/>
                    <w:tr2bl w:val="nil"/>
                  </w:tcBorders>
                  <w:vAlign w:val="center"/>
                </w:tcPr>
                <w:p w14:paraId="09E21619">
                  <w:pPr>
                    <w:widowControl/>
                    <w:jc w:val="center"/>
                    <w:rPr>
                      <w:rFonts w:hint="eastAsia" w:eastAsiaTheme="minorEastAsia"/>
                      <w:color w:val="auto"/>
                      <w:sz w:val="21"/>
                      <w:szCs w:val="21"/>
                      <w:highlight w:val="none"/>
                      <w:lang w:val="en-US" w:eastAsia="zh-CN"/>
                    </w:rPr>
                  </w:pPr>
                  <w:r>
                    <w:rPr>
                      <w:rFonts w:hint="eastAsia" w:eastAsiaTheme="minorEastAsia"/>
                      <w:color w:val="auto"/>
                      <w:sz w:val="21"/>
                      <w:szCs w:val="21"/>
                      <w:highlight w:val="none"/>
                      <w:lang w:val="en-US" w:eastAsia="zh-CN"/>
                    </w:rPr>
                    <w:t>万t/a</w:t>
                  </w:r>
                </w:p>
              </w:tc>
              <w:tc>
                <w:tcPr>
                  <w:tcW w:w="636" w:type="pct"/>
                  <w:tcBorders>
                    <w:tl2br w:val="nil"/>
                    <w:tr2bl w:val="nil"/>
                  </w:tcBorders>
                  <w:vAlign w:val="center"/>
                </w:tcPr>
                <w:p w14:paraId="642D0879">
                  <w:pPr>
                    <w:widowControl/>
                    <w:jc w:val="center"/>
                    <w:rPr>
                      <w:rFonts w:hint="default"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5</w:t>
                  </w:r>
                </w:p>
              </w:tc>
              <w:tc>
                <w:tcPr>
                  <w:tcW w:w="884" w:type="pct"/>
                  <w:tcBorders>
                    <w:tl2br w:val="nil"/>
                    <w:tr2bl w:val="nil"/>
                  </w:tcBorders>
                  <w:shd w:val="clear" w:color="auto" w:fill="auto"/>
                  <w:vAlign w:val="center"/>
                </w:tcPr>
                <w:p w14:paraId="74A2CD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M10-M20</w:t>
                  </w:r>
                </w:p>
              </w:tc>
              <w:tc>
                <w:tcPr>
                  <w:tcW w:w="1431" w:type="pct"/>
                  <w:tcBorders>
                    <w:tl2br w:val="nil"/>
                    <w:tr2bl w:val="nil"/>
                  </w:tcBorders>
                  <w:vAlign w:val="center"/>
                </w:tcPr>
                <w:p w14:paraId="2CB7353C">
                  <w:pPr>
                    <w:jc w:val="center"/>
                    <w:rPr>
                      <w:rFonts w:hint="eastAsia"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主要产品</w:t>
                  </w:r>
                </w:p>
              </w:tc>
            </w:tr>
          </w:tbl>
          <w:p w14:paraId="0C6E3018">
            <w:pPr>
              <w:adjustRightInd w:val="0"/>
              <w:snapToGrid w:val="0"/>
              <w:spacing w:line="360" w:lineRule="auto"/>
              <w:ind w:firstLine="482" w:firstLineChars="200"/>
              <w:rPr>
                <w:rFonts w:eastAsiaTheme="minorEastAsia"/>
                <w:b/>
                <w:bCs/>
                <w:color w:val="auto"/>
                <w:sz w:val="24"/>
                <w:highlight w:val="none"/>
              </w:rPr>
            </w:pPr>
            <w:r>
              <w:rPr>
                <w:rFonts w:eastAsiaTheme="minorEastAsia"/>
                <w:b/>
                <w:bCs/>
                <w:color w:val="auto"/>
                <w:sz w:val="24"/>
                <w:highlight w:val="none"/>
              </w:rPr>
              <w:t>2.4 主要生产设备</w:t>
            </w:r>
          </w:p>
          <w:p w14:paraId="5225678C">
            <w:pPr>
              <w:pStyle w:val="27"/>
              <w:spacing w:line="360" w:lineRule="auto"/>
              <w:ind w:firstLine="480" w:firstLineChars="200"/>
              <w:rPr>
                <w:rFonts w:ascii="Times New Roman" w:hAnsi="Times New Roman" w:cs="Times New Roman" w:eastAsiaTheme="minorEastAsia"/>
                <w:color w:val="auto"/>
                <w:sz w:val="24"/>
                <w:highlight w:val="none"/>
              </w:rPr>
            </w:pPr>
            <w:r>
              <w:rPr>
                <w:rFonts w:ascii="Times New Roman" w:hAnsi="Times New Roman" w:cs="Times New Roman" w:eastAsiaTheme="minorEastAsia"/>
                <w:color w:val="auto"/>
                <w:sz w:val="24"/>
                <w:highlight w:val="none"/>
              </w:rPr>
              <w:t>本项目</w:t>
            </w:r>
            <w:r>
              <w:rPr>
                <w:rFonts w:hint="eastAsia" w:ascii="Times New Roman" w:hAnsi="Times New Roman" w:cs="Times New Roman" w:eastAsiaTheme="minorEastAsia"/>
                <w:color w:val="auto"/>
                <w:sz w:val="24"/>
                <w:highlight w:val="none"/>
                <w:lang w:val="en-US" w:eastAsia="zh-CN"/>
              </w:rPr>
              <w:t>主要生产设备</w:t>
            </w:r>
            <w:r>
              <w:rPr>
                <w:rFonts w:ascii="Times New Roman" w:hAnsi="Times New Roman" w:cs="Times New Roman" w:eastAsiaTheme="minorEastAsia"/>
                <w:color w:val="auto"/>
                <w:sz w:val="24"/>
                <w:highlight w:val="none"/>
              </w:rPr>
              <w:t>见表</w:t>
            </w:r>
            <w:r>
              <w:rPr>
                <w:rFonts w:ascii="Times New Roman" w:hAnsi="Times New Roman" w:cs="Times New Roman" w:eastAsiaTheme="minorEastAsia"/>
                <w:color w:val="auto"/>
                <w:sz w:val="24"/>
                <w:highlight w:val="none"/>
                <w:lang w:val="en-US"/>
              </w:rPr>
              <w:t>2-</w:t>
            </w:r>
            <w:r>
              <w:rPr>
                <w:rFonts w:hint="eastAsia" w:ascii="Times New Roman" w:hAnsi="Times New Roman" w:cs="Times New Roman" w:eastAsiaTheme="minorEastAsia"/>
                <w:color w:val="auto"/>
                <w:sz w:val="24"/>
                <w:highlight w:val="none"/>
                <w:lang w:val="en-US" w:eastAsia="zh-CN"/>
              </w:rPr>
              <w:t>4</w:t>
            </w:r>
            <w:r>
              <w:rPr>
                <w:rFonts w:ascii="Times New Roman" w:hAnsi="Times New Roman" w:cs="Times New Roman" w:eastAsiaTheme="minorEastAsia"/>
                <w:color w:val="auto"/>
                <w:sz w:val="24"/>
                <w:highlight w:val="none"/>
              </w:rPr>
              <w:t>。</w:t>
            </w:r>
          </w:p>
          <w:p w14:paraId="4972E3B0">
            <w:pPr>
              <w:pStyle w:val="27"/>
              <w:tabs>
                <w:tab w:val="left" w:pos="1041"/>
              </w:tabs>
              <w:jc w:val="center"/>
              <w:rPr>
                <w:rFonts w:hint="default" w:ascii="Times New Roman" w:hAnsi="Times New Roman" w:cs="Times New Roman" w:eastAsiaTheme="minorEastAsia"/>
                <w:b/>
                <w:color w:val="auto"/>
                <w:szCs w:val="21"/>
                <w:highlight w:val="none"/>
                <w:lang w:val="en-US"/>
              </w:rPr>
            </w:pPr>
            <w:r>
              <w:rPr>
                <w:rFonts w:ascii="Times New Roman" w:hAnsi="Times New Roman" w:cs="Times New Roman" w:eastAsiaTheme="minorEastAsia"/>
                <w:b/>
                <w:color w:val="auto"/>
                <w:szCs w:val="21"/>
                <w:highlight w:val="none"/>
              </w:rPr>
              <w:t>表2</w:t>
            </w:r>
            <w:r>
              <w:rPr>
                <w:rFonts w:ascii="Times New Roman" w:hAnsi="Times New Roman" w:cs="Times New Roman" w:eastAsiaTheme="minorEastAsia"/>
                <w:b/>
                <w:color w:val="auto"/>
                <w:szCs w:val="21"/>
                <w:highlight w:val="none"/>
                <w:lang w:val="en-US"/>
              </w:rPr>
              <w:t>-</w:t>
            </w:r>
            <w:r>
              <w:rPr>
                <w:rFonts w:hint="eastAsia" w:ascii="Times New Roman" w:hAnsi="Times New Roman" w:cs="Times New Roman" w:eastAsiaTheme="minorEastAsia"/>
                <w:b/>
                <w:color w:val="auto"/>
                <w:szCs w:val="21"/>
                <w:highlight w:val="none"/>
                <w:lang w:val="en-US" w:eastAsia="zh-CN"/>
              </w:rPr>
              <w:t>4</w:t>
            </w:r>
            <w:r>
              <w:rPr>
                <w:rFonts w:ascii="Times New Roman" w:hAnsi="Times New Roman" w:cs="Times New Roman" w:eastAsiaTheme="minorEastAsia"/>
                <w:b/>
                <w:color w:val="auto"/>
                <w:szCs w:val="21"/>
                <w:highlight w:val="none"/>
                <w:lang w:val="en-US"/>
              </w:rPr>
              <w:t xml:space="preserve">  </w:t>
            </w:r>
            <w:r>
              <w:rPr>
                <w:rFonts w:hint="eastAsia" w:ascii="Times New Roman" w:hAnsi="Times New Roman" w:cs="Times New Roman" w:eastAsiaTheme="minorEastAsia"/>
                <w:b/>
                <w:color w:val="auto"/>
                <w:szCs w:val="21"/>
                <w:highlight w:val="none"/>
                <w:lang w:val="en-US" w:eastAsia="zh-CN"/>
              </w:rPr>
              <w:t>项目主要生产设备一览表</w:t>
            </w:r>
          </w:p>
          <w:tbl>
            <w:tblPr>
              <w:tblStyle w:val="19"/>
              <w:tblW w:w="502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13"/>
              <w:gridCol w:w="1806"/>
              <w:gridCol w:w="2787"/>
              <w:gridCol w:w="738"/>
              <w:gridCol w:w="2043"/>
            </w:tblGrid>
            <w:tr w14:paraId="271BC2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shd w:val="clear" w:color="auto" w:fill="auto"/>
                  <w:noWrap w:val="0"/>
                  <w:vAlign w:val="center"/>
                </w:tcPr>
                <w:p w14:paraId="07E6F4D7">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序号</w:t>
                  </w:r>
                </w:p>
              </w:tc>
              <w:tc>
                <w:tcPr>
                  <w:tcW w:w="1116" w:type="pct"/>
                  <w:tcBorders>
                    <w:tl2br w:val="nil"/>
                    <w:tr2bl w:val="nil"/>
                  </w:tcBorders>
                  <w:shd w:val="clear" w:color="auto" w:fill="auto"/>
                  <w:noWrap w:val="0"/>
                  <w:vAlign w:val="center"/>
                </w:tcPr>
                <w:p w14:paraId="516EE5B9">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名称</w:t>
                  </w:r>
                </w:p>
              </w:tc>
              <w:tc>
                <w:tcPr>
                  <w:tcW w:w="1722" w:type="pct"/>
                  <w:tcBorders>
                    <w:tl2br w:val="nil"/>
                    <w:tr2bl w:val="nil"/>
                  </w:tcBorders>
                  <w:shd w:val="clear" w:color="auto" w:fill="auto"/>
                  <w:noWrap w:val="0"/>
                  <w:vAlign w:val="center"/>
                </w:tcPr>
                <w:p w14:paraId="0EF7722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auto"/>
                      <w:sz w:val="21"/>
                      <w:szCs w:val="21"/>
                      <w:highlight w:val="none"/>
                      <w:u w:val="none"/>
                      <w:lang w:val="en-US"/>
                    </w:rPr>
                  </w:pPr>
                  <w:r>
                    <w:rPr>
                      <w:rFonts w:hint="default" w:ascii="Times New Roman" w:hAnsi="Times New Roman" w:eastAsia="宋体" w:cs="Times New Roman"/>
                      <w:b/>
                      <w:bCs/>
                      <w:i w:val="0"/>
                      <w:iCs w:val="0"/>
                      <w:color w:val="auto"/>
                      <w:kern w:val="0"/>
                      <w:sz w:val="21"/>
                      <w:szCs w:val="21"/>
                      <w:highlight w:val="none"/>
                      <w:u w:val="none"/>
                      <w:lang w:val="en-US" w:eastAsia="zh-CN"/>
                    </w:rPr>
                    <w:t>规格</w:t>
                  </w:r>
                  <w:r>
                    <w:rPr>
                      <w:rFonts w:hint="eastAsia" w:ascii="Times New Roman" w:hAnsi="Times New Roman" w:eastAsia="宋体" w:cs="Times New Roman"/>
                      <w:b/>
                      <w:bCs/>
                      <w:i w:val="0"/>
                      <w:iCs w:val="0"/>
                      <w:color w:val="auto"/>
                      <w:kern w:val="0"/>
                      <w:sz w:val="21"/>
                      <w:szCs w:val="21"/>
                      <w:highlight w:val="none"/>
                      <w:u w:val="none"/>
                      <w:lang w:val="en-US" w:eastAsia="zh-CN"/>
                    </w:rPr>
                    <w:t>/参数</w:t>
                  </w:r>
                </w:p>
              </w:tc>
              <w:tc>
                <w:tcPr>
                  <w:tcW w:w="456" w:type="pct"/>
                  <w:tcBorders>
                    <w:tl2br w:val="nil"/>
                    <w:tr2bl w:val="nil"/>
                  </w:tcBorders>
                  <w:shd w:val="clear" w:color="auto" w:fill="auto"/>
                  <w:noWrap w:val="0"/>
                  <w:vAlign w:val="center"/>
                </w:tcPr>
                <w:p w14:paraId="6EC9D4AC">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数量</w:t>
                  </w:r>
                </w:p>
              </w:tc>
              <w:tc>
                <w:tcPr>
                  <w:tcW w:w="1263" w:type="pct"/>
                  <w:tcBorders>
                    <w:tl2br w:val="nil"/>
                    <w:tr2bl w:val="nil"/>
                  </w:tcBorders>
                  <w:shd w:val="clear" w:color="auto" w:fill="auto"/>
                  <w:noWrap w:val="0"/>
                  <w:vAlign w:val="center"/>
                </w:tcPr>
                <w:p w14:paraId="1BB18D7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auto"/>
                      <w:sz w:val="21"/>
                      <w:szCs w:val="21"/>
                      <w:highlight w:val="none"/>
                      <w:u w:val="none"/>
                      <w:lang w:val="en-US" w:eastAsia="zh-CN"/>
                    </w:rPr>
                  </w:pPr>
                  <w:r>
                    <w:rPr>
                      <w:rFonts w:hint="eastAsia" w:cs="Times New Roman"/>
                      <w:b/>
                      <w:bCs/>
                      <w:i w:val="0"/>
                      <w:iCs w:val="0"/>
                      <w:color w:val="auto"/>
                      <w:sz w:val="21"/>
                      <w:szCs w:val="21"/>
                      <w:highlight w:val="none"/>
                      <w:u w:val="none"/>
                      <w:lang w:val="en-US" w:eastAsia="zh-CN"/>
                    </w:rPr>
                    <w:t>作用</w:t>
                  </w:r>
                </w:p>
              </w:tc>
            </w:tr>
            <w:tr w14:paraId="500790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0B6A6920">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w:t>
                  </w:r>
                </w:p>
              </w:tc>
              <w:tc>
                <w:tcPr>
                  <w:tcW w:w="1116" w:type="pct"/>
                  <w:tcBorders>
                    <w:tl2br w:val="nil"/>
                    <w:tr2bl w:val="nil"/>
                  </w:tcBorders>
                  <w:noWrap w:val="0"/>
                  <w:vAlign w:val="center"/>
                </w:tcPr>
                <w:p w14:paraId="6E4165B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筒砂仓</w:t>
                  </w:r>
                </w:p>
              </w:tc>
              <w:tc>
                <w:tcPr>
                  <w:tcW w:w="1722" w:type="pct"/>
                  <w:tcBorders>
                    <w:tl2br w:val="nil"/>
                    <w:tr2bl w:val="nil"/>
                  </w:tcBorders>
                  <w:noWrap w:val="0"/>
                  <w:vAlign w:val="center"/>
                </w:tcPr>
                <w:p w14:paraId="52436DE2">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rPr>
                    <w:t>200t，</w:t>
                  </w:r>
                  <w:r>
                    <w:t>锥体</w:t>
                  </w:r>
                  <w:r>
                    <w:rPr>
                      <w:rFonts w:hint="eastAsia" w:cs="Times New Roman"/>
                      <w:i w:val="0"/>
                      <w:iCs w:val="0"/>
                      <w:color w:val="auto"/>
                      <w:kern w:val="0"/>
                      <w:sz w:val="21"/>
                      <w:szCs w:val="21"/>
                      <w:highlight w:val="none"/>
                      <w:u w:val="none"/>
                      <w:lang w:val="en-US" w:eastAsia="zh-CN"/>
                    </w:rPr>
                    <w:t>5mm，罐口3.4米</w:t>
                  </w:r>
                </w:p>
              </w:tc>
              <w:tc>
                <w:tcPr>
                  <w:tcW w:w="456" w:type="pct"/>
                  <w:tcBorders>
                    <w:tl2br w:val="nil"/>
                    <w:tr2bl w:val="nil"/>
                  </w:tcBorders>
                  <w:noWrap w:val="0"/>
                  <w:vAlign w:val="center"/>
                </w:tcPr>
                <w:p w14:paraId="02344977">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rPr>
                    <w:t>4个</w:t>
                  </w:r>
                </w:p>
              </w:tc>
              <w:tc>
                <w:tcPr>
                  <w:tcW w:w="1263" w:type="pct"/>
                  <w:tcBorders>
                    <w:tl2br w:val="nil"/>
                    <w:tr2bl w:val="nil"/>
                  </w:tcBorders>
                  <w:noWrap w:val="0"/>
                  <w:vAlign w:val="center"/>
                </w:tcPr>
                <w:p w14:paraId="68AD0B3C">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存放粗砂、粗砂原料</w:t>
                  </w:r>
                </w:p>
              </w:tc>
            </w:tr>
            <w:tr w14:paraId="5DC704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0BD876C0">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3</w:t>
                  </w:r>
                </w:p>
              </w:tc>
              <w:tc>
                <w:tcPr>
                  <w:tcW w:w="1116" w:type="pct"/>
                  <w:tcBorders>
                    <w:tl2br w:val="nil"/>
                    <w:tr2bl w:val="nil"/>
                  </w:tcBorders>
                  <w:noWrap w:val="0"/>
                  <w:vAlign w:val="center"/>
                </w:tcPr>
                <w:p w14:paraId="29567552">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流管及气动阀</w:t>
                  </w:r>
                </w:p>
              </w:tc>
              <w:tc>
                <w:tcPr>
                  <w:tcW w:w="1722" w:type="pct"/>
                  <w:tcBorders>
                    <w:tl2br w:val="nil"/>
                    <w:tr2bl w:val="nil"/>
                  </w:tcBorders>
                  <w:noWrap w:val="0"/>
                  <w:vAlign w:val="center"/>
                </w:tcPr>
                <w:p w14:paraId="56DA3E8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kern w:val="0"/>
                      <w:sz w:val="21"/>
                      <w:szCs w:val="21"/>
                      <w:highlight w:val="none"/>
                      <w:u w:val="none"/>
                      <w:lang w:val="en-US" w:eastAsia="zh-CN"/>
                    </w:rPr>
                  </w:pPr>
                  <w:r>
                    <w:rPr>
                      <w:rFonts w:hint="default" w:cs="Times New Roman"/>
                      <w:i w:val="0"/>
                      <w:iCs w:val="0"/>
                      <w:color w:val="auto"/>
                      <w:kern w:val="0"/>
                      <w:sz w:val="21"/>
                      <w:szCs w:val="21"/>
                      <w:highlight w:val="none"/>
                      <w:u w:val="none"/>
                      <w:lang w:val="en-US" w:eastAsia="zh-CN"/>
                    </w:rPr>
                    <w:t>流管直径：φ273</w:t>
                  </w:r>
                </w:p>
              </w:tc>
              <w:tc>
                <w:tcPr>
                  <w:tcW w:w="456" w:type="pct"/>
                  <w:tcBorders>
                    <w:tl2br w:val="nil"/>
                    <w:tr2bl w:val="nil"/>
                  </w:tcBorders>
                  <w:noWrap w:val="0"/>
                  <w:vAlign w:val="center"/>
                </w:tcPr>
                <w:p w14:paraId="0C66C9A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3</w:t>
                  </w:r>
                  <w:r>
                    <w:rPr>
                      <w:rFonts w:hint="eastAsia" w:ascii="宋体" w:hAnsi="宋体" w:cs="宋体"/>
                      <w:i w:val="0"/>
                      <w:iCs w:val="0"/>
                      <w:color w:val="auto"/>
                      <w:sz w:val="21"/>
                      <w:szCs w:val="21"/>
                      <w:highlight w:val="none"/>
                      <w:u w:val="none"/>
                      <w:lang w:val="en-US" w:eastAsia="zh-CN"/>
                    </w:rPr>
                    <w:t>套</w:t>
                  </w:r>
                </w:p>
              </w:tc>
              <w:tc>
                <w:tcPr>
                  <w:tcW w:w="1263" w:type="pct"/>
                  <w:tcBorders>
                    <w:tl2br w:val="nil"/>
                    <w:tr2bl w:val="nil"/>
                  </w:tcBorders>
                  <w:noWrap w:val="0"/>
                  <w:vAlign w:val="center"/>
                </w:tcPr>
                <w:p w14:paraId="60D24329">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利用砂的流动性</w:t>
                  </w:r>
                  <w:r>
                    <w:rPr>
                      <w:rFonts w:hint="eastAsia" w:ascii="宋体" w:hAnsi="宋体" w:cs="宋体"/>
                      <w:i w:val="0"/>
                      <w:iCs w:val="0"/>
                      <w:color w:val="auto"/>
                      <w:sz w:val="21"/>
                      <w:szCs w:val="21"/>
                      <w:highlight w:val="none"/>
                      <w:u w:val="none"/>
                      <w:lang w:val="en-US" w:eastAsia="zh-CN"/>
                    </w:rPr>
                    <w:t>，</w:t>
                  </w:r>
                  <w:r>
                    <w:rPr>
                      <w:rFonts w:hint="eastAsia" w:ascii="宋体" w:hAnsi="宋体" w:eastAsia="宋体" w:cs="宋体"/>
                      <w:i w:val="0"/>
                      <w:iCs w:val="0"/>
                      <w:color w:val="auto"/>
                      <w:sz w:val="21"/>
                      <w:szCs w:val="21"/>
                      <w:highlight w:val="none"/>
                      <w:u w:val="none"/>
                      <w:lang w:val="en-US" w:eastAsia="zh-CN"/>
                    </w:rPr>
                    <w:t>将砂料卸进配料秤</w:t>
                  </w:r>
                </w:p>
              </w:tc>
            </w:tr>
            <w:tr w14:paraId="105A3A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3C557A61">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w:t>
                  </w:r>
                </w:p>
              </w:tc>
              <w:tc>
                <w:tcPr>
                  <w:tcW w:w="1116" w:type="pct"/>
                  <w:tcBorders>
                    <w:tl2br w:val="nil"/>
                    <w:tr2bl w:val="nil"/>
                  </w:tcBorders>
                  <w:noWrap w:val="0"/>
                  <w:vAlign w:val="center"/>
                </w:tcPr>
                <w:p w14:paraId="0CC7849B">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粉料仓</w:t>
                  </w:r>
                </w:p>
              </w:tc>
              <w:tc>
                <w:tcPr>
                  <w:tcW w:w="1722" w:type="pct"/>
                  <w:tcBorders>
                    <w:tl2br w:val="nil"/>
                    <w:tr2bl w:val="nil"/>
                  </w:tcBorders>
                  <w:noWrap w:val="0"/>
                  <w:vAlign w:val="center"/>
                </w:tcPr>
                <w:p w14:paraId="0325B6CD">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t>锥体</w:t>
                  </w:r>
                  <w:r>
                    <w:rPr>
                      <w:rFonts w:hint="default" w:ascii="Times New Roman" w:hAnsi="Times New Roman" w:eastAsia="宋体" w:cs="Times New Roman"/>
                      <w:i w:val="0"/>
                      <w:iCs w:val="0"/>
                      <w:color w:val="auto"/>
                      <w:kern w:val="0"/>
                      <w:sz w:val="21"/>
                      <w:szCs w:val="21"/>
                      <w:highlight w:val="none"/>
                      <w:u w:val="none"/>
                      <w:lang w:val="en-US" w:eastAsia="zh-CN"/>
                    </w:rPr>
                    <w:t>5mm，罐口</w:t>
                  </w:r>
                  <w:r>
                    <w:rPr>
                      <w:rFonts w:hint="eastAsia" w:cs="Times New Roman"/>
                      <w:i w:val="0"/>
                      <w:iCs w:val="0"/>
                      <w:color w:val="auto"/>
                      <w:kern w:val="0"/>
                      <w:sz w:val="21"/>
                      <w:szCs w:val="21"/>
                      <w:highlight w:val="none"/>
                      <w:u w:val="none"/>
                      <w:lang w:val="en-US" w:eastAsia="zh-CN"/>
                    </w:rPr>
                    <w:t>3.4</w:t>
                  </w:r>
                  <w:r>
                    <w:rPr>
                      <w:rFonts w:hint="default" w:ascii="Times New Roman" w:hAnsi="Times New Roman" w:eastAsia="宋体" w:cs="Times New Roman"/>
                      <w:i w:val="0"/>
                      <w:iCs w:val="0"/>
                      <w:color w:val="auto"/>
                      <w:kern w:val="0"/>
                      <w:sz w:val="21"/>
                      <w:szCs w:val="21"/>
                      <w:highlight w:val="none"/>
                      <w:u w:val="none"/>
                      <w:lang w:val="en-US" w:eastAsia="zh-CN"/>
                    </w:rPr>
                    <w:t>米，φ219x8mm</w:t>
                  </w:r>
                </w:p>
              </w:tc>
              <w:tc>
                <w:tcPr>
                  <w:tcW w:w="456" w:type="pct"/>
                  <w:tcBorders>
                    <w:tl2br w:val="nil"/>
                    <w:tr2bl w:val="nil"/>
                  </w:tcBorders>
                  <w:noWrap w:val="0"/>
                  <w:vAlign w:val="center"/>
                </w:tcPr>
                <w:p w14:paraId="4BC0B538">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5</w:t>
                  </w:r>
                  <w:r>
                    <w:rPr>
                      <w:rFonts w:hint="eastAsia" w:ascii="Times New Roman" w:hAnsi="Times New Roman" w:cs="Times New Roman"/>
                      <w:i w:val="0"/>
                      <w:iCs w:val="0"/>
                      <w:color w:val="auto"/>
                      <w:kern w:val="0"/>
                      <w:sz w:val="21"/>
                      <w:szCs w:val="21"/>
                      <w:highlight w:val="none"/>
                      <w:u w:val="none"/>
                      <w:lang w:val="en-US" w:eastAsia="zh-CN"/>
                    </w:rPr>
                    <w:t>套</w:t>
                  </w:r>
                </w:p>
              </w:tc>
              <w:tc>
                <w:tcPr>
                  <w:tcW w:w="1263" w:type="pct"/>
                  <w:tcBorders>
                    <w:tl2br w:val="nil"/>
                    <w:tr2bl w:val="nil"/>
                  </w:tcBorders>
                  <w:noWrap w:val="0"/>
                  <w:vAlign w:val="center"/>
                </w:tcPr>
                <w:p w14:paraId="02B80AF7">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存放水泥，粉煤灰</w:t>
                  </w:r>
                </w:p>
              </w:tc>
            </w:tr>
            <w:tr w14:paraId="24F475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573C374B">
                  <w:pPr>
                    <w:keepNext w:val="0"/>
                    <w:keepLines w:val="0"/>
                    <w:pageBreakBefore w:val="0"/>
                    <w:kinsoku/>
                    <w:wordWrap/>
                    <w:overflowPunct/>
                    <w:topLinePunct w:val="0"/>
                    <w:autoSpaceDE/>
                    <w:autoSpaceDN/>
                    <w:bidi w:val="0"/>
                    <w:adjustRightInd/>
                    <w:snapToGrid w:val="0"/>
                    <w:jc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w:t>
                  </w:r>
                </w:p>
              </w:tc>
              <w:tc>
                <w:tcPr>
                  <w:tcW w:w="1116" w:type="pct"/>
                  <w:tcBorders>
                    <w:tl2br w:val="nil"/>
                    <w:tr2bl w:val="nil"/>
                  </w:tcBorders>
                  <w:noWrap w:val="0"/>
                  <w:vAlign w:val="center"/>
                </w:tcPr>
                <w:p w14:paraId="3BBF2CB7">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成品仓</w:t>
                  </w:r>
                </w:p>
              </w:tc>
              <w:tc>
                <w:tcPr>
                  <w:tcW w:w="1722" w:type="pct"/>
                  <w:tcBorders>
                    <w:tl2br w:val="nil"/>
                    <w:tr2bl w:val="nil"/>
                  </w:tcBorders>
                  <w:noWrap w:val="0"/>
                  <w:vAlign w:val="center"/>
                </w:tcPr>
                <w:p w14:paraId="411A06C0">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t>锥体</w:t>
                  </w:r>
                  <w:r>
                    <w:rPr>
                      <w:rFonts w:hint="default" w:ascii="Times New Roman" w:hAnsi="Times New Roman" w:eastAsia="宋体" w:cs="Times New Roman"/>
                      <w:i w:val="0"/>
                      <w:iCs w:val="0"/>
                      <w:color w:val="auto"/>
                      <w:kern w:val="0"/>
                      <w:sz w:val="21"/>
                      <w:szCs w:val="21"/>
                      <w:highlight w:val="none"/>
                      <w:u w:val="none"/>
                      <w:lang w:val="en-US" w:eastAsia="zh-CN"/>
                    </w:rPr>
                    <w:t>5mm，罐口4米</w:t>
                  </w:r>
                </w:p>
              </w:tc>
              <w:tc>
                <w:tcPr>
                  <w:tcW w:w="456" w:type="pct"/>
                  <w:tcBorders>
                    <w:tl2br w:val="nil"/>
                    <w:tr2bl w:val="nil"/>
                  </w:tcBorders>
                  <w:noWrap w:val="0"/>
                  <w:vAlign w:val="center"/>
                </w:tcPr>
                <w:p w14:paraId="4ADB57F2">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1个</w:t>
                  </w:r>
                </w:p>
              </w:tc>
              <w:tc>
                <w:tcPr>
                  <w:tcW w:w="1263" w:type="pct"/>
                  <w:tcBorders>
                    <w:tl2br w:val="nil"/>
                    <w:tr2bl w:val="nil"/>
                  </w:tcBorders>
                  <w:noWrap w:val="0"/>
                  <w:vAlign w:val="center"/>
                </w:tcPr>
                <w:p w14:paraId="0DBB49BF">
                  <w:pPr>
                    <w:keepNext w:val="0"/>
                    <w:keepLines w:val="0"/>
                    <w:pageBreakBefore w:val="0"/>
                    <w:kinsoku/>
                    <w:wordWrap/>
                    <w:overflowPunct/>
                    <w:topLinePunct w:val="0"/>
                    <w:autoSpaceDE/>
                    <w:autoSpaceDN/>
                    <w:bidi w:val="0"/>
                    <w:adjustRightInd/>
                    <w:snapToGrid w:val="0"/>
                    <w:jc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p>
              </w:tc>
            </w:tr>
            <w:tr w14:paraId="576BBD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03BDE266">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6</w:t>
                  </w:r>
                </w:p>
              </w:tc>
              <w:tc>
                <w:tcPr>
                  <w:tcW w:w="1116" w:type="pct"/>
                  <w:tcBorders>
                    <w:tl2br w:val="nil"/>
                    <w:tr2bl w:val="nil"/>
                  </w:tcBorders>
                  <w:noWrap w:val="0"/>
                  <w:vAlign w:val="center"/>
                </w:tcPr>
                <w:p w14:paraId="246FE14B">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原料螺旋输送机</w:t>
                  </w:r>
                </w:p>
              </w:tc>
              <w:tc>
                <w:tcPr>
                  <w:tcW w:w="1722" w:type="pct"/>
                  <w:tcBorders>
                    <w:tl2br w:val="nil"/>
                    <w:tr2bl w:val="nil"/>
                  </w:tcBorders>
                  <w:noWrap w:val="0"/>
                  <w:vAlign w:val="center"/>
                </w:tcPr>
                <w:p w14:paraId="36E4A6B6">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型号：LSY219</w:t>
                  </w:r>
                  <w:r>
                    <w:rPr>
                      <w:rFonts w:hint="eastAsia" w:cs="Times New Roman"/>
                      <w:i w:val="0"/>
                      <w:iCs w:val="0"/>
                      <w:color w:val="auto"/>
                      <w:kern w:val="0"/>
                      <w:sz w:val="21"/>
                      <w:szCs w:val="21"/>
                      <w:highlight w:val="none"/>
                      <w:u w:val="none"/>
                      <w:lang w:val="en-US" w:eastAsia="zh-CN"/>
                    </w:rPr>
                    <w:t>；电机功率：15kW</w:t>
                  </w:r>
                </w:p>
              </w:tc>
              <w:tc>
                <w:tcPr>
                  <w:tcW w:w="456" w:type="pct"/>
                  <w:tcBorders>
                    <w:tl2br w:val="nil"/>
                    <w:tr2bl w:val="nil"/>
                  </w:tcBorders>
                  <w:shd w:val="clear" w:color="auto" w:fill="auto"/>
                  <w:noWrap w:val="0"/>
                  <w:vAlign w:val="center"/>
                </w:tcPr>
                <w:p w14:paraId="79D5A5CD">
                  <w:pPr>
                    <w:keepNext w:val="0"/>
                    <w:keepLines w:val="0"/>
                    <w:pageBreakBefore w:val="0"/>
                    <w:widowControl/>
                    <w:kinsoku/>
                    <w:wordWrap/>
                    <w:overflowPunct/>
                    <w:topLinePunct w:val="0"/>
                    <w:autoSpaceDE/>
                    <w:autoSpaceDN/>
                    <w:bidi w:val="0"/>
                    <w:adjustRightInd/>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8根</w:t>
                  </w:r>
                </w:p>
              </w:tc>
              <w:tc>
                <w:tcPr>
                  <w:tcW w:w="1263" w:type="pct"/>
                  <w:tcBorders>
                    <w:tl2br w:val="nil"/>
                    <w:tr2bl w:val="nil"/>
                  </w:tcBorders>
                  <w:shd w:val="clear" w:color="auto" w:fill="auto"/>
                  <w:noWrap w:val="0"/>
                  <w:vAlign w:val="center"/>
                </w:tcPr>
                <w:p w14:paraId="1BD86282">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2"/>
                      <w:sz w:val="21"/>
                      <w:szCs w:val="21"/>
                      <w:highlight w:val="none"/>
                      <w:u w:val="none"/>
                      <w:lang w:val="en-US" w:eastAsia="zh-CN" w:bidi="ar-SA"/>
                    </w:rPr>
                    <w:t>输送原料进入配料秤斗</w:t>
                  </w:r>
                </w:p>
              </w:tc>
            </w:tr>
            <w:tr w14:paraId="0B4635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086208F6">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7</w:t>
                  </w:r>
                </w:p>
              </w:tc>
              <w:tc>
                <w:tcPr>
                  <w:tcW w:w="1116" w:type="pct"/>
                  <w:tcBorders>
                    <w:tl2br w:val="nil"/>
                    <w:tr2bl w:val="nil"/>
                  </w:tcBorders>
                  <w:noWrap w:val="0"/>
                  <w:vAlign w:val="center"/>
                </w:tcPr>
                <w:p w14:paraId="5BF9C458">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配料秤斗</w:t>
                  </w:r>
                </w:p>
              </w:tc>
              <w:tc>
                <w:tcPr>
                  <w:tcW w:w="1722" w:type="pct"/>
                  <w:tcBorders>
                    <w:tl2br w:val="nil"/>
                    <w:tr2bl w:val="nil"/>
                  </w:tcBorders>
                  <w:noWrap w:val="0"/>
                  <w:vAlign w:val="center"/>
                </w:tcPr>
                <w:p w14:paraId="249E4A10">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料斗容积：3m</w:t>
                  </w:r>
                  <w:r>
                    <w:rPr>
                      <w:rFonts w:hint="default" w:ascii="Times New Roman" w:hAnsi="Times New Roman" w:eastAsia="宋体" w:cs="Times New Roman"/>
                      <w:color w:val="auto"/>
                      <w:kern w:val="0"/>
                      <w:sz w:val="21"/>
                      <w:szCs w:val="21"/>
                      <w:highlight w:val="none"/>
                      <w:vertAlign w:val="superscript"/>
                      <w:lang w:val="en-US" w:eastAsia="zh-CN"/>
                    </w:rPr>
                    <w:t>3</w:t>
                  </w:r>
                </w:p>
              </w:tc>
              <w:tc>
                <w:tcPr>
                  <w:tcW w:w="456" w:type="pct"/>
                  <w:tcBorders>
                    <w:tl2br w:val="nil"/>
                    <w:tr2bl w:val="nil"/>
                  </w:tcBorders>
                  <w:shd w:val="clear" w:color="auto" w:fill="auto"/>
                  <w:noWrap w:val="0"/>
                  <w:vAlign w:val="center"/>
                </w:tcPr>
                <w:p w14:paraId="4819CB49">
                  <w:pPr>
                    <w:keepNext w:val="0"/>
                    <w:keepLines w:val="0"/>
                    <w:pageBreakBefore w:val="0"/>
                    <w:widowControl/>
                    <w:kinsoku/>
                    <w:wordWrap/>
                    <w:overflowPunct/>
                    <w:topLinePunct w:val="0"/>
                    <w:autoSpaceDE/>
                    <w:autoSpaceDN/>
                    <w:bidi w:val="0"/>
                    <w:adjustRightInd/>
                    <w:snapToGrid w:val="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4台</w:t>
                  </w:r>
                </w:p>
              </w:tc>
              <w:tc>
                <w:tcPr>
                  <w:tcW w:w="1263" w:type="pct"/>
                  <w:tcBorders>
                    <w:tl2br w:val="nil"/>
                    <w:tr2bl w:val="nil"/>
                  </w:tcBorders>
                  <w:shd w:val="clear" w:color="auto" w:fill="auto"/>
                  <w:noWrap w:val="0"/>
                  <w:vAlign w:val="center"/>
                </w:tcPr>
                <w:p w14:paraId="7049737D">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计量好后的物料，通过螺旋输送机导进主斗提机，提升到混合机上的待混料仓中</w:t>
                  </w:r>
                </w:p>
              </w:tc>
            </w:tr>
            <w:tr w14:paraId="64FC2A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1E6E87BA">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8</w:t>
                  </w:r>
                </w:p>
              </w:tc>
              <w:tc>
                <w:tcPr>
                  <w:tcW w:w="1116" w:type="pct"/>
                  <w:tcBorders>
                    <w:tl2br w:val="nil"/>
                    <w:tr2bl w:val="nil"/>
                  </w:tcBorders>
                  <w:noWrap w:val="0"/>
                  <w:vAlign w:val="center"/>
                </w:tcPr>
                <w:p w14:paraId="075B4AD2">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气动蝶阀</w:t>
                  </w:r>
                </w:p>
              </w:tc>
              <w:tc>
                <w:tcPr>
                  <w:tcW w:w="1722" w:type="pct"/>
                  <w:tcBorders>
                    <w:tl2br w:val="nil"/>
                    <w:tr2bl w:val="nil"/>
                  </w:tcBorders>
                  <w:noWrap w:val="0"/>
                  <w:vAlign w:val="center"/>
                </w:tcPr>
                <w:p w14:paraId="6E3F0958">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规格：DN350</w:t>
                  </w:r>
                </w:p>
              </w:tc>
              <w:tc>
                <w:tcPr>
                  <w:tcW w:w="456" w:type="pct"/>
                  <w:tcBorders>
                    <w:tl2br w:val="nil"/>
                    <w:tr2bl w:val="nil"/>
                  </w:tcBorders>
                  <w:noWrap w:val="0"/>
                  <w:vAlign w:val="center"/>
                </w:tcPr>
                <w:p w14:paraId="6711FBD4">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6</w:t>
                  </w:r>
                  <w:r>
                    <w:rPr>
                      <w:rFonts w:hint="default" w:ascii="Times New Roman" w:hAnsi="Times New Roman" w:eastAsia="宋体" w:cs="Times New Roman"/>
                      <w:i w:val="0"/>
                      <w:iCs w:val="0"/>
                      <w:color w:val="auto"/>
                      <w:kern w:val="0"/>
                      <w:sz w:val="21"/>
                      <w:szCs w:val="21"/>
                      <w:highlight w:val="none"/>
                      <w:u w:val="none"/>
                      <w:lang w:val="en-US" w:eastAsia="zh-CN"/>
                    </w:rPr>
                    <w:t>套</w:t>
                  </w:r>
                </w:p>
              </w:tc>
              <w:tc>
                <w:tcPr>
                  <w:tcW w:w="1263" w:type="pct"/>
                  <w:tcBorders>
                    <w:tl2br w:val="nil"/>
                    <w:tr2bl w:val="nil"/>
                  </w:tcBorders>
                  <w:noWrap w:val="0"/>
                  <w:vAlign w:val="center"/>
                </w:tcPr>
                <w:p w14:paraId="0D3DC6FF">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气动放料</w:t>
                  </w:r>
                </w:p>
              </w:tc>
            </w:tr>
            <w:tr w14:paraId="43ED91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25821F0E">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9</w:t>
                  </w:r>
                </w:p>
              </w:tc>
              <w:tc>
                <w:tcPr>
                  <w:tcW w:w="1116" w:type="pct"/>
                  <w:tcBorders>
                    <w:tl2br w:val="nil"/>
                    <w:tr2bl w:val="nil"/>
                  </w:tcBorders>
                  <w:noWrap w:val="0"/>
                  <w:vAlign w:val="center"/>
                </w:tcPr>
                <w:p w14:paraId="6E333983">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电动吊篮（提小料）</w:t>
                  </w:r>
                </w:p>
              </w:tc>
              <w:tc>
                <w:tcPr>
                  <w:tcW w:w="1722" w:type="pct"/>
                  <w:tcBorders>
                    <w:tl2br w:val="nil"/>
                    <w:tr2bl w:val="nil"/>
                  </w:tcBorders>
                  <w:noWrap w:val="0"/>
                  <w:vAlign w:val="center"/>
                </w:tcPr>
                <w:p w14:paraId="5B2D5FAF">
                  <w:pPr>
                    <w:keepNext w:val="0"/>
                    <w:keepLines w:val="0"/>
                    <w:pageBreakBefore w:val="0"/>
                    <w:kinsoku/>
                    <w:wordWrap/>
                    <w:overflowPunct/>
                    <w:topLinePunct w:val="0"/>
                    <w:autoSpaceDE/>
                    <w:autoSpaceDN/>
                    <w:bidi w:val="0"/>
                    <w:adjustRightInd/>
                    <w:snapToGrid w:val="0"/>
                    <w:jc w:val="center"/>
                    <w:rPr>
                      <w:rFonts w:hint="default" w:ascii="宋体" w:hAnsi="宋体" w:eastAsia="宋体" w:cs="宋体"/>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电机功率：2.2</w:t>
                  </w:r>
                  <w:r>
                    <w:rPr>
                      <w:rFonts w:hint="eastAsia" w:cs="Times New Roman"/>
                      <w:i w:val="0"/>
                      <w:iCs w:val="0"/>
                      <w:color w:val="auto"/>
                      <w:sz w:val="21"/>
                      <w:szCs w:val="21"/>
                      <w:highlight w:val="none"/>
                      <w:u w:val="none"/>
                      <w:lang w:val="en-US" w:eastAsia="zh-CN"/>
                    </w:rPr>
                    <w:t>kW</w:t>
                  </w:r>
                </w:p>
              </w:tc>
              <w:tc>
                <w:tcPr>
                  <w:tcW w:w="456" w:type="pct"/>
                  <w:tcBorders>
                    <w:tl2br w:val="nil"/>
                    <w:tr2bl w:val="nil"/>
                  </w:tcBorders>
                  <w:noWrap w:val="0"/>
                  <w:vAlign w:val="center"/>
                </w:tcPr>
                <w:p w14:paraId="2A690BD3">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w:t>
                  </w:r>
                  <w:r>
                    <w:rPr>
                      <w:rFonts w:hint="eastAsia" w:cs="Times New Roman"/>
                      <w:i w:val="0"/>
                      <w:iCs w:val="0"/>
                      <w:color w:val="auto"/>
                      <w:kern w:val="0"/>
                      <w:sz w:val="21"/>
                      <w:szCs w:val="21"/>
                      <w:highlight w:val="none"/>
                      <w:u w:val="none"/>
                      <w:lang w:val="en-US" w:eastAsia="zh-CN"/>
                    </w:rPr>
                    <w:t>套</w:t>
                  </w:r>
                </w:p>
              </w:tc>
              <w:tc>
                <w:tcPr>
                  <w:tcW w:w="1263" w:type="pct"/>
                  <w:tcBorders>
                    <w:tl2br w:val="nil"/>
                    <w:tr2bl w:val="nil"/>
                  </w:tcBorders>
                  <w:noWrap w:val="0"/>
                  <w:vAlign w:val="center"/>
                </w:tcPr>
                <w:p w14:paraId="4CBFA0D0">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ascii="宋体" w:hAnsi="宋体"/>
                      <w:color w:val="auto"/>
                      <w:sz w:val="21"/>
                      <w:szCs w:val="21"/>
                      <w:highlight w:val="none"/>
                    </w:rPr>
                    <w:t>提小料</w:t>
                  </w:r>
                </w:p>
              </w:tc>
            </w:tr>
            <w:tr w14:paraId="1C9E12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3E95B9F7">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w:t>
                  </w:r>
                </w:p>
              </w:tc>
              <w:tc>
                <w:tcPr>
                  <w:tcW w:w="1116" w:type="pct"/>
                  <w:tcBorders>
                    <w:tl2br w:val="nil"/>
                    <w:tr2bl w:val="nil"/>
                  </w:tcBorders>
                  <w:noWrap w:val="0"/>
                  <w:vAlign w:val="center"/>
                </w:tcPr>
                <w:p w14:paraId="08D4FEF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kern w:val="0"/>
                      <w:sz w:val="21"/>
                      <w:szCs w:val="21"/>
                      <w:highlight w:val="none"/>
                      <w:u w:val="none"/>
                      <w:lang w:val="en-US" w:eastAsia="zh-CN"/>
                    </w:rPr>
                  </w:pPr>
                  <w:r>
                    <w:rPr>
                      <w:rFonts w:hint="default" w:cs="Times New Roman"/>
                      <w:i w:val="0"/>
                      <w:iCs w:val="0"/>
                      <w:color w:val="auto"/>
                      <w:kern w:val="0"/>
                      <w:sz w:val="21"/>
                      <w:szCs w:val="21"/>
                      <w:highlight w:val="none"/>
                      <w:u w:val="none"/>
                      <w:lang w:val="en-US" w:eastAsia="zh-CN"/>
                    </w:rPr>
                    <w:t>小料仓</w:t>
                  </w:r>
                </w:p>
              </w:tc>
              <w:tc>
                <w:tcPr>
                  <w:tcW w:w="1722" w:type="pct"/>
                  <w:tcBorders>
                    <w:tl2br w:val="nil"/>
                    <w:tr2bl w:val="nil"/>
                  </w:tcBorders>
                  <w:noWrap w:val="0"/>
                  <w:vAlign w:val="center"/>
                </w:tcPr>
                <w:p w14:paraId="248186A4">
                  <w:pPr>
                    <w:keepNext w:val="0"/>
                    <w:keepLines w:val="0"/>
                    <w:pageBreakBefore w:val="0"/>
                    <w:kinsoku/>
                    <w:wordWrap/>
                    <w:overflowPunct/>
                    <w:topLinePunct w:val="0"/>
                    <w:autoSpaceDE/>
                    <w:autoSpaceDN/>
                    <w:bidi w:val="0"/>
                    <w:adjustRightInd/>
                    <w:snapToGrid w:val="0"/>
                    <w:jc w:val="center"/>
                    <w:rPr>
                      <w:rFonts w:hint="default" w:ascii="Times New Roman" w:hAnsi="Times New Roman"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容积：300kg</w:t>
                  </w:r>
                </w:p>
              </w:tc>
              <w:tc>
                <w:tcPr>
                  <w:tcW w:w="456" w:type="pct"/>
                  <w:tcBorders>
                    <w:tl2br w:val="nil"/>
                    <w:tr2bl w:val="nil"/>
                  </w:tcBorders>
                  <w:noWrap w:val="0"/>
                  <w:vAlign w:val="center"/>
                </w:tcPr>
                <w:p w14:paraId="6F98BFD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w:t>
                  </w:r>
                  <w:r>
                    <w:rPr>
                      <w:rFonts w:hint="eastAsia" w:cs="Times New Roman"/>
                      <w:i w:val="0"/>
                      <w:iCs w:val="0"/>
                      <w:color w:val="auto"/>
                      <w:kern w:val="0"/>
                      <w:sz w:val="21"/>
                      <w:szCs w:val="21"/>
                      <w:highlight w:val="none"/>
                      <w:u w:val="none"/>
                      <w:lang w:val="en-US" w:eastAsia="zh-CN"/>
                    </w:rPr>
                    <w:t>个</w:t>
                  </w:r>
                </w:p>
              </w:tc>
              <w:tc>
                <w:tcPr>
                  <w:tcW w:w="1263" w:type="pct"/>
                  <w:tcBorders>
                    <w:tl2br w:val="nil"/>
                    <w:tr2bl w:val="nil"/>
                  </w:tcBorders>
                  <w:noWrap w:val="0"/>
                  <w:vAlign w:val="center"/>
                </w:tcPr>
                <w:p w14:paraId="64159586">
                  <w:pPr>
                    <w:keepNext w:val="0"/>
                    <w:keepLines w:val="0"/>
                    <w:pageBreakBefore w:val="0"/>
                    <w:kinsoku/>
                    <w:wordWrap/>
                    <w:overflowPunct/>
                    <w:topLinePunct w:val="0"/>
                    <w:autoSpaceDE/>
                    <w:autoSpaceDN/>
                    <w:bidi w:val="0"/>
                    <w:adjustRightInd/>
                    <w:snapToGrid w:val="0"/>
                    <w:jc w:val="center"/>
                    <w:rPr>
                      <w:rFonts w:hint="default" w:cs="Times New Roman"/>
                      <w:i w:val="0"/>
                      <w:iCs w:val="0"/>
                      <w:color w:val="auto"/>
                      <w:kern w:val="0"/>
                      <w:sz w:val="21"/>
                      <w:szCs w:val="21"/>
                      <w:highlight w:val="none"/>
                      <w:u w:val="none"/>
                      <w:lang w:val="en-US" w:eastAsia="zh-CN"/>
                    </w:rPr>
                  </w:pPr>
                  <w:r>
                    <w:rPr>
                      <w:rFonts w:hint="default" w:cs="Times New Roman"/>
                      <w:i w:val="0"/>
                      <w:iCs w:val="0"/>
                      <w:color w:val="auto"/>
                      <w:kern w:val="0"/>
                      <w:sz w:val="21"/>
                      <w:szCs w:val="21"/>
                      <w:highlight w:val="none"/>
                      <w:u w:val="none"/>
                      <w:lang w:val="en-US" w:eastAsia="zh-CN"/>
                    </w:rPr>
                    <w:t>人工投小料进仓</w:t>
                  </w:r>
                </w:p>
              </w:tc>
            </w:tr>
            <w:tr w14:paraId="01B47C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shd w:val="clear" w:color="auto" w:fill="auto"/>
                  <w:noWrap w:val="0"/>
                  <w:vAlign w:val="center"/>
                </w:tcPr>
                <w:p w14:paraId="361F41D4">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11</w:t>
                  </w:r>
                </w:p>
              </w:tc>
              <w:tc>
                <w:tcPr>
                  <w:tcW w:w="1116" w:type="pct"/>
                  <w:tcBorders>
                    <w:tl2br w:val="nil"/>
                    <w:tr2bl w:val="nil"/>
                  </w:tcBorders>
                  <w:shd w:val="clear" w:color="auto" w:fill="FFFFFF"/>
                  <w:noWrap w:val="0"/>
                  <w:vAlign w:val="center"/>
                </w:tcPr>
                <w:p w14:paraId="6E399F04">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小料螺旋输送机</w:t>
                  </w:r>
                </w:p>
              </w:tc>
              <w:tc>
                <w:tcPr>
                  <w:tcW w:w="1722" w:type="pct"/>
                  <w:tcBorders>
                    <w:tl2br w:val="nil"/>
                    <w:tr2bl w:val="nil"/>
                  </w:tcBorders>
                  <w:shd w:val="clear" w:color="auto" w:fill="FFFFFF"/>
                  <w:noWrap w:val="0"/>
                  <w:vAlign w:val="center"/>
                </w:tcPr>
                <w:p w14:paraId="2D9CFE8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rPr>
                    <w:t>型号：LSY108</w:t>
                  </w:r>
                  <w:r>
                    <w:rPr>
                      <w:rFonts w:hint="eastAsia" w:cs="Times New Roman"/>
                      <w:i w:val="0"/>
                      <w:iCs w:val="0"/>
                      <w:color w:val="auto"/>
                      <w:sz w:val="21"/>
                      <w:szCs w:val="21"/>
                      <w:highlight w:val="none"/>
                      <w:u w:val="none"/>
                      <w:lang w:val="en-US" w:eastAsia="zh-CN"/>
                    </w:rPr>
                    <w:t>；电机功率：2.2kW</w:t>
                  </w:r>
                </w:p>
              </w:tc>
              <w:tc>
                <w:tcPr>
                  <w:tcW w:w="456" w:type="pct"/>
                  <w:tcBorders>
                    <w:tl2br w:val="nil"/>
                    <w:tr2bl w:val="nil"/>
                  </w:tcBorders>
                  <w:shd w:val="clear" w:color="auto" w:fill="FFFFFF"/>
                  <w:noWrap w:val="0"/>
                  <w:vAlign w:val="center"/>
                </w:tcPr>
                <w:p w14:paraId="62B09E30">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4套</w:t>
                  </w:r>
                </w:p>
              </w:tc>
              <w:tc>
                <w:tcPr>
                  <w:tcW w:w="1263" w:type="pct"/>
                  <w:tcBorders>
                    <w:tl2br w:val="nil"/>
                    <w:tr2bl w:val="nil"/>
                  </w:tcBorders>
                  <w:shd w:val="clear" w:color="auto" w:fill="FFFFFF"/>
                  <w:noWrap w:val="0"/>
                  <w:vAlign w:val="center"/>
                </w:tcPr>
                <w:p w14:paraId="57387C90">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输送小料进入小料计量仓</w:t>
                  </w:r>
                </w:p>
              </w:tc>
            </w:tr>
            <w:tr w14:paraId="5EB55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2C9672EE">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12</w:t>
                  </w:r>
                </w:p>
              </w:tc>
              <w:tc>
                <w:tcPr>
                  <w:tcW w:w="1116" w:type="pct"/>
                  <w:tcBorders>
                    <w:tl2br w:val="nil"/>
                    <w:tr2bl w:val="nil"/>
                  </w:tcBorders>
                  <w:noWrap w:val="0"/>
                  <w:vAlign w:val="center"/>
                </w:tcPr>
                <w:p w14:paraId="2B5A5902">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小料计量仓</w:t>
                  </w:r>
                </w:p>
              </w:tc>
              <w:tc>
                <w:tcPr>
                  <w:tcW w:w="1722" w:type="pct"/>
                  <w:tcBorders>
                    <w:tl2br w:val="nil"/>
                    <w:tr2bl w:val="nil"/>
                  </w:tcBorders>
                  <w:noWrap w:val="0"/>
                  <w:vAlign w:val="center"/>
                </w:tcPr>
                <w:p w14:paraId="5508705E">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容积：100kg</w:t>
                  </w:r>
                </w:p>
              </w:tc>
              <w:tc>
                <w:tcPr>
                  <w:tcW w:w="456" w:type="pct"/>
                  <w:tcBorders>
                    <w:tl2br w:val="nil"/>
                    <w:tr2bl w:val="nil"/>
                  </w:tcBorders>
                  <w:noWrap w:val="0"/>
                  <w:vAlign w:val="center"/>
                </w:tcPr>
                <w:p w14:paraId="6BBE61C3">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w:t>
                  </w:r>
                  <w:r>
                    <w:rPr>
                      <w:rFonts w:hint="eastAsia" w:cs="Times New Roman"/>
                      <w:i w:val="0"/>
                      <w:iCs w:val="0"/>
                      <w:color w:val="auto"/>
                      <w:kern w:val="2"/>
                      <w:sz w:val="21"/>
                      <w:szCs w:val="21"/>
                      <w:highlight w:val="none"/>
                      <w:u w:val="none"/>
                      <w:lang w:val="en-US" w:eastAsia="zh-CN" w:bidi="ar-SA"/>
                    </w:rPr>
                    <w:t>个</w:t>
                  </w:r>
                </w:p>
              </w:tc>
              <w:tc>
                <w:tcPr>
                  <w:tcW w:w="1263" w:type="pct"/>
                  <w:tcBorders>
                    <w:tl2br w:val="nil"/>
                    <w:tr2bl w:val="nil"/>
                  </w:tcBorders>
                  <w:noWrap w:val="0"/>
                  <w:vAlign w:val="center"/>
                </w:tcPr>
                <w:p w14:paraId="333BCEEF">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小料配比仓</w:t>
                  </w:r>
                </w:p>
              </w:tc>
            </w:tr>
            <w:tr w14:paraId="3A8EAF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264E0C61">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13</w:t>
                  </w:r>
                </w:p>
              </w:tc>
              <w:tc>
                <w:tcPr>
                  <w:tcW w:w="1116" w:type="pct"/>
                  <w:tcBorders>
                    <w:tl2br w:val="nil"/>
                    <w:tr2bl w:val="nil"/>
                  </w:tcBorders>
                  <w:noWrap w:val="0"/>
                  <w:vAlign w:val="center"/>
                </w:tcPr>
                <w:p w14:paraId="026A7866">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单轴犁刀式混合机</w:t>
                  </w:r>
                </w:p>
              </w:tc>
              <w:tc>
                <w:tcPr>
                  <w:tcW w:w="1722" w:type="pct"/>
                  <w:tcBorders>
                    <w:tl2br w:val="nil"/>
                    <w:tr2bl w:val="nil"/>
                  </w:tcBorders>
                  <w:noWrap w:val="0"/>
                  <w:vAlign w:val="center"/>
                </w:tcPr>
                <w:p w14:paraId="4E12AD3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i w:val="0"/>
                      <w:iCs w:val="0"/>
                      <w:color w:val="auto"/>
                      <w:sz w:val="21"/>
                      <w:szCs w:val="21"/>
                      <w:highlight w:val="none"/>
                      <w:u w:val="none"/>
                      <w:lang w:eastAsia="zh-CN"/>
                    </w:rPr>
                  </w:pPr>
                  <w:r>
                    <w:rPr>
                      <w:rFonts w:hint="default" w:ascii="Times New Roman" w:hAnsi="Times New Roman" w:eastAsia="宋体" w:cs="Times New Roman"/>
                      <w:i w:val="0"/>
                      <w:iCs w:val="0"/>
                      <w:color w:val="auto"/>
                      <w:sz w:val="21"/>
                      <w:szCs w:val="21"/>
                      <w:highlight w:val="none"/>
                      <w:u w:val="none"/>
                    </w:rPr>
                    <w:t>容积：</w:t>
                  </w:r>
                  <w:r>
                    <w:rPr>
                      <w:rFonts w:hint="eastAsia" w:cs="Times New Roman"/>
                      <w:i w:val="0"/>
                      <w:iCs w:val="0"/>
                      <w:color w:val="auto"/>
                      <w:sz w:val="21"/>
                      <w:szCs w:val="21"/>
                      <w:highlight w:val="none"/>
                      <w:u w:val="none"/>
                      <w:lang w:val="en-US" w:eastAsia="zh-CN"/>
                    </w:rPr>
                    <w:t>3</w:t>
                  </w:r>
                  <w:r>
                    <w:rPr>
                      <w:rFonts w:hint="default" w:ascii="Times New Roman" w:hAnsi="Times New Roman" w:eastAsia="宋体" w:cs="Times New Roman"/>
                      <w:i w:val="0"/>
                      <w:iCs w:val="0"/>
                      <w:color w:val="auto"/>
                      <w:sz w:val="21"/>
                      <w:szCs w:val="21"/>
                      <w:highlight w:val="none"/>
                      <w:u w:val="none"/>
                    </w:rPr>
                    <w:t>m³</w:t>
                  </w:r>
                  <w:r>
                    <w:rPr>
                      <w:rFonts w:hint="eastAsia" w:cs="Times New Roman"/>
                      <w:i w:val="0"/>
                      <w:iCs w:val="0"/>
                      <w:color w:val="auto"/>
                      <w:sz w:val="21"/>
                      <w:szCs w:val="21"/>
                      <w:highlight w:val="none"/>
                      <w:u w:val="none"/>
                      <w:lang w:eastAsia="zh-CN"/>
                    </w:rPr>
                    <w:t>，电机型号：</w:t>
                  </w:r>
                  <w:r>
                    <w:rPr>
                      <w:rFonts w:hint="eastAsia" w:cs="Times New Roman"/>
                      <w:i w:val="0"/>
                      <w:iCs w:val="0"/>
                      <w:color w:val="auto"/>
                      <w:sz w:val="21"/>
                      <w:szCs w:val="21"/>
                      <w:highlight w:val="none"/>
                      <w:u w:val="none"/>
                      <w:lang w:val="en-US" w:eastAsia="zh-CN"/>
                    </w:rPr>
                    <w:t>55kW</w:t>
                  </w:r>
                </w:p>
              </w:tc>
              <w:tc>
                <w:tcPr>
                  <w:tcW w:w="456" w:type="pct"/>
                  <w:tcBorders>
                    <w:tl2br w:val="nil"/>
                    <w:tr2bl w:val="nil"/>
                  </w:tcBorders>
                  <w:noWrap w:val="0"/>
                  <w:vAlign w:val="center"/>
                </w:tcPr>
                <w:p w14:paraId="61268E12">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w:t>
                  </w:r>
                  <w:r>
                    <w:rPr>
                      <w:rFonts w:hint="eastAsia" w:cs="Times New Roman"/>
                      <w:i w:val="0"/>
                      <w:iCs w:val="0"/>
                      <w:color w:val="auto"/>
                      <w:kern w:val="2"/>
                      <w:sz w:val="21"/>
                      <w:szCs w:val="21"/>
                      <w:highlight w:val="none"/>
                      <w:u w:val="none"/>
                      <w:lang w:val="en-US" w:eastAsia="zh-CN" w:bidi="ar-SA"/>
                    </w:rPr>
                    <w:t>台</w:t>
                  </w:r>
                </w:p>
              </w:tc>
              <w:tc>
                <w:tcPr>
                  <w:tcW w:w="1263" w:type="pct"/>
                  <w:tcBorders>
                    <w:tl2br w:val="nil"/>
                    <w:tr2bl w:val="nil"/>
                  </w:tcBorders>
                  <w:noWrap w:val="0"/>
                  <w:vAlign w:val="center"/>
                </w:tcPr>
                <w:p w14:paraId="0C9FCAE9">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混合均匀度高等特点，大开门机构无漏料，无残余卸料</w:t>
                  </w:r>
                </w:p>
              </w:tc>
            </w:tr>
            <w:tr w14:paraId="7C22DB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25B649C6">
                  <w:pPr>
                    <w:keepNext w:val="0"/>
                    <w:keepLines w:val="0"/>
                    <w:pageBreakBefore w:val="0"/>
                    <w:kinsoku/>
                    <w:wordWrap/>
                    <w:overflowPunct/>
                    <w:topLinePunct w:val="0"/>
                    <w:autoSpaceDE/>
                    <w:autoSpaceDN/>
                    <w:bidi w:val="0"/>
                    <w:adjustRightInd/>
                    <w:snapToGrid w:val="0"/>
                    <w:jc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14</w:t>
                  </w:r>
                </w:p>
              </w:tc>
              <w:tc>
                <w:tcPr>
                  <w:tcW w:w="1116" w:type="pct"/>
                  <w:tcBorders>
                    <w:tl2br w:val="nil"/>
                    <w:tr2bl w:val="nil"/>
                  </w:tcBorders>
                  <w:noWrap w:val="0"/>
                  <w:vAlign w:val="center"/>
                </w:tcPr>
                <w:p w14:paraId="0A53ECC8">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双轴混合机</w:t>
                  </w:r>
                </w:p>
              </w:tc>
              <w:tc>
                <w:tcPr>
                  <w:tcW w:w="1722" w:type="pct"/>
                  <w:tcBorders>
                    <w:tl2br w:val="nil"/>
                    <w:tr2bl w:val="nil"/>
                  </w:tcBorders>
                  <w:noWrap w:val="0"/>
                  <w:vAlign w:val="center"/>
                </w:tcPr>
                <w:p w14:paraId="10CABD2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容积：</w:t>
                  </w:r>
                  <w:r>
                    <w:rPr>
                      <w:rFonts w:hint="eastAsia" w:cs="Times New Roman"/>
                      <w:i w:val="0"/>
                      <w:iCs w:val="0"/>
                      <w:color w:val="auto"/>
                      <w:sz w:val="21"/>
                      <w:szCs w:val="21"/>
                      <w:highlight w:val="none"/>
                      <w:u w:val="none"/>
                      <w:lang w:val="en-US" w:eastAsia="zh-CN"/>
                    </w:rPr>
                    <w:t>3</w:t>
                  </w:r>
                  <w:r>
                    <w:rPr>
                      <w:rFonts w:hint="default" w:ascii="Times New Roman" w:hAnsi="Times New Roman" w:eastAsia="宋体" w:cs="Times New Roman"/>
                      <w:i w:val="0"/>
                      <w:iCs w:val="0"/>
                      <w:color w:val="auto"/>
                      <w:sz w:val="21"/>
                      <w:szCs w:val="21"/>
                      <w:highlight w:val="none"/>
                      <w:u w:val="none"/>
                    </w:rPr>
                    <w:t>m³</w:t>
                  </w:r>
                  <w:r>
                    <w:rPr>
                      <w:rFonts w:hint="eastAsia" w:cs="Times New Roman"/>
                      <w:i w:val="0"/>
                      <w:iCs w:val="0"/>
                      <w:color w:val="auto"/>
                      <w:sz w:val="21"/>
                      <w:szCs w:val="21"/>
                      <w:highlight w:val="none"/>
                      <w:u w:val="none"/>
                      <w:lang w:eastAsia="zh-CN"/>
                    </w:rPr>
                    <w:t>，电机型号：</w:t>
                  </w:r>
                  <w:r>
                    <w:rPr>
                      <w:rFonts w:hint="eastAsia" w:cs="Times New Roman"/>
                      <w:i w:val="0"/>
                      <w:iCs w:val="0"/>
                      <w:color w:val="auto"/>
                      <w:sz w:val="21"/>
                      <w:szCs w:val="21"/>
                      <w:highlight w:val="none"/>
                      <w:u w:val="none"/>
                      <w:lang w:val="en-US" w:eastAsia="zh-CN"/>
                    </w:rPr>
                    <w:t>55kW</w:t>
                  </w:r>
                </w:p>
              </w:tc>
              <w:tc>
                <w:tcPr>
                  <w:tcW w:w="456" w:type="pct"/>
                  <w:tcBorders>
                    <w:tl2br w:val="nil"/>
                    <w:tr2bl w:val="nil"/>
                  </w:tcBorders>
                  <w:noWrap w:val="0"/>
                  <w:vAlign w:val="center"/>
                </w:tcPr>
                <w:p w14:paraId="3EB97648">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1台</w:t>
                  </w:r>
                </w:p>
              </w:tc>
              <w:tc>
                <w:tcPr>
                  <w:tcW w:w="1263" w:type="pct"/>
                  <w:tcBorders>
                    <w:tl2br w:val="nil"/>
                    <w:tr2bl w:val="nil"/>
                  </w:tcBorders>
                  <w:noWrap w:val="0"/>
                  <w:vAlign w:val="center"/>
                </w:tcPr>
                <w:p w14:paraId="74B4A304">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双输出变速箱传动；低速运转，双大开门，四级电机</w:t>
                  </w:r>
                </w:p>
              </w:tc>
            </w:tr>
            <w:tr w14:paraId="51AB2B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161FCFB3">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14</w:t>
                  </w:r>
                </w:p>
              </w:tc>
              <w:tc>
                <w:tcPr>
                  <w:tcW w:w="1116" w:type="pct"/>
                  <w:tcBorders>
                    <w:tl2br w:val="nil"/>
                    <w:tr2bl w:val="nil"/>
                  </w:tcBorders>
                  <w:noWrap w:val="0"/>
                  <w:vAlign w:val="center"/>
                </w:tcPr>
                <w:p w14:paraId="4ACB4818">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过渡仓</w:t>
                  </w:r>
                </w:p>
              </w:tc>
              <w:tc>
                <w:tcPr>
                  <w:tcW w:w="1722" w:type="pct"/>
                  <w:tcBorders>
                    <w:tl2br w:val="nil"/>
                    <w:tr2bl w:val="nil"/>
                  </w:tcBorders>
                  <w:noWrap w:val="0"/>
                  <w:vAlign w:val="center"/>
                </w:tcPr>
                <w:p w14:paraId="52C13CAF">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全容积：</w:t>
                  </w:r>
                  <w:r>
                    <w:rPr>
                      <w:rFonts w:hint="eastAsia" w:cs="Times New Roman"/>
                      <w:i w:val="0"/>
                      <w:iCs w:val="0"/>
                      <w:color w:val="auto"/>
                      <w:sz w:val="21"/>
                      <w:szCs w:val="21"/>
                      <w:highlight w:val="none"/>
                      <w:u w:val="none"/>
                      <w:lang w:val="en-US" w:eastAsia="zh-CN"/>
                    </w:rPr>
                    <w:t>6</w:t>
                  </w:r>
                  <w:r>
                    <w:rPr>
                      <w:rFonts w:hint="default" w:ascii="Times New Roman" w:hAnsi="Times New Roman" w:eastAsia="宋体" w:cs="Times New Roman"/>
                      <w:i w:val="0"/>
                      <w:iCs w:val="0"/>
                      <w:color w:val="auto"/>
                      <w:sz w:val="21"/>
                      <w:szCs w:val="21"/>
                      <w:highlight w:val="none"/>
                      <w:u w:val="none"/>
                    </w:rPr>
                    <w:t>m³</w:t>
                  </w:r>
                </w:p>
              </w:tc>
              <w:tc>
                <w:tcPr>
                  <w:tcW w:w="456" w:type="pct"/>
                  <w:tcBorders>
                    <w:tl2br w:val="nil"/>
                    <w:tr2bl w:val="nil"/>
                  </w:tcBorders>
                  <w:noWrap w:val="0"/>
                  <w:vAlign w:val="center"/>
                </w:tcPr>
                <w:p w14:paraId="0154586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w:t>
                  </w:r>
                  <w:r>
                    <w:rPr>
                      <w:rFonts w:hint="eastAsia" w:cs="Times New Roman"/>
                      <w:i w:val="0"/>
                      <w:iCs w:val="0"/>
                      <w:color w:val="auto"/>
                      <w:kern w:val="2"/>
                      <w:sz w:val="21"/>
                      <w:szCs w:val="21"/>
                      <w:highlight w:val="none"/>
                      <w:u w:val="none"/>
                      <w:lang w:val="en-US" w:eastAsia="zh-CN" w:bidi="ar-SA"/>
                    </w:rPr>
                    <w:t>套</w:t>
                  </w:r>
                </w:p>
              </w:tc>
              <w:tc>
                <w:tcPr>
                  <w:tcW w:w="1263" w:type="pct"/>
                  <w:tcBorders>
                    <w:tl2br w:val="nil"/>
                    <w:tr2bl w:val="nil"/>
                  </w:tcBorders>
                  <w:noWrap w:val="0"/>
                  <w:vAlign w:val="center"/>
                </w:tcPr>
                <w:p w14:paraId="6354FB85">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储存已完成搅拌的成品</w:t>
                  </w:r>
                </w:p>
              </w:tc>
            </w:tr>
            <w:tr w14:paraId="64934C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5DA5C052">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15</w:t>
                  </w:r>
                </w:p>
              </w:tc>
              <w:tc>
                <w:tcPr>
                  <w:tcW w:w="1116" w:type="pct"/>
                  <w:tcBorders>
                    <w:tl2br w:val="nil"/>
                    <w:tr2bl w:val="nil"/>
                  </w:tcBorders>
                  <w:noWrap w:val="0"/>
                  <w:vAlign w:val="center"/>
                </w:tcPr>
                <w:p w14:paraId="1CF99508">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气动三通</w:t>
                  </w:r>
                </w:p>
              </w:tc>
              <w:tc>
                <w:tcPr>
                  <w:tcW w:w="1722" w:type="pct"/>
                  <w:tcBorders>
                    <w:tl2br w:val="nil"/>
                    <w:tr2bl w:val="nil"/>
                  </w:tcBorders>
                  <w:noWrap w:val="0"/>
                  <w:vAlign w:val="center"/>
                </w:tcPr>
                <w:p w14:paraId="62C2337B">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iCs w:val="0"/>
                      <w:color w:val="auto"/>
                      <w:sz w:val="21"/>
                      <w:szCs w:val="21"/>
                      <w:highlight w:val="none"/>
                      <w:u w:val="none"/>
                      <w:lang w:eastAsia="zh-CN"/>
                    </w:rPr>
                  </w:pPr>
                  <w:r>
                    <w:rPr>
                      <w:rFonts w:hint="default" w:ascii="Times New Roman" w:hAnsi="Times New Roman" w:eastAsia="宋体" w:cs="Times New Roman"/>
                      <w:i w:val="0"/>
                      <w:iCs w:val="0"/>
                      <w:color w:val="auto"/>
                      <w:sz w:val="21"/>
                      <w:szCs w:val="21"/>
                      <w:highlight w:val="none"/>
                      <w:u w:val="none"/>
                    </w:rPr>
                    <w:t>蝶阀规格：DN250</w:t>
                  </w:r>
                  <w:r>
                    <w:rPr>
                      <w:rFonts w:hint="eastAsia" w:cs="Times New Roman"/>
                      <w:i w:val="0"/>
                      <w:iCs w:val="0"/>
                      <w:color w:val="auto"/>
                      <w:sz w:val="21"/>
                      <w:szCs w:val="21"/>
                      <w:highlight w:val="none"/>
                      <w:u w:val="none"/>
                      <w:lang w:eastAsia="zh-CN"/>
                    </w:rPr>
                    <w:t>；规格：300</w:t>
                  </w:r>
                </w:p>
              </w:tc>
              <w:tc>
                <w:tcPr>
                  <w:tcW w:w="456" w:type="pct"/>
                  <w:tcBorders>
                    <w:tl2br w:val="nil"/>
                    <w:tr2bl w:val="nil"/>
                  </w:tcBorders>
                  <w:noWrap w:val="0"/>
                  <w:vAlign w:val="center"/>
                </w:tcPr>
                <w:p w14:paraId="625DAF4D">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w:t>
                  </w:r>
                  <w:r>
                    <w:rPr>
                      <w:rFonts w:hint="eastAsia" w:cs="Times New Roman"/>
                      <w:i w:val="0"/>
                      <w:iCs w:val="0"/>
                      <w:color w:val="auto"/>
                      <w:kern w:val="2"/>
                      <w:sz w:val="21"/>
                      <w:szCs w:val="21"/>
                      <w:highlight w:val="none"/>
                      <w:u w:val="none"/>
                      <w:lang w:val="en-US" w:eastAsia="zh-CN" w:bidi="ar-SA"/>
                    </w:rPr>
                    <w:t>套</w:t>
                  </w:r>
                </w:p>
              </w:tc>
              <w:tc>
                <w:tcPr>
                  <w:tcW w:w="1263" w:type="pct"/>
                  <w:tcBorders>
                    <w:tl2br w:val="nil"/>
                    <w:tr2bl w:val="nil"/>
                  </w:tcBorders>
                  <w:noWrap w:val="0"/>
                  <w:vAlign w:val="center"/>
                </w:tcPr>
                <w:p w14:paraId="30D7D938">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利用气体迅速打开过渡仓，让物料进入螺旋</w:t>
                  </w:r>
                  <w:r>
                    <w:rPr>
                      <w:rFonts w:hint="eastAsia" w:cs="Times New Roman"/>
                      <w:i w:val="0"/>
                      <w:iCs w:val="0"/>
                      <w:color w:val="auto"/>
                      <w:kern w:val="2"/>
                      <w:sz w:val="21"/>
                      <w:szCs w:val="21"/>
                      <w:highlight w:val="none"/>
                      <w:u w:val="none"/>
                      <w:lang w:val="en-US" w:eastAsia="zh-CN" w:bidi="ar-SA"/>
                    </w:rPr>
                    <w:t>仓</w:t>
                  </w:r>
                  <w:r>
                    <w:rPr>
                      <w:rFonts w:hint="default" w:ascii="Times New Roman" w:hAnsi="Times New Roman" w:eastAsia="宋体" w:cs="Times New Roman"/>
                      <w:i w:val="0"/>
                      <w:iCs w:val="0"/>
                      <w:color w:val="auto"/>
                      <w:kern w:val="2"/>
                      <w:sz w:val="21"/>
                      <w:szCs w:val="21"/>
                      <w:highlight w:val="none"/>
                      <w:u w:val="none"/>
                      <w:lang w:val="en-US" w:eastAsia="zh-CN" w:bidi="ar-SA"/>
                    </w:rPr>
                    <w:t>和成品仓</w:t>
                  </w:r>
                </w:p>
              </w:tc>
            </w:tr>
            <w:tr w14:paraId="16362E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56D13A97">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16</w:t>
                  </w:r>
                </w:p>
              </w:tc>
              <w:tc>
                <w:tcPr>
                  <w:tcW w:w="1116" w:type="pct"/>
                  <w:tcBorders>
                    <w:tl2br w:val="nil"/>
                    <w:tr2bl w:val="nil"/>
                  </w:tcBorders>
                  <w:noWrap w:val="0"/>
                  <w:vAlign w:val="center"/>
                </w:tcPr>
                <w:p w14:paraId="796092B6">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成品料螺旋输送机</w:t>
                  </w:r>
                </w:p>
              </w:tc>
              <w:tc>
                <w:tcPr>
                  <w:tcW w:w="1722" w:type="pct"/>
                  <w:tcBorders>
                    <w:tl2br w:val="nil"/>
                    <w:tr2bl w:val="nil"/>
                  </w:tcBorders>
                  <w:noWrap w:val="0"/>
                  <w:vAlign w:val="center"/>
                </w:tcPr>
                <w:p w14:paraId="3EF77F46">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iCs w:val="0"/>
                      <w:color w:val="auto"/>
                      <w:sz w:val="21"/>
                      <w:szCs w:val="21"/>
                      <w:highlight w:val="none"/>
                      <w:u w:val="none"/>
                      <w:lang w:eastAsia="zh-CN"/>
                    </w:rPr>
                  </w:pPr>
                  <w:r>
                    <w:rPr>
                      <w:rFonts w:hint="default" w:ascii="Times New Roman" w:hAnsi="Times New Roman" w:eastAsia="宋体" w:cs="Times New Roman"/>
                      <w:i w:val="0"/>
                      <w:iCs w:val="0"/>
                      <w:color w:val="auto"/>
                      <w:sz w:val="21"/>
                      <w:szCs w:val="21"/>
                      <w:highlight w:val="none"/>
                      <w:u w:val="none"/>
                    </w:rPr>
                    <w:t>型号：LSY273</w:t>
                  </w:r>
                  <w:r>
                    <w:rPr>
                      <w:rFonts w:hint="eastAsia" w:cs="Times New Roman"/>
                      <w:i w:val="0"/>
                      <w:iCs w:val="0"/>
                      <w:color w:val="auto"/>
                      <w:sz w:val="21"/>
                      <w:szCs w:val="21"/>
                      <w:highlight w:val="none"/>
                      <w:u w:val="none"/>
                      <w:lang w:eastAsia="zh-CN"/>
                    </w:rPr>
                    <w:t>；减速机型号：LSY-230-5.75</w:t>
                  </w:r>
                </w:p>
              </w:tc>
              <w:tc>
                <w:tcPr>
                  <w:tcW w:w="456" w:type="pct"/>
                  <w:tcBorders>
                    <w:tl2br w:val="nil"/>
                    <w:tr2bl w:val="nil"/>
                  </w:tcBorders>
                  <w:noWrap w:val="0"/>
                  <w:vAlign w:val="center"/>
                </w:tcPr>
                <w:p w14:paraId="0D56458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2根</w:t>
                  </w:r>
                </w:p>
              </w:tc>
              <w:tc>
                <w:tcPr>
                  <w:tcW w:w="1263" w:type="pct"/>
                  <w:tcBorders>
                    <w:tl2br w:val="nil"/>
                    <w:tr2bl w:val="nil"/>
                  </w:tcBorders>
                  <w:noWrap w:val="0"/>
                  <w:vAlign w:val="center"/>
                </w:tcPr>
                <w:p w14:paraId="190632E2">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输送成品料进斗提机</w:t>
                  </w:r>
                </w:p>
              </w:tc>
            </w:tr>
            <w:tr w14:paraId="51CBD8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7340FFBA">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17</w:t>
                  </w:r>
                </w:p>
              </w:tc>
              <w:tc>
                <w:tcPr>
                  <w:tcW w:w="1116" w:type="pct"/>
                  <w:tcBorders>
                    <w:tl2br w:val="nil"/>
                    <w:tr2bl w:val="nil"/>
                  </w:tcBorders>
                  <w:noWrap w:val="0"/>
                  <w:vAlign w:val="center"/>
                </w:tcPr>
                <w:p w14:paraId="34E59BD4">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伸缩卸料器</w:t>
                  </w:r>
                </w:p>
              </w:tc>
              <w:tc>
                <w:tcPr>
                  <w:tcW w:w="1722" w:type="pct"/>
                  <w:tcBorders>
                    <w:tl2br w:val="nil"/>
                    <w:tr2bl w:val="nil"/>
                  </w:tcBorders>
                  <w:noWrap w:val="0"/>
                  <w:vAlign w:val="center"/>
                </w:tcPr>
                <w:p w14:paraId="2EF4BFFB">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iCs w:val="0"/>
                      <w:color w:val="auto"/>
                      <w:sz w:val="21"/>
                      <w:szCs w:val="21"/>
                      <w:highlight w:val="none"/>
                      <w:u w:val="none"/>
                      <w:lang w:eastAsia="zh-CN"/>
                    </w:rPr>
                  </w:pPr>
                  <w:r>
                    <w:rPr>
                      <w:rFonts w:hint="default" w:ascii="Times New Roman" w:hAnsi="Times New Roman" w:eastAsia="宋体" w:cs="Times New Roman"/>
                      <w:i w:val="0"/>
                      <w:iCs w:val="0"/>
                      <w:color w:val="auto"/>
                      <w:sz w:val="21"/>
                      <w:szCs w:val="21"/>
                      <w:highlight w:val="none"/>
                      <w:u w:val="none"/>
                    </w:rPr>
                    <w:t>电机功率：1.5</w:t>
                  </w:r>
                  <w:r>
                    <w:rPr>
                      <w:rFonts w:hint="eastAsia" w:cs="Times New Roman"/>
                      <w:i w:val="0"/>
                      <w:iCs w:val="0"/>
                      <w:color w:val="auto"/>
                      <w:sz w:val="21"/>
                      <w:szCs w:val="21"/>
                      <w:highlight w:val="none"/>
                      <w:u w:val="none"/>
                      <w:lang w:eastAsia="zh-CN"/>
                    </w:rPr>
                    <w:t>kW</w:t>
                  </w:r>
                </w:p>
              </w:tc>
              <w:tc>
                <w:tcPr>
                  <w:tcW w:w="456" w:type="pct"/>
                  <w:tcBorders>
                    <w:tl2br w:val="nil"/>
                    <w:tr2bl w:val="nil"/>
                  </w:tcBorders>
                  <w:noWrap w:val="0"/>
                  <w:vAlign w:val="center"/>
                </w:tcPr>
                <w:p w14:paraId="1C41F2A9">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w:t>
                  </w:r>
                  <w:r>
                    <w:rPr>
                      <w:rFonts w:hint="eastAsia" w:cs="Times New Roman"/>
                      <w:i w:val="0"/>
                      <w:iCs w:val="0"/>
                      <w:color w:val="auto"/>
                      <w:kern w:val="2"/>
                      <w:sz w:val="21"/>
                      <w:szCs w:val="21"/>
                      <w:highlight w:val="none"/>
                      <w:u w:val="none"/>
                      <w:lang w:val="en-US" w:eastAsia="zh-CN" w:bidi="ar-SA"/>
                    </w:rPr>
                    <w:t>套</w:t>
                  </w:r>
                </w:p>
              </w:tc>
              <w:tc>
                <w:tcPr>
                  <w:tcW w:w="1263" w:type="pct"/>
                  <w:tcBorders>
                    <w:tl2br w:val="nil"/>
                    <w:tr2bl w:val="nil"/>
                  </w:tcBorders>
                  <w:noWrap w:val="0"/>
                  <w:vAlign w:val="center"/>
                </w:tcPr>
                <w:p w14:paraId="26E909AF">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成品料</w:t>
                  </w:r>
                  <w:r>
                    <w:rPr>
                      <w:rFonts w:hint="eastAsia" w:cs="Times New Roman"/>
                      <w:i w:val="0"/>
                      <w:iCs w:val="0"/>
                      <w:color w:val="auto"/>
                      <w:kern w:val="2"/>
                      <w:sz w:val="21"/>
                      <w:szCs w:val="21"/>
                      <w:highlight w:val="none"/>
                      <w:u w:val="none"/>
                      <w:lang w:val="en-US" w:eastAsia="zh-CN" w:bidi="ar-SA"/>
                    </w:rPr>
                    <w:t>被</w:t>
                  </w:r>
                  <w:r>
                    <w:rPr>
                      <w:rFonts w:hint="default" w:ascii="Times New Roman" w:hAnsi="Times New Roman" w:eastAsia="宋体" w:cs="Times New Roman"/>
                      <w:i w:val="0"/>
                      <w:iCs w:val="0"/>
                      <w:color w:val="auto"/>
                      <w:kern w:val="2"/>
                      <w:sz w:val="21"/>
                      <w:szCs w:val="21"/>
                      <w:highlight w:val="none"/>
                      <w:u w:val="none"/>
                      <w:lang w:val="en-US" w:eastAsia="zh-CN" w:bidi="ar-SA"/>
                    </w:rPr>
                    <w:t>卸装到罐车</w:t>
                  </w:r>
                </w:p>
              </w:tc>
            </w:tr>
            <w:tr w14:paraId="510E84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77350067">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18</w:t>
                  </w:r>
                </w:p>
              </w:tc>
              <w:tc>
                <w:tcPr>
                  <w:tcW w:w="1116" w:type="pct"/>
                  <w:tcBorders>
                    <w:tl2br w:val="nil"/>
                    <w:tr2bl w:val="nil"/>
                  </w:tcBorders>
                  <w:noWrap w:val="0"/>
                  <w:vAlign w:val="center"/>
                </w:tcPr>
                <w:p w14:paraId="6E0A4DB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脉冲式布袋除尘器</w:t>
                  </w:r>
                </w:p>
              </w:tc>
              <w:tc>
                <w:tcPr>
                  <w:tcW w:w="1722" w:type="pct"/>
                  <w:tcBorders>
                    <w:tl2br w:val="nil"/>
                    <w:tr2bl w:val="nil"/>
                  </w:tcBorders>
                  <w:noWrap w:val="0"/>
                  <w:vAlign w:val="center"/>
                </w:tcPr>
                <w:p w14:paraId="7F6D0E63">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型号：TBLMa36</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风机电机：3</w:t>
                  </w:r>
                  <w:r>
                    <w:rPr>
                      <w:rFonts w:hint="eastAsia" w:cs="Times New Roman"/>
                      <w:i w:val="0"/>
                      <w:iCs w:val="0"/>
                      <w:color w:val="auto"/>
                      <w:kern w:val="0"/>
                      <w:sz w:val="21"/>
                      <w:szCs w:val="21"/>
                      <w:highlight w:val="none"/>
                      <w:u w:val="none"/>
                      <w:lang w:val="en-US" w:eastAsia="zh-CN"/>
                    </w:rPr>
                    <w:t>kW</w:t>
                  </w:r>
                </w:p>
              </w:tc>
              <w:tc>
                <w:tcPr>
                  <w:tcW w:w="456" w:type="pct"/>
                  <w:tcBorders>
                    <w:tl2br w:val="nil"/>
                    <w:tr2bl w:val="nil"/>
                  </w:tcBorders>
                  <w:noWrap w:val="0"/>
                  <w:vAlign w:val="center"/>
                </w:tcPr>
                <w:p w14:paraId="4CA83A8B">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2台</w:t>
                  </w:r>
                </w:p>
              </w:tc>
              <w:tc>
                <w:tcPr>
                  <w:tcW w:w="1263" w:type="pct"/>
                  <w:tcBorders>
                    <w:tl2br w:val="nil"/>
                    <w:tr2bl w:val="nil"/>
                  </w:tcBorders>
                  <w:noWrap w:val="0"/>
                  <w:vAlign w:val="center"/>
                </w:tcPr>
                <w:p w14:paraId="56AD2AB4">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对于散装机产生的外溢粉尘进行收尘</w:t>
                  </w:r>
                </w:p>
              </w:tc>
            </w:tr>
            <w:tr w14:paraId="1C91A4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0452D4BB">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19</w:t>
                  </w:r>
                </w:p>
              </w:tc>
              <w:tc>
                <w:tcPr>
                  <w:tcW w:w="1116" w:type="pct"/>
                  <w:tcBorders>
                    <w:tl2br w:val="nil"/>
                    <w:tr2bl w:val="nil"/>
                  </w:tcBorders>
                  <w:noWrap w:val="0"/>
                  <w:vAlign w:val="center"/>
                </w:tcPr>
                <w:p w14:paraId="32FBE73B">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脉冲式布袋除尘器</w:t>
                  </w:r>
                </w:p>
              </w:tc>
              <w:tc>
                <w:tcPr>
                  <w:tcW w:w="1722" w:type="pct"/>
                  <w:tcBorders>
                    <w:tl2br w:val="nil"/>
                    <w:tr2bl w:val="nil"/>
                  </w:tcBorders>
                  <w:noWrap w:val="0"/>
                  <w:vAlign w:val="center"/>
                </w:tcPr>
                <w:p w14:paraId="6B3077DC">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型号：TBLMa12；</w:t>
                  </w:r>
                  <w:r>
                    <w:rPr>
                      <w:rFonts w:hint="default" w:ascii="Times New Roman" w:hAnsi="Times New Roman" w:eastAsia="宋体" w:cs="Times New Roman"/>
                      <w:i w:val="0"/>
                      <w:iCs w:val="0"/>
                      <w:color w:val="auto"/>
                      <w:kern w:val="0"/>
                      <w:sz w:val="21"/>
                      <w:szCs w:val="21"/>
                      <w:highlight w:val="none"/>
                      <w:u w:val="none"/>
                      <w:lang w:val="en-US" w:eastAsia="zh-CN"/>
                    </w:rPr>
                    <w:t>风机电机：3</w:t>
                  </w:r>
                  <w:r>
                    <w:rPr>
                      <w:rFonts w:hint="eastAsia" w:cs="Times New Roman"/>
                      <w:i w:val="0"/>
                      <w:iCs w:val="0"/>
                      <w:color w:val="auto"/>
                      <w:kern w:val="0"/>
                      <w:sz w:val="21"/>
                      <w:szCs w:val="21"/>
                      <w:highlight w:val="none"/>
                      <w:u w:val="none"/>
                      <w:lang w:val="en-US" w:eastAsia="zh-CN"/>
                    </w:rPr>
                    <w:t>kW</w:t>
                  </w:r>
                </w:p>
              </w:tc>
              <w:tc>
                <w:tcPr>
                  <w:tcW w:w="456" w:type="pct"/>
                  <w:tcBorders>
                    <w:tl2br w:val="nil"/>
                    <w:tr2bl w:val="nil"/>
                  </w:tcBorders>
                  <w:noWrap w:val="0"/>
                  <w:vAlign w:val="center"/>
                </w:tcPr>
                <w:p w14:paraId="3FEACA77">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3台</w:t>
                  </w:r>
                </w:p>
              </w:tc>
              <w:tc>
                <w:tcPr>
                  <w:tcW w:w="1263" w:type="pct"/>
                  <w:tcBorders>
                    <w:tl2br w:val="nil"/>
                    <w:tr2bl w:val="nil"/>
                  </w:tcBorders>
                  <w:noWrap w:val="0"/>
                  <w:vAlign w:val="center"/>
                </w:tcPr>
                <w:p w14:paraId="277D56F3">
                  <w:pPr>
                    <w:keepNext w:val="0"/>
                    <w:keepLines w:val="0"/>
                    <w:pageBreakBefore w:val="0"/>
                    <w:kinsoku/>
                    <w:wordWrap/>
                    <w:overflowPunct/>
                    <w:topLinePunct w:val="0"/>
                    <w:autoSpaceDE/>
                    <w:autoSpaceDN/>
                    <w:bidi w:val="0"/>
                    <w:adjustRightInd/>
                    <w:snapToGrid w:val="0"/>
                    <w:jc w:val="center"/>
                    <w:rPr>
                      <w:rFonts w:hint="default" w:cs="Times New Roman"/>
                      <w:i w:val="0"/>
                      <w:iCs w:val="0"/>
                      <w:color w:val="auto"/>
                      <w:kern w:val="0"/>
                      <w:sz w:val="21"/>
                      <w:szCs w:val="21"/>
                      <w:highlight w:val="none"/>
                      <w:u w:val="none"/>
                      <w:lang w:val="en-US" w:eastAsia="zh-CN"/>
                    </w:rPr>
                  </w:pPr>
                  <w:r>
                    <w:rPr>
                      <w:rFonts w:hint="default" w:cs="Times New Roman"/>
                      <w:i w:val="0"/>
                      <w:iCs w:val="0"/>
                      <w:color w:val="auto"/>
                      <w:kern w:val="0"/>
                      <w:sz w:val="21"/>
                      <w:szCs w:val="21"/>
                      <w:highlight w:val="none"/>
                      <w:u w:val="none"/>
                      <w:lang w:val="en-US" w:eastAsia="zh-CN"/>
                    </w:rPr>
                    <w:t>对于斗提机</w:t>
                  </w:r>
                  <w:r>
                    <w:rPr>
                      <w:rFonts w:hint="eastAsia" w:cs="Times New Roman"/>
                      <w:i w:val="0"/>
                      <w:iCs w:val="0"/>
                      <w:color w:val="auto"/>
                      <w:kern w:val="0"/>
                      <w:sz w:val="21"/>
                      <w:szCs w:val="21"/>
                      <w:highlight w:val="none"/>
                      <w:u w:val="none"/>
                      <w:lang w:val="en-US" w:eastAsia="zh-CN"/>
                    </w:rPr>
                    <w:t>、</w:t>
                  </w:r>
                  <w:r>
                    <w:rPr>
                      <w:rFonts w:hint="default" w:cs="Times New Roman"/>
                      <w:i w:val="0"/>
                      <w:iCs w:val="0"/>
                      <w:color w:val="auto"/>
                      <w:kern w:val="0"/>
                      <w:sz w:val="21"/>
                      <w:szCs w:val="21"/>
                      <w:highlight w:val="none"/>
                      <w:u w:val="none"/>
                      <w:lang w:val="en-US" w:eastAsia="zh-CN"/>
                    </w:rPr>
                    <w:t>投料斗及提升物料所产生的粉尘进行收尘</w:t>
                  </w:r>
                </w:p>
              </w:tc>
            </w:tr>
            <w:tr w14:paraId="4CEC21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79F12CF2">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20</w:t>
                  </w:r>
                </w:p>
              </w:tc>
              <w:tc>
                <w:tcPr>
                  <w:tcW w:w="1116" w:type="pct"/>
                  <w:tcBorders>
                    <w:tl2br w:val="nil"/>
                    <w:tr2bl w:val="nil"/>
                  </w:tcBorders>
                  <w:noWrap w:val="0"/>
                  <w:vAlign w:val="center"/>
                </w:tcPr>
                <w:p w14:paraId="59984810">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kern w:val="0"/>
                      <w:sz w:val="21"/>
                      <w:szCs w:val="21"/>
                      <w:highlight w:val="none"/>
                      <w:u w:val="none"/>
                      <w:lang w:val="en-US" w:eastAsia="zh-CN"/>
                    </w:rPr>
                  </w:pPr>
                  <w:r>
                    <w:rPr>
                      <w:rFonts w:hint="default" w:cs="Times New Roman"/>
                      <w:i w:val="0"/>
                      <w:iCs w:val="0"/>
                      <w:color w:val="auto"/>
                      <w:kern w:val="0"/>
                      <w:sz w:val="21"/>
                      <w:szCs w:val="21"/>
                      <w:highlight w:val="none"/>
                      <w:u w:val="none"/>
                      <w:lang w:val="en-US" w:eastAsia="zh-CN"/>
                    </w:rPr>
                    <w:t>仓顶除尘器</w:t>
                  </w:r>
                </w:p>
              </w:tc>
              <w:tc>
                <w:tcPr>
                  <w:tcW w:w="1722" w:type="pct"/>
                  <w:tcBorders>
                    <w:tl2br w:val="nil"/>
                    <w:tr2bl w:val="nil"/>
                  </w:tcBorders>
                  <w:noWrap w:val="0"/>
                  <w:vAlign w:val="center"/>
                </w:tcPr>
                <w:p w14:paraId="2ABFEA7D">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电机：0.37</w:t>
                  </w:r>
                  <w:r>
                    <w:rPr>
                      <w:rFonts w:hint="eastAsia" w:cs="Times New Roman"/>
                      <w:i w:val="0"/>
                      <w:iCs w:val="0"/>
                      <w:color w:val="auto"/>
                      <w:sz w:val="21"/>
                      <w:szCs w:val="21"/>
                      <w:highlight w:val="none"/>
                      <w:u w:val="none"/>
                      <w:lang w:val="en-US" w:eastAsia="zh-CN"/>
                    </w:rPr>
                    <w:t>kW</w:t>
                  </w:r>
                </w:p>
              </w:tc>
              <w:tc>
                <w:tcPr>
                  <w:tcW w:w="456" w:type="pct"/>
                  <w:tcBorders>
                    <w:tl2br w:val="nil"/>
                    <w:tr2bl w:val="nil"/>
                  </w:tcBorders>
                  <w:noWrap w:val="0"/>
                  <w:vAlign w:val="center"/>
                </w:tcPr>
                <w:p w14:paraId="205DDDB4">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9</w:t>
                  </w:r>
                  <w:r>
                    <w:rPr>
                      <w:rFonts w:hint="default" w:cs="Times New Roman"/>
                      <w:i w:val="0"/>
                      <w:iCs w:val="0"/>
                      <w:color w:val="auto"/>
                      <w:kern w:val="0"/>
                      <w:sz w:val="21"/>
                      <w:szCs w:val="21"/>
                      <w:highlight w:val="none"/>
                      <w:u w:val="none"/>
                      <w:lang w:val="en-US" w:eastAsia="zh-CN"/>
                    </w:rPr>
                    <w:t>台</w:t>
                  </w:r>
                </w:p>
              </w:tc>
              <w:tc>
                <w:tcPr>
                  <w:tcW w:w="1263" w:type="pct"/>
                  <w:tcBorders>
                    <w:tl2br w:val="nil"/>
                    <w:tr2bl w:val="nil"/>
                  </w:tcBorders>
                  <w:noWrap w:val="0"/>
                  <w:vAlign w:val="center"/>
                </w:tcPr>
                <w:p w14:paraId="4A36A8ED">
                  <w:pPr>
                    <w:keepNext w:val="0"/>
                    <w:keepLines w:val="0"/>
                    <w:pageBreakBefore w:val="0"/>
                    <w:kinsoku/>
                    <w:wordWrap/>
                    <w:overflowPunct/>
                    <w:topLinePunct w:val="0"/>
                    <w:autoSpaceDE/>
                    <w:autoSpaceDN/>
                    <w:bidi w:val="0"/>
                    <w:adjustRightInd/>
                    <w:snapToGrid w:val="0"/>
                    <w:jc w:val="center"/>
                    <w:rPr>
                      <w:rFonts w:hint="default" w:cs="Times New Roman"/>
                      <w:i w:val="0"/>
                      <w:iCs w:val="0"/>
                      <w:color w:val="auto"/>
                      <w:kern w:val="0"/>
                      <w:sz w:val="21"/>
                      <w:szCs w:val="21"/>
                      <w:highlight w:val="none"/>
                      <w:u w:val="none"/>
                      <w:lang w:val="en-US" w:eastAsia="zh-CN"/>
                    </w:rPr>
                  </w:pPr>
                  <w:r>
                    <w:rPr>
                      <w:rFonts w:hint="default" w:cs="Times New Roman"/>
                      <w:i w:val="0"/>
                      <w:iCs w:val="0"/>
                      <w:color w:val="auto"/>
                      <w:kern w:val="0"/>
                      <w:sz w:val="21"/>
                      <w:szCs w:val="21"/>
                      <w:highlight w:val="none"/>
                      <w:u w:val="none"/>
                      <w:lang w:val="en-US" w:eastAsia="zh-CN"/>
                    </w:rPr>
                    <w:t>对于原料罐产生的外溢粉尘进行收尘</w:t>
                  </w:r>
                </w:p>
              </w:tc>
            </w:tr>
            <w:tr w14:paraId="418845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5AF9AB75">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21</w:t>
                  </w:r>
                </w:p>
              </w:tc>
              <w:tc>
                <w:tcPr>
                  <w:tcW w:w="1116" w:type="pct"/>
                  <w:tcBorders>
                    <w:tl2br w:val="nil"/>
                    <w:tr2bl w:val="nil"/>
                  </w:tcBorders>
                  <w:noWrap w:val="0"/>
                  <w:vAlign w:val="center"/>
                </w:tcPr>
                <w:p w14:paraId="59852D2B">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kern w:val="0"/>
                      <w:sz w:val="21"/>
                      <w:szCs w:val="21"/>
                      <w:highlight w:val="none"/>
                      <w:u w:val="none"/>
                      <w:lang w:val="en-US" w:eastAsia="zh-CN"/>
                    </w:rPr>
                  </w:pPr>
                  <w:r>
                    <w:rPr>
                      <w:rFonts w:hint="default" w:cs="Times New Roman"/>
                      <w:i w:val="0"/>
                      <w:iCs w:val="0"/>
                      <w:color w:val="auto"/>
                      <w:kern w:val="0"/>
                      <w:sz w:val="21"/>
                      <w:szCs w:val="21"/>
                      <w:highlight w:val="none"/>
                      <w:u w:val="none"/>
                      <w:lang w:val="en-US" w:eastAsia="zh-CN"/>
                    </w:rPr>
                    <w:t>螺杆空压机</w:t>
                  </w:r>
                </w:p>
              </w:tc>
              <w:tc>
                <w:tcPr>
                  <w:tcW w:w="1722" w:type="pct"/>
                  <w:tcBorders>
                    <w:tl2br w:val="nil"/>
                    <w:tr2bl w:val="nil"/>
                  </w:tcBorders>
                  <w:noWrap w:val="0"/>
                  <w:vAlign w:val="center"/>
                </w:tcPr>
                <w:p w14:paraId="2F484643">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型号：GLF-25</w:t>
                  </w:r>
                  <w:r>
                    <w:rPr>
                      <w:rFonts w:hint="eastAsia" w:cs="Times New Roman"/>
                      <w:i w:val="0"/>
                      <w:iCs w:val="0"/>
                      <w:color w:val="auto"/>
                      <w:sz w:val="21"/>
                      <w:szCs w:val="21"/>
                      <w:highlight w:val="none"/>
                      <w:u w:val="none"/>
                      <w:lang w:val="en-US" w:eastAsia="zh-CN"/>
                    </w:rPr>
                    <w:t>；排气量：3.6m</w:t>
                  </w:r>
                  <w:r>
                    <w:rPr>
                      <w:rFonts w:hint="eastAsia" w:cs="Times New Roman"/>
                      <w:i w:val="0"/>
                      <w:iCs w:val="0"/>
                      <w:color w:val="auto"/>
                      <w:sz w:val="21"/>
                      <w:szCs w:val="21"/>
                      <w:highlight w:val="none"/>
                      <w:u w:val="none"/>
                      <w:vertAlign w:val="superscript"/>
                      <w:lang w:val="en-US" w:eastAsia="zh-CN"/>
                    </w:rPr>
                    <w:t>3</w:t>
                  </w:r>
                  <w:r>
                    <w:rPr>
                      <w:rFonts w:hint="eastAsia" w:cs="Times New Roman"/>
                      <w:i w:val="0"/>
                      <w:iCs w:val="0"/>
                      <w:color w:val="auto"/>
                      <w:sz w:val="21"/>
                      <w:szCs w:val="21"/>
                      <w:highlight w:val="none"/>
                      <w:u w:val="none"/>
                      <w:lang w:val="en-US" w:eastAsia="zh-CN"/>
                    </w:rPr>
                    <w:t>；电机功率：22kw</w:t>
                  </w:r>
                </w:p>
              </w:tc>
              <w:tc>
                <w:tcPr>
                  <w:tcW w:w="456" w:type="pct"/>
                  <w:tcBorders>
                    <w:tl2br w:val="nil"/>
                    <w:tr2bl w:val="nil"/>
                  </w:tcBorders>
                  <w:noWrap w:val="0"/>
                  <w:vAlign w:val="center"/>
                </w:tcPr>
                <w:p w14:paraId="20F39E1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1台</w:t>
                  </w:r>
                </w:p>
              </w:tc>
              <w:tc>
                <w:tcPr>
                  <w:tcW w:w="1263" w:type="pct"/>
                  <w:vMerge w:val="restart"/>
                  <w:tcBorders>
                    <w:tl2br w:val="nil"/>
                    <w:tr2bl w:val="nil"/>
                  </w:tcBorders>
                  <w:noWrap w:val="0"/>
                  <w:vAlign w:val="center"/>
                </w:tcPr>
                <w:p w14:paraId="66B7DBAA">
                  <w:pPr>
                    <w:keepNext w:val="0"/>
                    <w:keepLines w:val="0"/>
                    <w:pageBreakBefore w:val="0"/>
                    <w:kinsoku/>
                    <w:wordWrap/>
                    <w:overflowPunct/>
                    <w:topLinePunct w:val="0"/>
                    <w:autoSpaceDE/>
                    <w:autoSpaceDN/>
                    <w:bidi w:val="0"/>
                    <w:adjustRightInd/>
                    <w:snapToGrid w:val="0"/>
                    <w:jc w:val="center"/>
                    <w:rPr>
                      <w:rFonts w:hint="default" w:cs="Times New Roman"/>
                      <w:i w:val="0"/>
                      <w:iCs w:val="0"/>
                      <w:color w:val="auto"/>
                      <w:kern w:val="0"/>
                      <w:sz w:val="21"/>
                      <w:szCs w:val="21"/>
                      <w:highlight w:val="none"/>
                      <w:u w:val="none"/>
                      <w:lang w:val="en-US" w:eastAsia="zh-CN"/>
                    </w:rPr>
                  </w:pPr>
                  <w:r>
                    <w:rPr>
                      <w:rFonts w:hint="default" w:cs="Times New Roman"/>
                      <w:i w:val="0"/>
                      <w:iCs w:val="0"/>
                      <w:color w:val="auto"/>
                      <w:kern w:val="0"/>
                      <w:sz w:val="21"/>
                      <w:szCs w:val="21"/>
                      <w:highlight w:val="none"/>
                      <w:u w:val="none"/>
                      <w:lang w:val="en-US" w:eastAsia="zh-CN"/>
                    </w:rPr>
                    <w:t>气源系统提供清洁、干燥的压缩空气，保证各气动元件可靠执行各规定的动作</w:t>
                  </w:r>
                </w:p>
              </w:tc>
            </w:tr>
            <w:tr w14:paraId="0F544C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72BBB310">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22</w:t>
                  </w:r>
                </w:p>
              </w:tc>
              <w:tc>
                <w:tcPr>
                  <w:tcW w:w="1116" w:type="pct"/>
                  <w:tcBorders>
                    <w:tl2br w:val="nil"/>
                    <w:tr2bl w:val="nil"/>
                  </w:tcBorders>
                  <w:noWrap w:val="0"/>
                  <w:vAlign w:val="center"/>
                </w:tcPr>
                <w:p w14:paraId="24B82D6E">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kern w:val="0"/>
                      <w:sz w:val="21"/>
                      <w:szCs w:val="21"/>
                      <w:highlight w:val="none"/>
                      <w:u w:val="none"/>
                      <w:lang w:val="en-US" w:eastAsia="zh-CN"/>
                    </w:rPr>
                  </w:pPr>
                  <w:r>
                    <w:rPr>
                      <w:rFonts w:hint="default" w:cs="Times New Roman"/>
                      <w:i w:val="0"/>
                      <w:iCs w:val="0"/>
                      <w:color w:val="auto"/>
                      <w:kern w:val="0"/>
                      <w:sz w:val="21"/>
                      <w:szCs w:val="21"/>
                      <w:highlight w:val="none"/>
                      <w:u w:val="none"/>
                      <w:lang w:val="en-US" w:eastAsia="zh-CN"/>
                    </w:rPr>
                    <w:t>储气罐、干燥机</w:t>
                  </w:r>
                </w:p>
              </w:tc>
              <w:tc>
                <w:tcPr>
                  <w:tcW w:w="1722" w:type="pct"/>
                  <w:tcBorders>
                    <w:tl2br w:val="nil"/>
                    <w:tr2bl w:val="nil"/>
                  </w:tcBorders>
                  <w:noWrap w:val="0"/>
                  <w:vAlign w:val="center"/>
                </w:tcPr>
                <w:p w14:paraId="74D26EB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型号：1m</w:t>
                  </w:r>
                  <w:r>
                    <w:rPr>
                      <w:rFonts w:hint="eastAsia" w:cs="Times New Roman"/>
                      <w:i w:val="0"/>
                      <w:iCs w:val="0"/>
                      <w:color w:val="auto"/>
                      <w:kern w:val="0"/>
                      <w:sz w:val="21"/>
                      <w:szCs w:val="21"/>
                      <w:highlight w:val="none"/>
                      <w:u w:val="none"/>
                      <w:vertAlign w:val="superscript"/>
                      <w:lang w:val="en-US" w:eastAsia="zh-CN"/>
                    </w:rPr>
                    <w:t>3</w:t>
                  </w:r>
                </w:p>
              </w:tc>
              <w:tc>
                <w:tcPr>
                  <w:tcW w:w="456" w:type="pct"/>
                  <w:tcBorders>
                    <w:tl2br w:val="nil"/>
                    <w:tr2bl w:val="nil"/>
                  </w:tcBorders>
                  <w:noWrap w:val="0"/>
                  <w:vAlign w:val="center"/>
                </w:tcPr>
                <w:p w14:paraId="1ABF88C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kern w:val="0"/>
                      <w:sz w:val="21"/>
                      <w:szCs w:val="21"/>
                      <w:highlight w:val="none"/>
                      <w:u w:val="none"/>
                      <w:lang w:val="en-US" w:eastAsia="zh-CN"/>
                    </w:rPr>
                  </w:pPr>
                  <w:r>
                    <w:rPr>
                      <w:rFonts w:hint="default" w:cs="Times New Roman"/>
                      <w:i w:val="0"/>
                      <w:iCs w:val="0"/>
                      <w:color w:val="auto"/>
                      <w:kern w:val="0"/>
                      <w:sz w:val="21"/>
                      <w:szCs w:val="21"/>
                      <w:highlight w:val="none"/>
                      <w:u w:val="none"/>
                      <w:lang w:val="en-US" w:eastAsia="zh-CN"/>
                    </w:rPr>
                    <w:t>1套</w:t>
                  </w:r>
                </w:p>
              </w:tc>
              <w:tc>
                <w:tcPr>
                  <w:tcW w:w="1263" w:type="pct"/>
                  <w:vMerge w:val="continue"/>
                  <w:tcBorders>
                    <w:tl2br w:val="nil"/>
                    <w:tr2bl w:val="nil"/>
                  </w:tcBorders>
                  <w:noWrap w:val="0"/>
                  <w:vAlign w:val="center"/>
                </w:tcPr>
                <w:p w14:paraId="4902554F">
                  <w:pPr>
                    <w:keepNext w:val="0"/>
                    <w:keepLines w:val="0"/>
                    <w:pageBreakBefore w:val="0"/>
                    <w:kinsoku/>
                    <w:wordWrap/>
                    <w:overflowPunct/>
                    <w:topLinePunct w:val="0"/>
                    <w:autoSpaceDE/>
                    <w:autoSpaceDN/>
                    <w:bidi w:val="0"/>
                    <w:adjustRightInd/>
                    <w:snapToGrid w:val="0"/>
                    <w:jc w:val="center"/>
                    <w:rPr>
                      <w:rFonts w:hint="default" w:cs="Times New Roman"/>
                      <w:i w:val="0"/>
                      <w:iCs w:val="0"/>
                      <w:color w:val="auto"/>
                      <w:kern w:val="0"/>
                      <w:sz w:val="21"/>
                      <w:szCs w:val="21"/>
                      <w:highlight w:val="none"/>
                      <w:u w:val="none"/>
                      <w:lang w:val="en-US" w:eastAsia="zh-CN"/>
                    </w:rPr>
                  </w:pPr>
                </w:p>
              </w:tc>
            </w:tr>
            <w:tr w14:paraId="4DFEBF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276A57DC">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23</w:t>
                  </w:r>
                </w:p>
              </w:tc>
              <w:tc>
                <w:tcPr>
                  <w:tcW w:w="1116" w:type="pct"/>
                  <w:tcBorders>
                    <w:tl2br w:val="nil"/>
                    <w:tr2bl w:val="nil"/>
                  </w:tcBorders>
                  <w:noWrap w:val="0"/>
                  <w:vAlign w:val="center"/>
                </w:tcPr>
                <w:p w14:paraId="122CD774">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电气控制柜</w:t>
                  </w:r>
                </w:p>
              </w:tc>
              <w:tc>
                <w:tcPr>
                  <w:tcW w:w="1722" w:type="pct"/>
                  <w:tcBorders>
                    <w:tl2br w:val="nil"/>
                    <w:tr2bl w:val="nil"/>
                  </w:tcBorders>
                  <w:noWrap w:val="0"/>
                  <w:vAlign w:val="center"/>
                </w:tcPr>
                <w:p w14:paraId="4033D33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触摸屏型号：V110-102S（15寸）</w:t>
                  </w:r>
                </w:p>
              </w:tc>
              <w:tc>
                <w:tcPr>
                  <w:tcW w:w="456" w:type="pct"/>
                  <w:tcBorders>
                    <w:tl2br w:val="nil"/>
                    <w:tr2bl w:val="nil"/>
                  </w:tcBorders>
                  <w:noWrap w:val="0"/>
                  <w:vAlign w:val="center"/>
                </w:tcPr>
                <w:p w14:paraId="7A91B288">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w:t>
                  </w:r>
                  <w:r>
                    <w:rPr>
                      <w:rFonts w:hint="eastAsia" w:cs="Times New Roman"/>
                      <w:i w:val="0"/>
                      <w:iCs w:val="0"/>
                      <w:color w:val="auto"/>
                      <w:kern w:val="2"/>
                      <w:sz w:val="21"/>
                      <w:szCs w:val="21"/>
                      <w:highlight w:val="none"/>
                      <w:u w:val="none"/>
                      <w:lang w:val="en-US" w:eastAsia="zh-CN" w:bidi="ar-SA"/>
                    </w:rPr>
                    <w:t>台</w:t>
                  </w:r>
                </w:p>
              </w:tc>
              <w:tc>
                <w:tcPr>
                  <w:tcW w:w="1263" w:type="pct"/>
                  <w:tcBorders>
                    <w:tl2br w:val="nil"/>
                    <w:tr2bl w:val="nil"/>
                  </w:tcBorders>
                  <w:noWrap w:val="0"/>
                  <w:vAlign w:val="center"/>
                </w:tcPr>
                <w:p w14:paraId="10901538">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宋体" w:hAnsi="宋体"/>
                      <w:color w:val="auto"/>
                      <w:sz w:val="21"/>
                      <w:szCs w:val="21"/>
                      <w:highlight w:val="none"/>
                    </w:rPr>
                    <w:t>自动控制系统</w:t>
                  </w:r>
                </w:p>
              </w:tc>
            </w:tr>
            <w:tr w14:paraId="174444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33DD5C31">
                  <w:pPr>
                    <w:keepNext w:val="0"/>
                    <w:keepLines w:val="0"/>
                    <w:pageBreakBefore w:val="0"/>
                    <w:kinsoku/>
                    <w:wordWrap/>
                    <w:overflowPunct/>
                    <w:topLinePunct w:val="0"/>
                    <w:autoSpaceDE/>
                    <w:autoSpaceDN/>
                    <w:bidi w:val="0"/>
                    <w:adjustRightInd/>
                    <w:snapToGrid w:val="0"/>
                    <w:jc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24</w:t>
                  </w:r>
                </w:p>
              </w:tc>
              <w:tc>
                <w:tcPr>
                  <w:tcW w:w="1116" w:type="pct"/>
                  <w:tcBorders>
                    <w:tl2br w:val="nil"/>
                    <w:tr2bl w:val="nil"/>
                  </w:tcBorders>
                  <w:noWrap w:val="0"/>
                  <w:vAlign w:val="center"/>
                </w:tcPr>
                <w:p w14:paraId="34C7E83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料位计</w:t>
                  </w:r>
                </w:p>
              </w:tc>
              <w:tc>
                <w:tcPr>
                  <w:tcW w:w="1722" w:type="pct"/>
                  <w:tcBorders>
                    <w:tl2br w:val="nil"/>
                    <w:tr2bl w:val="nil"/>
                  </w:tcBorders>
                  <w:noWrap w:val="0"/>
                  <w:vAlign w:val="center"/>
                </w:tcPr>
                <w:p w14:paraId="002992B2">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型号：SL-10S</w:t>
                  </w:r>
                </w:p>
              </w:tc>
              <w:tc>
                <w:tcPr>
                  <w:tcW w:w="456" w:type="pct"/>
                  <w:tcBorders>
                    <w:tl2br w:val="nil"/>
                    <w:tr2bl w:val="nil"/>
                  </w:tcBorders>
                  <w:noWrap w:val="0"/>
                  <w:vAlign w:val="center"/>
                </w:tcPr>
                <w:p w14:paraId="2CA1C73B">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18个</w:t>
                  </w:r>
                </w:p>
              </w:tc>
              <w:tc>
                <w:tcPr>
                  <w:tcW w:w="1263" w:type="pct"/>
                  <w:tcBorders>
                    <w:tl2br w:val="nil"/>
                    <w:tr2bl w:val="nil"/>
                  </w:tcBorders>
                  <w:noWrap w:val="0"/>
                  <w:vAlign w:val="center"/>
                </w:tcPr>
                <w:p w14:paraId="22623164">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w:t>
                  </w:r>
                </w:p>
              </w:tc>
            </w:tr>
            <w:tr w14:paraId="460FA9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29E3B552">
                  <w:pPr>
                    <w:keepNext w:val="0"/>
                    <w:keepLines w:val="0"/>
                    <w:pageBreakBefore w:val="0"/>
                    <w:kinsoku/>
                    <w:wordWrap/>
                    <w:overflowPunct/>
                    <w:topLinePunct w:val="0"/>
                    <w:autoSpaceDE/>
                    <w:autoSpaceDN/>
                    <w:bidi w:val="0"/>
                    <w:adjustRightInd/>
                    <w:snapToGrid w:val="0"/>
                    <w:jc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25</w:t>
                  </w:r>
                </w:p>
              </w:tc>
              <w:tc>
                <w:tcPr>
                  <w:tcW w:w="1116" w:type="pct"/>
                  <w:tcBorders>
                    <w:tl2br w:val="nil"/>
                    <w:tr2bl w:val="nil"/>
                  </w:tcBorders>
                  <w:noWrap w:val="0"/>
                  <w:vAlign w:val="center"/>
                </w:tcPr>
                <w:p w14:paraId="1565ABF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概率筛</w:t>
                  </w:r>
                </w:p>
              </w:tc>
              <w:tc>
                <w:tcPr>
                  <w:tcW w:w="1722" w:type="pct"/>
                  <w:tcBorders>
                    <w:tl2br w:val="nil"/>
                    <w:tr2bl w:val="nil"/>
                  </w:tcBorders>
                  <w:noWrap w:val="0"/>
                  <w:vAlign w:val="center"/>
                </w:tcPr>
                <w:p w14:paraId="05B7A0F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60t</w:t>
                  </w:r>
                </w:p>
              </w:tc>
              <w:tc>
                <w:tcPr>
                  <w:tcW w:w="456" w:type="pct"/>
                  <w:tcBorders>
                    <w:tl2br w:val="nil"/>
                    <w:tr2bl w:val="nil"/>
                  </w:tcBorders>
                  <w:noWrap w:val="0"/>
                  <w:vAlign w:val="center"/>
                </w:tcPr>
                <w:p w14:paraId="0197A003">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1套</w:t>
                  </w:r>
                </w:p>
              </w:tc>
              <w:tc>
                <w:tcPr>
                  <w:tcW w:w="1263" w:type="pct"/>
                  <w:tcBorders>
                    <w:tl2br w:val="nil"/>
                    <w:tr2bl w:val="nil"/>
                  </w:tcBorders>
                  <w:noWrap w:val="0"/>
                  <w:vAlign w:val="center"/>
                </w:tcPr>
                <w:p w14:paraId="31CBB9B7">
                  <w:pPr>
                    <w:keepNext w:val="0"/>
                    <w:keepLines w:val="0"/>
                    <w:pageBreakBefore w:val="0"/>
                    <w:kinsoku/>
                    <w:wordWrap/>
                    <w:overflowPunct/>
                    <w:topLinePunct w:val="0"/>
                    <w:autoSpaceDE/>
                    <w:autoSpaceDN/>
                    <w:bidi w:val="0"/>
                    <w:adjustRightInd/>
                    <w:snapToGrid w:val="0"/>
                    <w:jc w:val="center"/>
                    <w:rPr>
                      <w:rFonts w:hint="default"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机制砂筛分</w:t>
                  </w:r>
                </w:p>
              </w:tc>
            </w:tr>
            <w:tr w14:paraId="647973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5DDD54CE">
                  <w:pPr>
                    <w:keepNext w:val="0"/>
                    <w:keepLines w:val="0"/>
                    <w:pageBreakBefore w:val="0"/>
                    <w:kinsoku/>
                    <w:wordWrap/>
                    <w:overflowPunct/>
                    <w:topLinePunct w:val="0"/>
                    <w:autoSpaceDE/>
                    <w:autoSpaceDN/>
                    <w:bidi w:val="0"/>
                    <w:adjustRightInd/>
                    <w:snapToGrid w:val="0"/>
                    <w:jc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26</w:t>
                  </w:r>
                </w:p>
              </w:tc>
              <w:tc>
                <w:tcPr>
                  <w:tcW w:w="1116" w:type="pct"/>
                  <w:tcBorders>
                    <w:tl2br w:val="nil"/>
                    <w:tr2bl w:val="nil"/>
                  </w:tcBorders>
                  <w:noWrap w:val="0"/>
                  <w:vAlign w:val="center"/>
                </w:tcPr>
                <w:p w14:paraId="0D484076">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包装系统</w:t>
                  </w:r>
                </w:p>
              </w:tc>
              <w:tc>
                <w:tcPr>
                  <w:tcW w:w="1722" w:type="pct"/>
                  <w:tcBorders>
                    <w:tl2br w:val="nil"/>
                    <w:tr2bl w:val="nil"/>
                  </w:tcBorders>
                  <w:noWrap w:val="0"/>
                  <w:vAlign w:val="center"/>
                </w:tcPr>
                <w:p w14:paraId="1AEC5D2E">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规格：国标</w:t>
                  </w:r>
                </w:p>
              </w:tc>
              <w:tc>
                <w:tcPr>
                  <w:tcW w:w="456" w:type="pct"/>
                  <w:tcBorders>
                    <w:tl2br w:val="nil"/>
                    <w:tr2bl w:val="nil"/>
                  </w:tcBorders>
                  <w:noWrap w:val="0"/>
                  <w:vAlign w:val="center"/>
                </w:tcPr>
                <w:p w14:paraId="4D6DD47E">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2套</w:t>
                  </w:r>
                </w:p>
              </w:tc>
              <w:tc>
                <w:tcPr>
                  <w:tcW w:w="1263" w:type="pct"/>
                  <w:tcBorders>
                    <w:tl2br w:val="nil"/>
                    <w:tr2bl w:val="nil"/>
                  </w:tcBorders>
                  <w:noWrap w:val="0"/>
                  <w:vAlign w:val="center"/>
                </w:tcPr>
                <w:p w14:paraId="4695D4C8">
                  <w:pPr>
                    <w:keepNext w:val="0"/>
                    <w:keepLines w:val="0"/>
                    <w:pageBreakBefore w:val="0"/>
                    <w:kinsoku/>
                    <w:wordWrap/>
                    <w:overflowPunct/>
                    <w:topLinePunct w:val="0"/>
                    <w:autoSpaceDE/>
                    <w:autoSpaceDN/>
                    <w:bidi w:val="0"/>
                    <w:adjustRightInd/>
                    <w:snapToGrid w:val="0"/>
                    <w:jc w:val="center"/>
                    <w:rPr>
                      <w:rFonts w:hint="eastAsia"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w:t>
                  </w:r>
                </w:p>
              </w:tc>
            </w:tr>
            <w:tr w14:paraId="55A52D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44FEAC15">
                  <w:pPr>
                    <w:keepNext w:val="0"/>
                    <w:keepLines w:val="0"/>
                    <w:pageBreakBefore w:val="0"/>
                    <w:kinsoku/>
                    <w:wordWrap/>
                    <w:overflowPunct/>
                    <w:topLinePunct w:val="0"/>
                    <w:autoSpaceDE/>
                    <w:autoSpaceDN/>
                    <w:bidi w:val="0"/>
                    <w:adjustRightInd/>
                    <w:snapToGrid w:val="0"/>
                    <w:jc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27</w:t>
                  </w:r>
                </w:p>
              </w:tc>
              <w:tc>
                <w:tcPr>
                  <w:tcW w:w="1116" w:type="pct"/>
                  <w:tcBorders>
                    <w:tl2br w:val="nil"/>
                    <w:tr2bl w:val="nil"/>
                  </w:tcBorders>
                  <w:noWrap w:val="0"/>
                  <w:vAlign w:val="center"/>
                </w:tcPr>
                <w:p w14:paraId="41B45873">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码垛系统</w:t>
                  </w:r>
                </w:p>
              </w:tc>
              <w:tc>
                <w:tcPr>
                  <w:tcW w:w="1722" w:type="pct"/>
                  <w:tcBorders>
                    <w:tl2br w:val="nil"/>
                    <w:tr2bl w:val="nil"/>
                  </w:tcBorders>
                  <w:noWrap w:val="0"/>
                  <w:vAlign w:val="center"/>
                </w:tcPr>
                <w:p w14:paraId="729D4AF0">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350包/小时</w:t>
                  </w:r>
                </w:p>
              </w:tc>
              <w:tc>
                <w:tcPr>
                  <w:tcW w:w="456" w:type="pct"/>
                  <w:tcBorders>
                    <w:tl2br w:val="nil"/>
                    <w:tr2bl w:val="nil"/>
                  </w:tcBorders>
                  <w:noWrap w:val="0"/>
                  <w:vAlign w:val="center"/>
                </w:tcPr>
                <w:p w14:paraId="0F0529E8">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1套</w:t>
                  </w:r>
                </w:p>
              </w:tc>
              <w:tc>
                <w:tcPr>
                  <w:tcW w:w="1263" w:type="pct"/>
                  <w:tcBorders>
                    <w:tl2br w:val="nil"/>
                    <w:tr2bl w:val="nil"/>
                  </w:tcBorders>
                  <w:noWrap w:val="0"/>
                  <w:vAlign w:val="center"/>
                </w:tcPr>
                <w:p w14:paraId="600BF0F7">
                  <w:pPr>
                    <w:keepNext w:val="0"/>
                    <w:keepLines w:val="0"/>
                    <w:pageBreakBefore w:val="0"/>
                    <w:kinsoku/>
                    <w:wordWrap/>
                    <w:overflowPunct/>
                    <w:topLinePunct w:val="0"/>
                    <w:autoSpaceDE/>
                    <w:autoSpaceDN/>
                    <w:bidi w:val="0"/>
                    <w:adjustRightInd/>
                    <w:snapToGrid w:val="0"/>
                    <w:jc w:val="center"/>
                    <w:rPr>
                      <w:rFonts w:hint="eastAsia"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w:t>
                  </w:r>
                </w:p>
              </w:tc>
            </w:tr>
            <w:tr w14:paraId="685E64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210997F1">
                  <w:pPr>
                    <w:keepNext w:val="0"/>
                    <w:keepLines w:val="0"/>
                    <w:pageBreakBefore w:val="0"/>
                    <w:kinsoku/>
                    <w:wordWrap/>
                    <w:overflowPunct/>
                    <w:topLinePunct w:val="0"/>
                    <w:autoSpaceDE/>
                    <w:autoSpaceDN/>
                    <w:bidi w:val="0"/>
                    <w:adjustRightInd/>
                    <w:snapToGrid w:val="0"/>
                    <w:jc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28</w:t>
                  </w:r>
                </w:p>
              </w:tc>
              <w:tc>
                <w:tcPr>
                  <w:tcW w:w="1116" w:type="pct"/>
                  <w:tcBorders>
                    <w:tl2br w:val="nil"/>
                    <w:tr2bl w:val="nil"/>
                  </w:tcBorders>
                  <w:noWrap w:val="0"/>
                  <w:vAlign w:val="center"/>
                </w:tcPr>
                <w:p w14:paraId="4F06BDEB">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自动覆膜系统</w:t>
                  </w:r>
                </w:p>
              </w:tc>
              <w:tc>
                <w:tcPr>
                  <w:tcW w:w="1722" w:type="pct"/>
                  <w:tcBorders>
                    <w:tl2br w:val="nil"/>
                    <w:tr2bl w:val="nil"/>
                  </w:tcBorders>
                  <w:noWrap w:val="0"/>
                  <w:vAlign w:val="center"/>
                </w:tcPr>
                <w:p w14:paraId="4011DC56">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50-60托/小时</w:t>
                  </w:r>
                </w:p>
              </w:tc>
              <w:tc>
                <w:tcPr>
                  <w:tcW w:w="456" w:type="pct"/>
                  <w:tcBorders>
                    <w:tl2br w:val="nil"/>
                    <w:tr2bl w:val="nil"/>
                  </w:tcBorders>
                  <w:noWrap w:val="0"/>
                  <w:vAlign w:val="center"/>
                </w:tcPr>
                <w:p w14:paraId="0D2397F3">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1套</w:t>
                  </w:r>
                </w:p>
              </w:tc>
              <w:tc>
                <w:tcPr>
                  <w:tcW w:w="1263" w:type="pct"/>
                  <w:tcBorders>
                    <w:tl2br w:val="nil"/>
                    <w:tr2bl w:val="nil"/>
                  </w:tcBorders>
                  <w:noWrap w:val="0"/>
                  <w:vAlign w:val="center"/>
                </w:tcPr>
                <w:p w14:paraId="5EFD74B8">
                  <w:pPr>
                    <w:keepNext w:val="0"/>
                    <w:keepLines w:val="0"/>
                    <w:pageBreakBefore w:val="0"/>
                    <w:kinsoku/>
                    <w:wordWrap/>
                    <w:overflowPunct/>
                    <w:topLinePunct w:val="0"/>
                    <w:autoSpaceDE/>
                    <w:autoSpaceDN/>
                    <w:bidi w:val="0"/>
                    <w:adjustRightInd/>
                    <w:snapToGrid w:val="0"/>
                    <w:jc w:val="center"/>
                    <w:rPr>
                      <w:rFonts w:hint="eastAsia"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w:t>
                  </w:r>
                </w:p>
              </w:tc>
            </w:tr>
            <w:tr w14:paraId="1436BA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64E26C61">
                  <w:pPr>
                    <w:keepNext w:val="0"/>
                    <w:keepLines w:val="0"/>
                    <w:pageBreakBefore w:val="0"/>
                    <w:kinsoku/>
                    <w:wordWrap/>
                    <w:overflowPunct/>
                    <w:topLinePunct w:val="0"/>
                    <w:autoSpaceDE/>
                    <w:autoSpaceDN/>
                    <w:bidi w:val="0"/>
                    <w:adjustRightInd/>
                    <w:snapToGrid w:val="0"/>
                    <w:jc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29</w:t>
                  </w:r>
                </w:p>
              </w:tc>
              <w:tc>
                <w:tcPr>
                  <w:tcW w:w="1806" w:type="dxa"/>
                  <w:tcBorders>
                    <w:tl2br w:val="nil"/>
                    <w:tr2bl w:val="nil"/>
                  </w:tcBorders>
                  <w:noWrap w:val="0"/>
                  <w:vAlign w:val="center"/>
                </w:tcPr>
                <w:p w14:paraId="33AE8D91">
                  <w:pPr>
                    <w:pStyle w:val="6"/>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bCs/>
                      <w:color w:val="auto"/>
                      <w:sz w:val="21"/>
                      <w:szCs w:val="21"/>
                      <w:highlight w:val="none"/>
                    </w:rPr>
                    <w:t>机制砂提升机</w:t>
                  </w:r>
                </w:p>
              </w:tc>
              <w:tc>
                <w:tcPr>
                  <w:tcW w:w="1722" w:type="pct"/>
                  <w:tcBorders>
                    <w:tl2br w:val="nil"/>
                    <w:tr2bl w:val="nil"/>
                  </w:tcBorders>
                  <w:noWrap w:val="0"/>
                  <w:vAlign w:val="center"/>
                </w:tcPr>
                <w:p w14:paraId="5588160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p>
              </w:tc>
              <w:tc>
                <w:tcPr>
                  <w:tcW w:w="456" w:type="pct"/>
                  <w:tcBorders>
                    <w:tl2br w:val="nil"/>
                    <w:tr2bl w:val="nil"/>
                  </w:tcBorders>
                  <w:noWrap w:val="0"/>
                  <w:vAlign w:val="center"/>
                </w:tcPr>
                <w:p w14:paraId="18BCA624">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1台</w:t>
                  </w:r>
                </w:p>
              </w:tc>
              <w:tc>
                <w:tcPr>
                  <w:tcW w:w="1263" w:type="pct"/>
                  <w:tcBorders>
                    <w:tl2br w:val="nil"/>
                    <w:tr2bl w:val="nil"/>
                  </w:tcBorders>
                  <w:noWrap w:val="0"/>
                  <w:vAlign w:val="center"/>
                </w:tcPr>
                <w:p w14:paraId="70212852">
                  <w:pPr>
                    <w:keepNext w:val="0"/>
                    <w:keepLines w:val="0"/>
                    <w:pageBreakBefore w:val="0"/>
                    <w:kinsoku/>
                    <w:wordWrap/>
                    <w:overflowPunct/>
                    <w:topLinePunct w:val="0"/>
                    <w:autoSpaceDE/>
                    <w:autoSpaceDN/>
                    <w:bidi w:val="0"/>
                    <w:adjustRightInd/>
                    <w:snapToGrid w:val="0"/>
                    <w:jc w:val="center"/>
                    <w:rPr>
                      <w:rFonts w:hint="eastAsia"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w:t>
                  </w:r>
                </w:p>
              </w:tc>
            </w:tr>
            <w:tr w14:paraId="200663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04D81A07">
                  <w:pPr>
                    <w:keepNext w:val="0"/>
                    <w:keepLines w:val="0"/>
                    <w:pageBreakBefore w:val="0"/>
                    <w:kinsoku/>
                    <w:wordWrap/>
                    <w:overflowPunct/>
                    <w:topLinePunct w:val="0"/>
                    <w:autoSpaceDE/>
                    <w:autoSpaceDN/>
                    <w:bidi w:val="0"/>
                    <w:adjustRightInd/>
                    <w:snapToGrid w:val="0"/>
                    <w:jc w:val="center"/>
                    <w:rPr>
                      <w:rFonts w:hint="eastAsia" w:cs="Times New Roman"/>
                      <w:i w:val="0"/>
                      <w:iCs w:val="0"/>
                      <w:color w:val="auto"/>
                      <w:sz w:val="21"/>
                      <w:szCs w:val="21"/>
                      <w:highlight w:val="none"/>
                      <w:u w:val="none"/>
                      <w:lang w:val="en-US" w:eastAsia="zh-CN"/>
                    </w:rPr>
                  </w:pPr>
                </w:p>
              </w:tc>
              <w:tc>
                <w:tcPr>
                  <w:tcW w:w="1806" w:type="dxa"/>
                  <w:tcBorders>
                    <w:tl2br w:val="nil"/>
                    <w:tr2bl w:val="nil"/>
                  </w:tcBorders>
                  <w:noWrap w:val="0"/>
                  <w:vAlign w:val="center"/>
                </w:tcPr>
                <w:p w14:paraId="280C2E94">
                  <w:pPr>
                    <w:pStyle w:val="6"/>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bCs/>
                      <w:color w:val="auto"/>
                      <w:sz w:val="21"/>
                      <w:szCs w:val="21"/>
                      <w:highlight w:val="none"/>
                    </w:rPr>
                    <w:t>成品提升机</w:t>
                  </w:r>
                </w:p>
              </w:tc>
              <w:tc>
                <w:tcPr>
                  <w:tcW w:w="1722" w:type="pct"/>
                  <w:tcBorders>
                    <w:tl2br w:val="nil"/>
                    <w:tr2bl w:val="nil"/>
                  </w:tcBorders>
                  <w:noWrap w:val="0"/>
                  <w:vAlign w:val="center"/>
                </w:tcPr>
                <w:p w14:paraId="52991C9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p>
              </w:tc>
              <w:tc>
                <w:tcPr>
                  <w:tcW w:w="456" w:type="pct"/>
                  <w:tcBorders>
                    <w:tl2br w:val="nil"/>
                    <w:tr2bl w:val="nil"/>
                  </w:tcBorders>
                  <w:noWrap w:val="0"/>
                  <w:vAlign w:val="center"/>
                </w:tcPr>
                <w:p w14:paraId="01365B2C">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1台</w:t>
                  </w:r>
                </w:p>
              </w:tc>
              <w:tc>
                <w:tcPr>
                  <w:tcW w:w="1263" w:type="pct"/>
                  <w:tcBorders>
                    <w:tl2br w:val="nil"/>
                    <w:tr2bl w:val="nil"/>
                  </w:tcBorders>
                  <w:noWrap w:val="0"/>
                  <w:vAlign w:val="center"/>
                </w:tcPr>
                <w:p w14:paraId="0006DDA4">
                  <w:pPr>
                    <w:keepNext w:val="0"/>
                    <w:keepLines w:val="0"/>
                    <w:pageBreakBefore w:val="0"/>
                    <w:kinsoku/>
                    <w:wordWrap/>
                    <w:overflowPunct/>
                    <w:topLinePunct w:val="0"/>
                    <w:autoSpaceDE/>
                    <w:autoSpaceDN/>
                    <w:bidi w:val="0"/>
                    <w:adjustRightInd/>
                    <w:snapToGrid w:val="0"/>
                    <w:jc w:val="center"/>
                    <w:rPr>
                      <w:rFonts w:hint="eastAsia"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w:t>
                  </w:r>
                </w:p>
              </w:tc>
            </w:tr>
            <w:tr w14:paraId="2FC276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noWrap w:val="0"/>
                  <w:vAlign w:val="center"/>
                </w:tcPr>
                <w:p w14:paraId="0561F021">
                  <w:pPr>
                    <w:keepNext w:val="0"/>
                    <w:keepLines w:val="0"/>
                    <w:pageBreakBefore w:val="0"/>
                    <w:kinsoku/>
                    <w:wordWrap/>
                    <w:overflowPunct/>
                    <w:topLinePunct w:val="0"/>
                    <w:autoSpaceDE/>
                    <w:autoSpaceDN/>
                    <w:bidi w:val="0"/>
                    <w:adjustRightInd/>
                    <w:snapToGrid w:val="0"/>
                    <w:jc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26</w:t>
                  </w:r>
                </w:p>
              </w:tc>
              <w:tc>
                <w:tcPr>
                  <w:tcW w:w="1116" w:type="pct"/>
                  <w:tcBorders>
                    <w:tl2br w:val="nil"/>
                    <w:tr2bl w:val="nil"/>
                  </w:tcBorders>
                  <w:noWrap w:val="0"/>
                  <w:vAlign w:val="center"/>
                </w:tcPr>
                <w:p w14:paraId="7360D9C7">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布袋除尘器</w:t>
                  </w:r>
                </w:p>
              </w:tc>
              <w:tc>
                <w:tcPr>
                  <w:tcW w:w="1722" w:type="pct"/>
                  <w:tcBorders>
                    <w:tl2br w:val="nil"/>
                    <w:tr2bl w:val="nil"/>
                  </w:tcBorders>
                  <w:noWrap w:val="0"/>
                  <w:vAlign w:val="center"/>
                </w:tcPr>
                <w:p w14:paraId="6AD8BEA4">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i w:val="0"/>
                      <w:iCs w:val="0"/>
                      <w:color w:val="auto"/>
                      <w:sz w:val="21"/>
                      <w:szCs w:val="21"/>
                      <w:highlight w:val="none"/>
                      <w:u w:val="none"/>
                      <w:lang w:val="en-US" w:eastAsia="zh-CN"/>
                    </w:rPr>
                  </w:pPr>
                </w:p>
              </w:tc>
              <w:tc>
                <w:tcPr>
                  <w:tcW w:w="456" w:type="pct"/>
                  <w:tcBorders>
                    <w:tl2br w:val="nil"/>
                    <w:tr2bl w:val="nil"/>
                  </w:tcBorders>
                  <w:noWrap w:val="0"/>
                  <w:vAlign w:val="center"/>
                </w:tcPr>
                <w:p w14:paraId="3BD2AE5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1套</w:t>
                  </w:r>
                </w:p>
              </w:tc>
              <w:tc>
                <w:tcPr>
                  <w:tcW w:w="1263" w:type="pct"/>
                  <w:tcBorders>
                    <w:tl2br w:val="nil"/>
                    <w:tr2bl w:val="nil"/>
                  </w:tcBorders>
                  <w:noWrap w:val="0"/>
                  <w:vAlign w:val="center"/>
                </w:tcPr>
                <w:p w14:paraId="4D9C419D">
                  <w:pPr>
                    <w:keepNext w:val="0"/>
                    <w:keepLines w:val="0"/>
                    <w:pageBreakBefore w:val="0"/>
                    <w:kinsoku/>
                    <w:wordWrap/>
                    <w:overflowPunct/>
                    <w:topLinePunct w:val="0"/>
                    <w:autoSpaceDE/>
                    <w:autoSpaceDN/>
                    <w:bidi w:val="0"/>
                    <w:adjustRightInd/>
                    <w:snapToGrid w:val="0"/>
                    <w:jc w:val="center"/>
                    <w:rPr>
                      <w:rFonts w:hint="default"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对于机制砂筛分产生的粉尘进行收尘</w:t>
                  </w:r>
                </w:p>
              </w:tc>
            </w:tr>
          </w:tbl>
          <w:p w14:paraId="73BF52EB">
            <w:pPr>
              <w:pStyle w:val="27"/>
              <w:keepNext w:val="0"/>
              <w:keepLines w:val="0"/>
              <w:pageBreakBefore w:val="0"/>
              <w:widowControl w:val="0"/>
              <w:tabs>
                <w:tab w:val="left" w:pos="610"/>
              </w:tabs>
              <w:kinsoku/>
              <w:wordWrap/>
              <w:overflowPunct/>
              <w:topLinePunct w:val="0"/>
              <w:autoSpaceDE/>
              <w:autoSpaceDN/>
              <w:bidi w:val="0"/>
              <w:adjustRightInd/>
              <w:snapToGrid/>
              <w:spacing w:line="360" w:lineRule="auto"/>
              <w:jc w:val="left"/>
              <w:textAlignment w:val="auto"/>
              <w:rPr>
                <w:b w:val="0"/>
                <w:bCs/>
                <w:color w:val="auto"/>
                <w:sz w:val="24"/>
                <w:highlight w:val="none"/>
              </w:rPr>
            </w:pPr>
            <w:r>
              <w:rPr>
                <w:rFonts w:ascii="Times New Roman" w:hAnsi="Times New Roman" w:cs="Times New Roman" w:eastAsiaTheme="minorEastAsia"/>
                <w:b/>
                <w:bCs/>
                <w:color w:val="auto"/>
                <w:sz w:val="24"/>
                <w:highlight w:val="none"/>
                <w:lang w:val="en-US" w:bidi="ar-SA"/>
              </w:rPr>
              <w:t>2.5</w:t>
            </w:r>
            <w:r>
              <w:rPr>
                <w:rFonts w:hint="eastAsia" w:ascii="Times New Roman" w:hAnsi="Times New Roman" w:cs="Times New Roman" w:eastAsiaTheme="minorEastAsia"/>
                <w:b/>
                <w:bCs/>
                <w:color w:val="auto"/>
                <w:sz w:val="24"/>
                <w:highlight w:val="none"/>
                <w:lang w:val="en-US" w:eastAsia="zh-CN" w:bidi="ar-SA"/>
              </w:rPr>
              <w:t xml:space="preserve"> </w:t>
            </w:r>
            <w:r>
              <w:rPr>
                <w:rFonts w:ascii="Times New Roman" w:hAnsi="Times New Roman" w:cs="Times New Roman" w:eastAsiaTheme="minorEastAsia"/>
                <w:b/>
                <w:bCs/>
                <w:color w:val="auto"/>
                <w:sz w:val="24"/>
                <w:highlight w:val="none"/>
                <w:lang w:val="en-US" w:bidi="ar-SA"/>
              </w:rPr>
              <w:t>主要原辅材料消耗</w:t>
            </w:r>
          </w:p>
          <w:p w14:paraId="6D64DF38">
            <w:pPr>
              <w:pStyle w:val="27"/>
              <w:spacing w:line="360" w:lineRule="auto"/>
              <w:ind w:firstLine="480" w:firstLineChars="200"/>
              <w:rPr>
                <w:rFonts w:hint="eastAsia" w:ascii="Times New Roman" w:hAnsi="Times New Roman" w:eastAsia="宋体"/>
                <w:color w:val="auto"/>
                <w:kern w:val="0"/>
                <w:sz w:val="24"/>
                <w:szCs w:val="24"/>
                <w:highlight w:val="none"/>
                <w:lang w:val="en-US" w:eastAsia="zh-CN"/>
              </w:rPr>
            </w:pPr>
            <w:r>
              <w:rPr>
                <w:rFonts w:hint="eastAsia" w:ascii="Times New Roman" w:hAnsi="Times New Roman" w:eastAsia="宋体"/>
                <w:color w:val="auto"/>
                <w:kern w:val="0"/>
                <w:sz w:val="24"/>
                <w:szCs w:val="24"/>
                <w:highlight w:val="none"/>
                <w:lang w:val="en-US" w:eastAsia="zh-CN"/>
              </w:rPr>
              <w:t>根据建设单位提供的资料，本项目机制砂及水泥由现有机制砂及水泥生产线提供，干混砂浆按照</w:t>
            </w:r>
            <w:r>
              <w:rPr>
                <w:rFonts w:hint="eastAsia" w:ascii="Times New Roman" w:hAnsi="Times New Roman"/>
                <w:color w:val="auto"/>
                <w:kern w:val="0"/>
                <w:sz w:val="24"/>
                <w:szCs w:val="24"/>
                <w:highlight w:val="none"/>
                <w:lang w:val="en-US" w:eastAsia="zh-CN"/>
              </w:rPr>
              <w:t>25万吨</w:t>
            </w:r>
            <w:r>
              <w:rPr>
                <w:rFonts w:hint="eastAsia" w:ascii="Times New Roman" w:hAnsi="Times New Roman" w:eastAsia="宋体"/>
                <w:color w:val="auto"/>
                <w:kern w:val="0"/>
                <w:sz w:val="24"/>
                <w:szCs w:val="24"/>
                <w:highlight w:val="none"/>
                <w:lang w:val="en-US" w:eastAsia="zh-CN"/>
              </w:rPr>
              <w:t>/年，主要原材料需求量测算</w:t>
            </w:r>
            <w:r>
              <w:rPr>
                <w:rFonts w:hint="eastAsia" w:ascii="Times New Roman" w:hAnsi="Times New Roman"/>
                <w:color w:val="auto"/>
                <w:kern w:val="0"/>
                <w:sz w:val="24"/>
                <w:szCs w:val="24"/>
                <w:highlight w:val="none"/>
                <w:lang w:val="en-US" w:eastAsia="zh-CN"/>
              </w:rPr>
              <w:t>，具体</w:t>
            </w:r>
            <w:r>
              <w:rPr>
                <w:rFonts w:hint="eastAsia" w:ascii="Times New Roman" w:hAnsi="Times New Roman" w:eastAsia="宋体"/>
                <w:color w:val="auto"/>
                <w:kern w:val="0"/>
                <w:sz w:val="24"/>
                <w:szCs w:val="24"/>
                <w:highlight w:val="none"/>
                <w:lang w:val="en-US" w:eastAsia="zh-CN"/>
              </w:rPr>
              <w:t>见下表2-</w:t>
            </w:r>
            <w:r>
              <w:rPr>
                <w:rFonts w:hint="eastAsia" w:ascii="Times New Roman" w:hAnsi="Times New Roman"/>
                <w:color w:val="auto"/>
                <w:kern w:val="0"/>
                <w:sz w:val="24"/>
                <w:szCs w:val="24"/>
                <w:highlight w:val="none"/>
                <w:lang w:val="en-US" w:eastAsia="zh-CN"/>
              </w:rPr>
              <w:t>8</w:t>
            </w:r>
            <w:r>
              <w:rPr>
                <w:rFonts w:hint="eastAsia" w:ascii="Times New Roman" w:hAnsi="Times New Roman" w:eastAsia="宋体"/>
                <w:color w:val="auto"/>
                <w:kern w:val="0"/>
                <w:sz w:val="24"/>
                <w:szCs w:val="24"/>
                <w:highlight w:val="none"/>
                <w:lang w:val="en-US" w:eastAsia="zh-CN"/>
              </w:rPr>
              <w:t>。</w:t>
            </w:r>
          </w:p>
          <w:p w14:paraId="405FFA93">
            <w:pPr>
              <w:pStyle w:val="27"/>
              <w:tabs>
                <w:tab w:val="left" w:pos="1041"/>
              </w:tabs>
              <w:spacing w:line="240" w:lineRule="auto"/>
              <w:jc w:val="center"/>
              <w:rPr>
                <w:rFonts w:hint="default" w:ascii="Times New Roman" w:hAnsi="Times New Roman" w:cs="Times New Roman" w:eastAsiaTheme="minorEastAsia"/>
                <w:b/>
                <w:color w:val="auto"/>
                <w:szCs w:val="21"/>
                <w:highlight w:val="none"/>
                <w:lang w:val="en-US"/>
              </w:rPr>
            </w:pPr>
            <w:r>
              <w:rPr>
                <w:rFonts w:ascii="Times New Roman" w:hAnsi="Times New Roman" w:cs="Times New Roman" w:eastAsiaTheme="minorEastAsia"/>
                <w:b/>
                <w:color w:val="auto"/>
                <w:szCs w:val="21"/>
                <w:highlight w:val="none"/>
              </w:rPr>
              <w:t>表2-</w:t>
            </w:r>
            <w:r>
              <w:rPr>
                <w:rFonts w:hint="eastAsia" w:ascii="Times New Roman" w:hAnsi="Times New Roman" w:cs="Times New Roman" w:eastAsiaTheme="minorEastAsia"/>
                <w:b/>
                <w:color w:val="auto"/>
                <w:szCs w:val="21"/>
                <w:highlight w:val="none"/>
                <w:lang w:val="en-US" w:eastAsia="zh-CN"/>
              </w:rPr>
              <w:t>8</w:t>
            </w:r>
            <w:r>
              <w:rPr>
                <w:rFonts w:ascii="Times New Roman" w:hAnsi="Times New Roman" w:cs="Times New Roman" w:eastAsiaTheme="minorEastAsia"/>
                <w:b/>
                <w:color w:val="auto"/>
                <w:szCs w:val="21"/>
                <w:highlight w:val="none"/>
                <w:lang w:val="en-US"/>
              </w:rPr>
              <w:t xml:space="preserve">  </w:t>
            </w:r>
            <w:r>
              <w:rPr>
                <w:rFonts w:hint="eastAsia" w:ascii="Times New Roman" w:hAnsi="Times New Roman" w:eastAsia="宋体"/>
                <w:b/>
                <w:bCs/>
                <w:color w:val="auto"/>
                <w:kern w:val="0"/>
                <w:sz w:val="21"/>
                <w:szCs w:val="21"/>
                <w:highlight w:val="none"/>
                <w:lang w:val="en-US" w:eastAsia="zh-CN"/>
              </w:rPr>
              <w:t>干混砂浆材料</w:t>
            </w:r>
            <w:r>
              <w:rPr>
                <w:rFonts w:hint="eastAsia" w:ascii="Times New Roman" w:hAnsi="Times New Roman" w:cs="Times New Roman" w:eastAsiaTheme="minorEastAsia"/>
                <w:b/>
                <w:bCs/>
                <w:color w:val="auto"/>
                <w:sz w:val="21"/>
                <w:szCs w:val="21"/>
                <w:highlight w:val="none"/>
                <w:lang w:val="en-US" w:eastAsia="zh-CN"/>
              </w:rPr>
              <w:t>产品配料表</w:t>
            </w:r>
          </w:p>
          <w:tbl>
            <w:tblPr>
              <w:tblStyle w:val="19"/>
              <w:tblW w:w="74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633"/>
              <w:gridCol w:w="895"/>
              <w:gridCol w:w="896"/>
              <w:gridCol w:w="1069"/>
              <w:gridCol w:w="825"/>
              <w:gridCol w:w="964"/>
            </w:tblGrid>
            <w:tr w14:paraId="61F16B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196" w:type="dxa"/>
                  <w:tcBorders>
                    <w:tl2br w:val="nil"/>
                    <w:tr2bl w:val="nil"/>
                  </w:tcBorders>
                  <w:shd w:val="clear" w:color="auto" w:fill="auto"/>
                  <w:noWrap/>
                  <w:vAlign w:val="center"/>
                </w:tcPr>
                <w:p w14:paraId="03DF300E">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产品</w:t>
                  </w:r>
                </w:p>
              </w:tc>
              <w:tc>
                <w:tcPr>
                  <w:tcW w:w="1633" w:type="dxa"/>
                  <w:tcBorders>
                    <w:tl2br w:val="nil"/>
                    <w:tr2bl w:val="nil"/>
                  </w:tcBorders>
                  <w:shd w:val="clear" w:color="auto" w:fill="auto"/>
                  <w:vAlign w:val="center"/>
                </w:tcPr>
                <w:p w14:paraId="1A09413E">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物料名称</w:t>
                  </w:r>
                </w:p>
              </w:tc>
              <w:tc>
                <w:tcPr>
                  <w:tcW w:w="895" w:type="dxa"/>
                  <w:tcBorders>
                    <w:tl2br w:val="nil"/>
                    <w:tr2bl w:val="nil"/>
                  </w:tcBorders>
                  <w:shd w:val="clear" w:color="auto" w:fill="auto"/>
                  <w:vAlign w:val="center"/>
                </w:tcPr>
                <w:p w14:paraId="227E684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水泥</w:t>
                  </w:r>
                </w:p>
              </w:tc>
              <w:tc>
                <w:tcPr>
                  <w:tcW w:w="896" w:type="dxa"/>
                  <w:tcBorders>
                    <w:tl2br w:val="nil"/>
                    <w:tr2bl w:val="nil"/>
                  </w:tcBorders>
                  <w:shd w:val="clear" w:color="auto" w:fill="auto"/>
                  <w:vAlign w:val="center"/>
                </w:tcPr>
                <w:p w14:paraId="5C16342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机制砂</w:t>
                  </w:r>
                </w:p>
              </w:tc>
              <w:tc>
                <w:tcPr>
                  <w:tcW w:w="1069" w:type="dxa"/>
                  <w:tcBorders>
                    <w:tl2br w:val="nil"/>
                    <w:tr2bl w:val="nil"/>
                  </w:tcBorders>
                  <w:shd w:val="clear" w:color="auto" w:fill="auto"/>
                  <w:vAlign w:val="center"/>
                </w:tcPr>
                <w:p w14:paraId="2DB2879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粉煤灰</w:t>
                  </w:r>
                </w:p>
              </w:tc>
              <w:tc>
                <w:tcPr>
                  <w:tcW w:w="825" w:type="dxa"/>
                  <w:tcBorders>
                    <w:tl2br w:val="nil"/>
                    <w:tr2bl w:val="nil"/>
                  </w:tcBorders>
                  <w:shd w:val="clear" w:color="auto" w:fill="auto"/>
                  <w:vAlign w:val="top"/>
                </w:tcPr>
                <w:p w14:paraId="6D33B60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石粉</w:t>
                  </w:r>
                </w:p>
              </w:tc>
              <w:tc>
                <w:tcPr>
                  <w:tcW w:w="964" w:type="dxa"/>
                  <w:tcBorders>
                    <w:tl2br w:val="nil"/>
                    <w:tr2bl w:val="nil"/>
                  </w:tcBorders>
                  <w:shd w:val="clear" w:color="auto" w:fill="auto"/>
                  <w:vAlign w:val="center"/>
                </w:tcPr>
                <w:p w14:paraId="7E86D63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外加剂</w:t>
                  </w:r>
                </w:p>
              </w:tc>
            </w:tr>
            <w:tr w14:paraId="0E5E8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196" w:type="dxa"/>
                  <w:vMerge w:val="restart"/>
                  <w:tcBorders>
                    <w:tl2br w:val="nil"/>
                    <w:tr2bl w:val="nil"/>
                  </w:tcBorders>
                  <w:shd w:val="clear" w:color="auto" w:fill="auto"/>
                  <w:noWrap/>
                  <w:vAlign w:val="center"/>
                </w:tcPr>
                <w:p w14:paraId="0790A4D8">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干混砂浆</w:t>
                  </w:r>
                </w:p>
              </w:tc>
              <w:tc>
                <w:tcPr>
                  <w:tcW w:w="1633" w:type="dxa"/>
                  <w:tcBorders>
                    <w:tl2br w:val="nil"/>
                    <w:tr2bl w:val="nil"/>
                  </w:tcBorders>
                  <w:shd w:val="clear" w:color="auto" w:fill="auto"/>
                  <w:vAlign w:val="center"/>
                </w:tcPr>
                <w:p w14:paraId="3B9543CC">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用量（万吨）</w:t>
                  </w:r>
                </w:p>
              </w:tc>
              <w:tc>
                <w:tcPr>
                  <w:tcW w:w="895" w:type="dxa"/>
                  <w:tcBorders>
                    <w:tl2br w:val="nil"/>
                    <w:tr2bl w:val="nil"/>
                  </w:tcBorders>
                  <w:shd w:val="clear" w:color="auto" w:fill="auto"/>
                  <w:vAlign w:val="center"/>
                </w:tcPr>
                <w:p w14:paraId="2666744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3.5</w:t>
                  </w:r>
                </w:p>
              </w:tc>
              <w:tc>
                <w:tcPr>
                  <w:tcW w:w="896" w:type="dxa"/>
                  <w:tcBorders>
                    <w:tl2br w:val="nil"/>
                    <w:tr2bl w:val="nil"/>
                  </w:tcBorders>
                  <w:shd w:val="clear" w:color="auto" w:fill="auto"/>
                  <w:vAlign w:val="center"/>
                </w:tcPr>
                <w:p w14:paraId="4613309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19.5</w:t>
                  </w:r>
                </w:p>
              </w:tc>
              <w:tc>
                <w:tcPr>
                  <w:tcW w:w="1069" w:type="dxa"/>
                  <w:tcBorders>
                    <w:tl2br w:val="nil"/>
                    <w:tr2bl w:val="nil"/>
                  </w:tcBorders>
                  <w:shd w:val="clear" w:color="auto" w:fill="auto"/>
                  <w:vAlign w:val="center"/>
                </w:tcPr>
                <w:p w14:paraId="3D69017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1.2435</w:t>
                  </w:r>
                </w:p>
              </w:tc>
              <w:tc>
                <w:tcPr>
                  <w:tcW w:w="825" w:type="dxa"/>
                  <w:tcBorders>
                    <w:tl2br w:val="nil"/>
                    <w:tr2bl w:val="nil"/>
                  </w:tcBorders>
                  <w:shd w:val="clear" w:color="auto" w:fill="auto"/>
                  <w:vAlign w:val="center"/>
                </w:tcPr>
                <w:p w14:paraId="33392BE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0.75</w:t>
                  </w:r>
                </w:p>
              </w:tc>
              <w:tc>
                <w:tcPr>
                  <w:tcW w:w="964" w:type="dxa"/>
                  <w:tcBorders>
                    <w:tl2br w:val="nil"/>
                    <w:tr2bl w:val="nil"/>
                  </w:tcBorders>
                  <w:shd w:val="clear" w:color="auto" w:fill="auto"/>
                  <w:vAlign w:val="center"/>
                </w:tcPr>
                <w:p w14:paraId="0C27AEE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0.0065</w:t>
                  </w:r>
                </w:p>
              </w:tc>
            </w:tr>
            <w:tr w14:paraId="4A01E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96" w:type="dxa"/>
                  <w:vMerge w:val="continue"/>
                  <w:tcBorders>
                    <w:tl2br w:val="nil"/>
                    <w:tr2bl w:val="nil"/>
                  </w:tcBorders>
                  <w:vAlign w:val="center"/>
                </w:tcPr>
                <w:p w14:paraId="0C98A137">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0"/>
                      <w:sz w:val="21"/>
                      <w:szCs w:val="21"/>
                      <w:highlight w:val="none"/>
                    </w:rPr>
                  </w:pPr>
                </w:p>
              </w:tc>
              <w:tc>
                <w:tcPr>
                  <w:tcW w:w="1633" w:type="dxa"/>
                  <w:tcBorders>
                    <w:tl2br w:val="nil"/>
                    <w:tr2bl w:val="nil"/>
                  </w:tcBorders>
                  <w:shd w:val="clear" w:color="auto" w:fill="auto"/>
                  <w:vAlign w:val="center"/>
                </w:tcPr>
                <w:p w14:paraId="2B0D2F6A">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配比（t/t）</w:t>
                  </w:r>
                </w:p>
              </w:tc>
              <w:tc>
                <w:tcPr>
                  <w:tcW w:w="895" w:type="dxa"/>
                  <w:tcBorders>
                    <w:tl2br w:val="nil"/>
                    <w:tr2bl w:val="nil"/>
                  </w:tcBorders>
                  <w:shd w:val="clear" w:color="auto" w:fill="auto"/>
                  <w:vAlign w:val="center"/>
                </w:tcPr>
                <w:p w14:paraId="3BF5620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0.14</w:t>
                  </w:r>
                </w:p>
              </w:tc>
              <w:tc>
                <w:tcPr>
                  <w:tcW w:w="896" w:type="dxa"/>
                  <w:tcBorders>
                    <w:tl2br w:val="nil"/>
                    <w:tr2bl w:val="nil"/>
                  </w:tcBorders>
                  <w:shd w:val="clear" w:color="auto" w:fill="auto"/>
                  <w:vAlign w:val="center"/>
                </w:tcPr>
                <w:p w14:paraId="198D9D0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0.78</w:t>
                  </w:r>
                </w:p>
              </w:tc>
              <w:tc>
                <w:tcPr>
                  <w:tcW w:w="1069" w:type="dxa"/>
                  <w:tcBorders>
                    <w:tl2br w:val="nil"/>
                    <w:tr2bl w:val="nil"/>
                  </w:tcBorders>
                  <w:shd w:val="clear" w:color="auto" w:fill="auto"/>
                  <w:vAlign w:val="center"/>
                </w:tcPr>
                <w:p w14:paraId="7E45183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0.04974</w:t>
                  </w:r>
                </w:p>
              </w:tc>
              <w:tc>
                <w:tcPr>
                  <w:tcW w:w="825" w:type="dxa"/>
                  <w:tcBorders>
                    <w:tl2br w:val="nil"/>
                    <w:tr2bl w:val="nil"/>
                  </w:tcBorders>
                  <w:shd w:val="clear" w:color="auto" w:fill="auto"/>
                  <w:vAlign w:val="center"/>
                </w:tcPr>
                <w:p w14:paraId="7654259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0.03</w:t>
                  </w:r>
                </w:p>
              </w:tc>
              <w:tc>
                <w:tcPr>
                  <w:tcW w:w="964" w:type="dxa"/>
                  <w:tcBorders>
                    <w:tl2br w:val="nil"/>
                    <w:tr2bl w:val="nil"/>
                  </w:tcBorders>
                  <w:shd w:val="clear" w:color="auto" w:fill="auto"/>
                  <w:vAlign w:val="center"/>
                </w:tcPr>
                <w:p w14:paraId="61E2C31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0.00026</w:t>
                  </w:r>
                </w:p>
              </w:tc>
            </w:tr>
          </w:tbl>
          <w:p w14:paraId="5FF8F4A6">
            <w:pPr>
              <w:pStyle w:val="27"/>
              <w:spacing w:line="360" w:lineRule="auto"/>
              <w:ind w:firstLine="480" w:firstLineChars="200"/>
              <w:rPr>
                <w:rFonts w:ascii="Times New Roman" w:hAnsi="Times New Roman" w:cs="Times New Roman" w:eastAsiaTheme="minorEastAsia"/>
                <w:color w:val="auto"/>
                <w:sz w:val="24"/>
                <w:highlight w:val="none"/>
              </w:rPr>
            </w:pPr>
            <w:r>
              <w:rPr>
                <w:rFonts w:hint="eastAsia" w:ascii="Times New Roman" w:hAnsi="Times New Roman" w:cs="Times New Roman" w:eastAsiaTheme="minorEastAsia"/>
                <w:color w:val="auto"/>
                <w:sz w:val="24"/>
                <w:highlight w:val="none"/>
                <w:lang w:val="en-US" w:eastAsia="zh-CN"/>
              </w:rPr>
              <w:t>项目</w:t>
            </w:r>
            <w:r>
              <w:rPr>
                <w:rFonts w:ascii="Times New Roman" w:hAnsi="Times New Roman" w:cs="Times New Roman" w:eastAsiaTheme="minorEastAsia"/>
                <w:color w:val="auto"/>
                <w:sz w:val="24"/>
                <w:highlight w:val="none"/>
              </w:rPr>
              <w:t>主要原辅材料</w:t>
            </w:r>
            <w:r>
              <w:rPr>
                <w:rFonts w:hint="eastAsia" w:ascii="Times New Roman" w:hAnsi="Times New Roman" w:cs="Times New Roman" w:eastAsiaTheme="minorEastAsia"/>
                <w:color w:val="auto"/>
                <w:sz w:val="24"/>
                <w:highlight w:val="none"/>
                <w:lang w:val="en-US" w:eastAsia="zh-CN"/>
              </w:rPr>
              <w:t>及能源消耗情况</w:t>
            </w:r>
            <w:r>
              <w:rPr>
                <w:rFonts w:ascii="Times New Roman" w:hAnsi="Times New Roman" w:cs="Times New Roman" w:eastAsiaTheme="minorEastAsia"/>
                <w:color w:val="auto"/>
                <w:sz w:val="24"/>
                <w:highlight w:val="none"/>
              </w:rPr>
              <w:t>详见</w:t>
            </w:r>
            <w:r>
              <w:rPr>
                <w:rFonts w:hint="eastAsia" w:ascii="Times New Roman" w:hAnsi="Times New Roman" w:cs="Times New Roman" w:eastAsiaTheme="minorEastAsia"/>
                <w:color w:val="auto"/>
                <w:sz w:val="24"/>
                <w:highlight w:val="none"/>
                <w:lang w:val="en-US" w:eastAsia="zh-CN"/>
              </w:rPr>
              <w:t>下</w:t>
            </w:r>
            <w:r>
              <w:rPr>
                <w:rFonts w:ascii="Times New Roman" w:hAnsi="Times New Roman" w:cs="Times New Roman" w:eastAsiaTheme="minorEastAsia"/>
                <w:color w:val="auto"/>
                <w:sz w:val="24"/>
                <w:highlight w:val="none"/>
              </w:rPr>
              <w:t>表</w:t>
            </w:r>
            <w:r>
              <w:rPr>
                <w:rFonts w:ascii="Times New Roman" w:hAnsi="Times New Roman" w:cs="Times New Roman" w:eastAsiaTheme="minorEastAsia"/>
                <w:color w:val="auto"/>
                <w:sz w:val="24"/>
                <w:highlight w:val="none"/>
                <w:lang w:val="en-US"/>
              </w:rPr>
              <w:t>2-</w:t>
            </w:r>
            <w:r>
              <w:rPr>
                <w:rFonts w:hint="eastAsia" w:ascii="Times New Roman" w:hAnsi="Times New Roman" w:cs="Times New Roman" w:eastAsiaTheme="minorEastAsia"/>
                <w:color w:val="auto"/>
                <w:sz w:val="24"/>
                <w:highlight w:val="none"/>
                <w:lang w:val="en-US" w:eastAsia="zh-CN"/>
              </w:rPr>
              <w:t>9</w:t>
            </w:r>
            <w:r>
              <w:rPr>
                <w:rFonts w:ascii="Times New Roman" w:hAnsi="Times New Roman" w:cs="Times New Roman" w:eastAsiaTheme="minorEastAsia"/>
                <w:color w:val="auto"/>
                <w:sz w:val="24"/>
                <w:highlight w:val="none"/>
              </w:rPr>
              <w:t>。</w:t>
            </w:r>
          </w:p>
          <w:p w14:paraId="7B75B829">
            <w:pPr>
              <w:pStyle w:val="27"/>
              <w:tabs>
                <w:tab w:val="left" w:pos="1041"/>
              </w:tabs>
              <w:spacing w:line="240" w:lineRule="auto"/>
              <w:jc w:val="center"/>
              <w:rPr>
                <w:rFonts w:ascii="Times New Roman" w:hAnsi="Times New Roman" w:cs="Times New Roman" w:eastAsiaTheme="minorEastAsia"/>
                <w:b/>
                <w:color w:val="auto"/>
                <w:szCs w:val="21"/>
                <w:highlight w:val="none"/>
              </w:rPr>
            </w:pPr>
            <w:r>
              <w:rPr>
                <w:rFonts w:ascii="Times New Roman" w:hAnsi="Times New Roman" w:cs="Times New Roman" w:eastAsiaTheme="minorEastAsia"/>
                <w:b/>
                <w:color w:val="auto"/>
                <w:szCs w:val="21"/>
                <w:highlight w:val="none"/>
              </w:rPr>
              <w:t>表2-</w:t>
            </w:r>
            <w:r>
              <w:rPr>
                <w:rFonts w:hint="eastAsia" w:ascii="Times New Roman" w:hAnsi="Times New Roman" w:cs="Times New Roman" w:eastAsiaTheme="minorEastAsia"/>
                <w:b/>
                <w:color w:val="auto"/>
                <w:szCs w:val="21"/>
                <w:highlight w:val="none"/>
                <w:lang w:val="en-US" w:eastAsia="zh-CN"/>
              </w:rPr>
              <w:t>9</w:t>
            </w:r>
            <w:r>
              <w:rPr>
                <w:rFonts w:ascii="Times New Roman" w:hAnsi="Times New Roman" w:cs="Times New Roman" w:eastAsiaTheme="minorEastAsia"/>
                <w:b/>
                <w:color w:val="auto"/>
                <w:szCs w:val="21"/>
                <w:highlight w:val="none"/>
                <w:lang w:val="en-US"/>
              </w:rPr>
              <w:t xml:space="preserve">  主要</w:t>
            </w:r>
            <w:r>
              <w:rPr>
                <w:rFonts w:ascii="Times New Roman" w:hAnsi="Times New Roman" w:cs="Times New Roman" w:eastAsiaTheme="minorEastAsia"/>
                <w:b/>
                <w:color w:val="auto"/>
                <w:szCs w:val="21"/>
                <w:highlight w:val="none"/>
              </w:rPr>
              <w:t>原辅材料及能源消耗一览表</w:t>
            </w:r>
          </w:p>
          <w:tbl>
            <w:tblPr>
              <w:tblStyle w:val="19"/>
              <w:tblW w:w="81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5"/>
              <w:gridCol w:w="376"/>
              <w:gridCol w:w="611"/>
              <w:gridCol w:w="1055"/>
              <w:gridCol w:w="834"/>
              <w:gridCol w:w="805"/>
              <w:gridCol w:w="917"/>
              <w:gridCol w:w="887"/>
              <w:gridCol w:w="1989"/>
            </w:tblGrid>
            <w:tr w14:paraId="6BDE2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42" w:type="pct"/>
                  <w:noWrap/>
                  <w:vAlign w:val="center"/>
                </w:tcPr>
                <w:p w14:paraId="7525E040">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eastAsia" w:ascii="Times New Roman" w:hAnsi="Times New Roman" w:eastAsia="宋体" w:cs="Times New Roman"/>
                      <w:b/>
                      <w:bCs/>
                      <w:i w:val="0"/>
                      <w:iCs w:val="0"/>
                      <w:color w:val="auto"/>
                      <w:kern w:val="0"/>
                      <w:sz w:val="21"/>
                      <w:szCs w:val="21"/>
                      <w:highlight w:val="none"/>
                      <w:u w:val="none"/>
                      <w:lang w:val="en-US" w:eastAsia="zh-CN"/>
                    </w:rPr>
                    <w:t>序号</w:t>
                  </w:r>
                </w:p>
              </w:tc>
              <w:tc>
                <w:tcPr>
                  <w:tcW w:w="601" w:type="pct"/>
                  <w:gridSpan w:val="2"/>
                  <w:noWrap/>
                  <w:vAlign w:val="center"/>
                </w:tcPr>
                <w:p w14:paraId="74B594C9">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eastAsia" w:ascii="Times New Roman" w:hAnsi="Times New Roman" w:eastAsia="宋体" w:cs="Times New Roman"/>
                      <w:b/>
                      <w:bCs/>
                      <w:i w:val="0"/>
                      <w:iCs w:val="0"/>
                      <w:color w:val="auto"/>
                      <w:kern w:val="0"/>
                      <w:sz w:val="21"/>
                      <w:szCs w:val="21"/>
                      <w:highlight w:val="none"/>
                      <w:u w:val="none"/>
                      <w:lang w:val="en-US" w:eastAsia="zh-CN"/>
                    </w:rPr>
                    <w:t>分类</w:t>
                  </w:r>
                </w:p>
              </w:tc>
              <w:tc>
                <w:tcPr>
                  <w:tcW w:w="643" w:type="pct"/>
                  <w:shd w:val="clear" w:color="auto" w:fill="auto"/>
                  <w:noWrap/>
                  <w:vAlign w:val="center"/>
                </w:tcPr>
                <w:p w14:paraId="11A3AEF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rPr>
                  </w:pPr>
                  <w:r>
                    <w:rPr>
                      <w:rFonts w:hint="eastAsia" w:ascii="Times New Roman" w:hAnsi="Times New Roman" w:eastAsia="宋体" w:cs="Times New Roman"/>
                      <w:b/>
                      <w:bCs/>
                      <w:i w:val="0"/>
                      <w:iCs w:val="0"/>
                      <w:color w:val="auto"/>
                      <w:kern w:val="0"/>
                      <w:sz w:val="21"/>
                      <w:szCs w:val="21"/>
                      <w:highlight w:val="none"/>
                      <w:u w:val="none"/>
                      <w:lang w:val="en-US" w:eastAsia="zh-CN"/>
                    </w:rPr>
                    <w:t>名称</w:t>
                  </w:r>
                </w:p>
              </w:tc>
              <w:tc>
                <w:tcPr>
                  <w:tcW w:w="508" w:type="pct"/>
                  <w:noWrap/>
                  <w:vAlign w:val="center"/>
                </w:tcPr>
                <w:p w14:paraId="3F1B1C76">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eastAsia" w:ascii="Times New Roman" w:hAnsi="Times New Roman" w:eastAsia="宋体" w:cs="Times New Roman"/>
                      <w:b/>
                      <w:bCs/>
                      <w:i w:val="0"/>
                      <w:iCs w:val="0"/>
                      <w:color w:val="auto"/>
                      <w:kern w:val="0"/>
                      <w:sz w:val="21"/>
                      <w:szCs w:val="21"/>
                      <w:highlight w:val="none"/>
                      <w:u w:val="none"/>
                      <w:lang w:val="en-US" w:eastAsia="zh-CN"/>
                    </w:rPr>
                    <w:t>单位</w:t>
                  </w:r>
                </w:p>
              </w:tc>
              <w:tc>
                <w:tcPr>
                  <w:tcW w:w="490" w:type="pct"/>
                  <w:noWrap/>
                  <w:vAlign w:val="center"/>
                </w:tcPr>
                <w:p w14:paraId="54D590BB">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eastAsia" w:ascii="Times New Roman" w:hAnsi="Times New Roman" w:eastAsia="宋体" w:cs="Times New Roman"/>
                      <w:b/>
                      <w:bCs/>
                      <w:i w:val="0"/>
                      <w:iCs w:val="0"/>
                      <w:color w:val="auto"/>
                      <w:kern w:val="0"/>
                      <w:sz w:val="21"/>
                      <w:szCs w:val="21"/>
                      <w:highlight w:val="none"/>
                      <w:u w:val="none"/>
                      <w:lang w:val="en-US" w:eastAsia="zh-CN"/>
                    </w:rPr>
                    <w:t>年用量</w:t>
                  </w:r>
                </w:p>
              </w:tc>
              <w:tc>
                <w:tcPr>
                  <w:tcW w:w="559" w:type="pct"/>
                  <w:noWrap/>
                  <w:vAlign w:val="center"/>
                </w:tcPr>
                <w:p w14:paraId="11527E6D">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eastAsia" w:cs="Times New Roman"/>
                      <w:b/>
                      <w:bCs/>
                      <w:i w:val="0"/>
                      <w:iCs w:val="0"/>
                      <w:color w:val="auto"/>
                      <w:kern w:val="0"/>
                      <w:sz w:val="21"/>
                      <w:szCs w:val="21"/>
                      <w:highlight w:val="none"/>
                      <w:u w:val="none"/>
                      <w:lang w:val="en-US" w:eastAsia="zh-CN"/>
                    </w:rPr>
                    <w:t>最大储存量</w:t>
                  </w:r>
                </w:p>
              </w:tc>
              <w:tc>
                <w:tcPr>
                  <w:tcW w:w="540" w:type="pct"/>
                  <w:noWrap/>
                  <w:vAlign w:val="center"/>
                </w:tcPr>
                <w:p w14:paraId="59A2DE1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eastAsia" w:ascii="Times New Roman" w:hAnsi="Times New Roman" w:eastAsia="宋体" w:cs="Times New Roman"/>
                      <w:b/>
                      <w:bCs/>
                      <w:i w:val="0"/>
                      <w:iCs w:val="0"/>
                      <w:color w:val="auto"/>
                      <w:kern w:val="0"/>
                      <w:sz w:val="21"/>
                      <w:szCs w:val="21"/>
                      <w:highlight w:val="none"/>
                      <w:u w:val="none"/>
                      <w:lang w:val="en-US" w:eastAsia="zh-CN"/>
                    </w:rPr>
                    <w:t>贮存位置</w:t>
                  </w:r>
                </w:p>
              </w:tc>
              <w:tc>
                <w:tcPr>
                  <w:tcW w:w="1212" w:type="pct"/>
                  <w:noWrap/>
                  <w:vAlign w:val="center"/>
                </w:tcPr>
                <w:p w14:paraId="79E7E4C6">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eastAsia" w:ascii="Times New Roman" w:hAnsi="Times New Roman" w:eastAsia="宋体" w:cs="Times New Roman"/>
                      <w:b/>
                      <w:bCs/>
                      <w:i w:val="0"/>
                      <w:iCs w:val="0"/>
                      <w:color w:val="auto"/>
                      <w:kern w:val="0"/>
                      <w:sz w:val="21"/>
                      <w:szCs w:val="21"/>
                      <w:highlight w:val="none"/>
                      <w:u w:val="none"/>
                      <w:lang w:val="en-US" w:eastAsia="zh-CN"/>
                    </w:rPr>
                    <w:t>来源</w:t>
                  </w:r>
                </w:p>
              </w:tc>
            </w:tr>
            <w:tr w14:paraId="6CF9F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noWrap/>
                  <w:vAlign w:val="center"/>
                </w:tcPr>
                <w:p w14:paraId="0EED1513">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1</w:t>
                  </w:r>
                </w:p>
              </w:tc>
              <w:tc>
                <w:tcPr>
                  <w:tcW w:w="229" w:type="pct"/>
                  <w:vMerge w:val="restart"/>
                  <w:noWrap/>
                  <w:vAlign w:val="center"/>
                </w:tcPr>
                <w:p w14:paraId="34A15822">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rPr>
                    <w:t>干混砂浆</w:t>
                  </w:r>
                </w:p>
              </w:tc>
              <w:tc>
                <w:tcPr>
                  <w:tcW w:w="372" w:type="pct"/>
                  <w:vMerge w:val="restart"/>
                  <w:noWrap/>
                  <w:vAlign w:val="center"/>
                </w:tcPr>
                <w:p w14:paraId="4CBA1482">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ascii="Times New Roman" w:hAnsi="Times New Roman" w:eastAsia="宋体" w:cs="Times New Roman"/>
                      <w:b w:val="0"/>
                      <w:bCs w:val="0"/>
                      <w:i w:val="0"/>
                      <w:iCs w:val="0"/>
                      <w:color w:val="auto"/>
                      <w:kern w:val="0"/>
                      <w:sz w:val="21"/>
                      <w:szCs w:val="21"/>
                      <w:highlight w:val="none"/>
                      <w:u w:val="none"/>
                      <w:lang w:val="en-US" w:eastAsia="zh-CN"/>
                    </w:rPr>
                    <w:t>原料</w:t>
                  </w:r>
                </w:p>
              </w:tc>
              <w:tc>
                <w:tcPr>
                  <w:tcW w:w="643" w:type="pct"/>
                  <w:shd w:val="clear" w:color="auto" w:fill="auto"/>
                  <w:noWrap/>
                  <w:vAlign w:val="center"/>
                </w:tcPr>
                <w:p w14:paraId="7F3E0BEE">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水泥</w:t>
                  </w:r>
                </w:p>
              </w:tc>
              <w:tc>
                <w:tcPr>
                  <w:tcW w:w="508" w:type="pct"/>
                  <w:noWrap/>
                  <w:vAlign w:val="center"/>
                </w:tcPr>
                <w:p w14:paraId="4D6A2DD9">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rPr>
                    <w:t>万t/a</w:t>
                  </w:r>
                </w:p>
              </w:tc>
              <w:tc>
                <w:tcPr>
                  <w:tcW w:w="490" w:type="pct"/>
                  <w:noWrap/>
                  <w:vAlign w:val="center"/>
                </w:tcPr>
                <w:p w14:paraId="3B880F93">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3.5</w:t>
                  </w:r>
                </w:p>
              </w:tc>
              <w:tc>
                <w:tcPr>
                  <w:tcW w:w="559" w:type="pct"/>
                  <w:noWrap/>
                  <w:vAlign w:val="center"/>
                </w:tcPr>
                <w:p w14:paraId="634BC58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0.002</w:t>
                  </w:r>
                </w:p>
              </w:tc>
              <w:tc>
                <w:tcPr>
                  <w:tcW w:w="540" w:type="pct"/>
                  <w:noWrap/>
                  <w:vAlign w:val="center"/>
                </w:tcPr>
                <w:p w14:paraId="53471E7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ascii="Times New Roman" w:hAnsi="Times New Roman" w:eastAsia="宋体" w:cs="Times New Roman"/>
                      <w:b w:val="0"/>
                      <w:bCs w:val="0"/>
                      <w:i w:val="0"/>
                      <w:iCs w:val="0"/>
                      <w:color w:val="auto"/>
                      <w:kern w:val="0"/>
                      <w:sz w:val="21"/>
                      <w:szCs w:val="21"/>
                      <w:highlight w:val="none"/>
                      <w:u w:val="none"/>
                      <w:lang w:val="en-US" w:eastAsia="zh-CN"/>
                    </w:rPr>
                    <w:t>水泥仓</w:t>
                  </w:r>
                </w:p>
              </w:tc>
              <w:tc>
                <w:tcPr>
                  <w:tcW w:w="1212" w:type="pct"/>
                  <w:noWrap/>
                  <w:vAlign w:val="center"/>
                </w:tcPr>
                <w:p w14:paraId="24F84014">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rPr>
                  </w:pPr>
                  <w:r>
                    <w:rPr>
                      <w:rFonts w:hint="eastAsia" w:ascii="Times New Roman" w:hAnsi="Times New Roman" w:eastAsia="宋体" w:cs="Times New Roman"/>
                      <w:b w:val="0"/>
                      <w:bCs w:val="0"/>
                      <w:i w:val="0"/>
                      <w:iCs w:val="0"/>
                      <w:color w:val="auto"/>
                      <w:kern w:val="0"/>
                      <w:sz w:val="21"/>
                      <w:szCs w:val="21"/>
                      <w:highlight w:val="none"/>
                      <w:u w:val="none"/>
                      <w:lang w:val="en-US" w:eastAsia="zh-CN"/>
                    </w:rPr>
                    <w:t>由企业4500t/d熟料水泥生产线供给</w:t>
                  </w:r>
                </w:p>
              </w:tc>
            </w:tr>
            <w:tr w14:paraId="3EA0E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42" w:type="pct"/>
                  <w:noWrap/>
                  <w:vAlign w:val="center"/>
                </w:tcPr>
                <w:p w14:paraId="2CD037D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2</w:t>
                  </w:r>
                </w:p>
              </w:tc>
              <w:tc>
                <w:tcPr>
                  <w:tcW w:w="229" w:type="pct"/>
                  <w:vMerge w:val="continue"/>
                  <w:noWrap/>
                  <w:vAlign w:val="center"/>
                </w:tcPr>
                <w:p w14:paraId="6B3856A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p>
              </w:tc>
              <w:tc>
                <w:tcPr>
                  <w:tcW w:w="372" w:type="pct"/>
                  <w:vMerge w:val="continue"/>
                  <w:noWrap/>
                  <w:vAlign w:val="center"/>
                </w:tcPr>
                <w:p w14:paraId="40458686">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p>
              </w:tc>
              <w:tc>
                <w:tcPr>
                  <w:tcW w:w="643" w:type="pct"/>
                  <w:shd w:val="clear" w:color="auto" w:fill="auto"/>
                  <w:noWrap/>
                  <w:vAlign w:val="center"/>
                </w:tcPr>
                <w:p w14:paraId="162E46A6">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机制砂</w:t>
                  </w:r>
                </w:p>
              </w:tc>
              <w:tc>
                <w:tcPr>
                  <w:tcW w:w="508" w:type="pct"/>
                  <w:noWrap/>
                  <w:vAlign w:val="center"/>
                </w:tcPr>
                <w:p w14:paraId="17D5EB1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rPr>
                    <w:t>万t/a</w:t>
                  </w:r>
                </w:p>
              </w:tc>
              <w:tc>
                <w:tcPr>
                  <w:tcW w:w="490" w:type="pct"/>
                  <w:noWrap/>
                  <w:vAlign w:val="center"/>
                </w:tcPr>
                <w:p w14:paraId="281410CB">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19.5</w:t>
                  </w:r>
                </w:p>
              </w:tc>
              <w:tc>
                <w:tcPr>
                  <w:tcW w:w="559" w:type="pct"/>
                  <w:noWrap/>
                  <w:vAlign w:val="center"/>
                </w:tcPr>
                <w:p w14:paraId="7BBE7DC8">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0.002</w:t>
                  </w:r>
                </w:p>
              </w:tc>
              <w:tc>
                <w:tcPr>
                  <w:tcW w:w="540" w:type="pct"/>
                  <w:noWrap/>
                  <w:vAlign w:val="center"/>
                </w:tcPr>
                <w:p w14:paraId="42F3A3A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砂筒仓</w:t>
                  </w:r>
                </w:p>
              </w:tc>
              <w:tc>
                <w:tcPr>
                  <w:tcW w:w="1212" w:type="pct"/>
                  <w:shd w:val="clear" w:color="auto" w:fill="auto"/>
                  <w:noWrap/>
                  <w:vAlign w:val="center"/>
                </w:tcPr>
                <w:p w14:paraId="4AC16F6E">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rPr>
                  </w:pPr>
                  <w:r>
                    <w:rPr>
                      <w:rFonts w:hint="eastAsia" w:ascii="Times New Roman" w:hAnsi="Times New Roman" w:eastAsia="宋体" w:cs="Times New Roman"/>
                      <w:b w:val="0"/>
                      <w:bCs w:val="0"/>
                      <w:i w:val="0"/>
                      <w:iCs w:val="0"/>
                      <w:color w:val="auto"/>
                      <w:kern w:val="0"/>
                      <w:sz w:val="21"/>
                      <w:szCs w:val="21"/>
                      <w:highlight w:val="none"/>
                      <w:u w:val="none"/>
                      <w:lang w:val="en-US" w:eastAsia="zh-CN"/>
                    </w:rPr>
                    <w:t>由企业150t/h机制砂生产线供给</w:t>
                  </w:r>
                </w:p>
              </w:tc>
            </w:tr>
            <w:tr w14:paraId="4190ED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noWrap/>
                  <w:vAlign w:val="center"/>
                </w:tcPr>
                <w:p w14:paraId="276982F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3</w:t>
                  </w:r>
                </w:p>
              </w:tc>
              <w:tc>
                <w:tcPr>
                  <w:tcW w:w="229" w:type="pct"/>
                  <w:vMerge w:val="continue"/>
                  <w:noWrap/>
                  <w:vAlign w:val="center"/>
                </w:tcPr>
                <w:p w14:paraId="6E96946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p>
              </w:tc>
              <w:tc>
                <w:tcPr>
                  <w:tcW w:w="372" w:type="pct"/>
                  <w:vMerge w:val="continue"/>
                  <w:noWrap/>
                  <w:vAlign w:val="center"/>
                </w:tcPr>
                <w:p w14:paraId="0E7125A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p>
              </w:tc>
              <w:tc>
                <w:tcPr>
                  <w:tcW w:w="643" w:type="pct"/>
                  <w:shd w:val="clear" w:color="auto" w:fill="auto"/>
                  <w:noWrap/>
                  <w:vAlign w:val="center"/>
                </w:tcPr>
                <w:p w14:paraId="0CDFA469">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粉煤灰</w:t>
                  </w:r>
                </w:p>
              </w:tc>
              <w:tc>
                <w:tcPr>
                  <w:tcW w:w="508" w:type="pct"/>
                  <w:noWrap/>
                  <w:vAlign w:val="center"/>
                </w:tcPr>
                <w:p w14:paraId="422AED0E">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rPr>
                    <w:t>万t/a</w:t>
                  </w:r>
                </w:p>
              </w:tc>
              <w:tc>
                <w:tcPr>
                  <w:tcW w:w="490" w:type="pct"/>
                  <w:noWrap/>
                  <w:vAlign w:val="center"/>
                </w:tcPr>
                <w:p w14:paraId="1F99794E">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1.2435</w:t>
                  </w:r>
                </w:p>
              </w:tc>
              <w:tc>
                <w:tcPr>
                  <w:tcW w:w="559" w:type="pct"/>
                  <w:noWrap/>
                  <w:vAlign w:val="center"/>
                </w:tcPr>
                <w:p w14:paraId="62F61994">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0.002</w:t>
                  </w:r>
                </w:p>
              </w:tc>
              <w:tc>
                <w:tcPr>
                  <w:tcW w:w="540" w:type="pct"/>
                  <w:noWrap/>
                  <w:vAlign w:val="center"/>
                </w:tcPr>
                <w:p w14:paraId="76D5EB1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ascii="Times New Roman" w:hAnsi="Times New Roman" w:eastAsia="宋体" w:cs="Times New Roman"/>
                      <w:b w:val="0"/>
                      <w:bCs w:val="0"/>
                      <w:i w:val="0"/>
                      <w:iCs w:val="0"/>
                      <w:color w:val="auto"/>
                      <w:kern w:val="0"/>
                      <w:sz w:val="21"/>
                      <w:szCs w:val="21"/>
                      <w:highlight w:val="none"/>
                      <w:u w:val="none"/>
                      <w:lang w:val="en-US" w:eastAsia="zh-CN"/>
                    </w:rPr>
                    <w:t>粉煤灰仓</w:t>
                  </w:r>
                </w:p>
              </w:tc>
              <w:tc>
                <w:tcPr>
                  <w:tcW w:w="1212" w:type="pct"/>
                  <w:shd w:val="clear" w:color="auto" w:fill="auto"/>
                  <w:noWrap/>
                  <w:vAlign w:val="center"/>
                </w:tcPr>
                <w:p w14:paraId="1A14519C">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rPr>
                    <w:t>大唐宝鸡发电有限责任公司</w:t>
                  </w:r>
                </w:p>
              </w:tc>
            </w:tr>
            <w:tr w14:paraId="514655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noWrap/>
                  <w:vAlign w:val="center"/>
                </w:tcPr>
                <w:p w14:paraId="3173B3A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4</w:t>
                  </w:r>
                </w:p>
              </w:tc>
              <w:tc>
                <w:tcPr>
                  <w:tcW w:w="229" w:type="pct"/>
                  <w:vMerge w:val="continue"/>
                  <w:noWrap/>
                  <w:vAlign w:val="center"/>
                </w:tcPr>
                <w:p w14:paraId="2572C69B">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p>
              </w:tc>
              <w:tc>
                <w:tcPr>
                  <w:tcW w:w="372" w:type="pct"/>
                  <w:vMerge w:val="continue"/>
                  <w:noWrap/>
                  <w:vAlign w:val="center"/>
                </w:tcPr>
                <w:p w14:paraId="7B73B9F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p>
              </w:tc>
              <w:tc>
                <w:tcPr>
                  <w:tcW w:w="643" w:type="pct"/>
                  <w:shd w:val="clear" w:color="auto" w:fill="auto"/>
                  <w:noWrap/>
                  <w:vAlign w:val="center"/>
                </w:tcPr>
                <w:p w14:paraId="77E22D84">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石粉</w:t>
                  </w:r>
                </w:p>
              </w:tc>
              <w:tc>
                <w:tcPr>
                  <w:tcW w:w="508" w:type="pct"/>
                  <w:noWrap/>
                  <w:vAlign w:val="center"/>
                </w:tcPr>
                <w:p w14:paraId="5A2AB83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rPr>
                    <w:t>万t/a</w:t>
                  </w:r>
                </w:p>
              </w:tc>
              <w:tc>
                <w:tcPr>
                  <w:tcW w:w="490" w:type="pct"/>
                  <w:noWrap/>
                  <w:vAlign w:val="center"/>
                </w:tcPr>
                <w:p w14:paraId="5B3288D7">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0.75</w:t>
                  </w:r>
                </w:p>
              </w:tc>
              <w:tc>
                <w:tcPr>
                  <w:tcW w:w="559" w:type="pct"/>
                  <w:noWrap/>
                  <w:vAlign w:val="center"/>
                </w:tcPr>
                <w:p w14:paraId="6500DE4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0.002</w:t>
                  </w:r>
                </w:p>
              </w:tc>
              <w:tc>
                <w:tcPr>
                  <w:tcW w:w="540" w:type="pct"/>
                  <w:noWrap/>
                  <w:vAlign w:val="center"/>
                </w:tcPr>
                <w:p w14:paraId="7BF754F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石粉仓</w:t>
                  </w:r>
                </w:p>
              </w:tc>
              <w:tc>
                <w:tcPr>
                  <w:tcW w:w="1212" w:type="pct"/>
                  <w:shd w:val="clear" w:color="auto" w:fill="auto"/>
                  <w:noWrap/>
                  <w:vAlign w:val="center"/>
                </w:tcPr>
                <w:p w14:paraId="707A5D60">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rPr>
                    <w:t>市场</w:t>
                  </w:r>
                  <w:r>
                    <w:rPr>
                      <w:rFonts w:hint="eastAsia" w:ascii="Times New Roman" w:hAnsi="Times New Roman" w:eastAsia="宋体" w:cs="Times New Roman"/>
                      <w:b w:val="0"/>
                      <w:bCs w:val="0"/>
                      <w:i w:val="0"/>
                      <w:iCs w:val="0"/>
                      <w:color w:val="auto"/>
                      <w:kern w:val="0"/>
                      <w:sz w:val="21"/>
                      <w:szCs w:val="21"/>
                      <w:highlight w:val="none"/>
                      <w:u w:val="none"/>
                      <w:lang w:val="en-US" w:eastAsia="zh-CN"/>
                    </w:rPr>
                    <w:t>外购</w:t>
                  </w:r>
                </w:p>
              </w:tc>
            </w:tr>
            <w:tr w14:paraId="3F58E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noWrap/>
                  <w:vAlign w:val="center"/>
                </w:tcPr>
                <w:p w14:paraId="46970F6D">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5</w:t>
                  </w:r>
                </w:p>
              </w:tc>
              <w:tc>
                <w:tcPr>
                  <w:tcW w:w="229" w:type="pct"/>
                  <w:vMerge w:val="continue"/>
                  <w:noWrap/>
                  <w:vAlign w:val="center"/>
                </w:tcPr>
                <w:p w14:paraId="7D091D83">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p>
              </w:tc>
              <w:tc>
                <w:tcPr>
                  <w:tcW w:w="372" w:type="pct"/>
                  <w:noWrap/>
                  <w:vAlign w:val="center"/>
                </w:tcPr>
                <w:p w14:paraId="099558A0">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辅料</w:t>
                  </w:r>
                </w:p>
              </w:tc>
              <w:tc>
                <w:tcPr>
                  <w:tcW w:w="643" w:type="pct"/>
                  <w:shd w:val="clear" w:color="auto" w:fill="auto"/>
                  <w:noWrap/>
                  <w:vAlign w:val="center"/>
                </w:tcPr>
                <w:p w14:paraId="4A72436E">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外加剂</w:t>
                  </w:r>
                </w:p>
              </w:tc>
              <w:tc>
                <w:tcPr>
                  <w:tcW w:w="508" w:type="pct"/>
                  <w:noWrap/>
                  <w:vAlign w:val="center"/>
                </w:tcPr>
                <w:p w14:paraId="17F26DD4">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rPr>
                    <w:t>万t/a</w:t>
                  </w:r>
                </w:p>
              </w:tc>
              <w:tc>
                <w:tcPr>
                  <w:tcW w:w="490" w:type="pct"/>
                  <w:noWrap/>
                  <w:vAlign w:val="center"/>
                </w:tcPr>
                <w:p w14:paraId="39B3139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0.0065</w:t>
                  </w:r>
                </w:p>
              </w:tc>
              <w:tc>
                <w:tcPr>
                  <w:tcW w:w="559" w:type="pct"/>
                  <w:noWrap/>
                  <w:vAlign w:val="center"/>
                </w:tcPr>
                <w:p w14:paraId="3E3C2D4C">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0.002</w:t>
                  </w:r>
                </w:p>
              </w:tc>
              <w:tc>
                <w:tcPr>
                  <w:tcW w:w="540" w:type="pct"/>
                  <w:noWrap/>
                  <w:vAlign w:val="center"/>
                </w:tcPr>
                <w:p w14:paraId="5C42A92B">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ascii="Times New Roman" w:hAnsi="Times New Roman" w:eastAsia="宋体" w:cs="Times New Roman"/>
                      <w:b w:val="0"/>
                      <w:bCs w:val="0"/>
                      <w:i w:val="0"/>
                      <w:iCs w:val="0"/>
                      <w:color w:val="auto"/>
                      <w:kern w:val="0"/>
                      <w:sz w:val="21"/>
                      <w:szCs w:val="21"/>
                      <w:highlight w:val="none"/>
                      <w:u w:val="none"/>
                      <w:lang w:val="en-US" w:eastAsia="zh-CN"/>
                    </w:rPr>
                    <w:t>外加剂仓</w:t>
                  </w:r>
                </w:p>
              </w:tc>
              <w:tc>
                <w:tcPr>
                  <w:tcW w:w="1212" w:type="pct"/>
                  <w:shd w:val="clear" w:color="auto" w:fill="auto"/>
                  <w:noWrap/>
                  <w:vAlign w:val="center"/>
                </w:tcPr>
                <w:p w14:paraId="56EFE338">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rPr>
                    <w:t>市场</w:t>
                  </w:r>
                  <w:r>
                    <w:rPr>
                      <w:rFonts w:hint="eastAsia" w:ascii="Times New Roman" w:hAnsi="Times New Roman" w:eastAsia="宋体" w:cs="Times New Roman"/>
                      <w:b w:val="0"/>
                      <w:bCs w:val="0"/>
                      <w:i w:val="0"/>
                      <w:iCs w:val="0"/>
                      <w:color w:val="auto"/>
                      <w:kern w:val="0"/>
                      <w:sz w:val="21"/>
                      <w:szCs w:val="21"/>
                      <w:highlight w:val="none"/>
                      <w:u w:val="none"/>
                      <w:lang w:val="en-US" w:eastAsia="zh-CN"/>
                    </w:rPr>
                    <w:t>外购</w:t>
                  </w:r>
                </w:p>
              </w:tc>
            </w:tr>
            <w:tr w14:paraId="089E0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42" w:type="pct"/>
                  <w:noWrap/>
                  <w:vAlign w:val="center"/>
                </w:tcPr>
                <w:p w14:paraId="65FD0F49">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10</w:t>
                  </w:r>
                </w:p>
              </w:tc>
              <w:tc>
                <w:tcPr>
                  <w:tcW w:w="601" w:type="pct"/>
                  <w:gridSpan w:val="2"/>
                  <w:vMerge w:val="restart"/>
                  <w:noWrap/>
                  <w:vAlign w:val="center"/>
                </w:tcPr>
                <w:p w14:paraId="1692DE89">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ascii="Times New Roman" w:hAnsi="Times New Roman" w:eastAsia="宋体" w:cs="Times New Roman"/>
                      <w:b w:val="0"/>
                      <w:bCs w:val="0"/>
                      <w:i w:val="0"/>
                      <w:iCs w:val="0"/>
                      <w:color w:val="auto"/>
                      <w:kern w:val="0"/>
                      <w:sz w:val="21"/>
                      <w:szCs w:val="21"/>
                      <w:highlight w:val="none"/>
                      <w:u w:val="none"/>
                      <w:lang w:val="en-US" w:eastAsia="zh-CN"/>
                    </w:rPr>
                    <w:t>能源</w:t>
                  </w:r>
                </w:p>
              </w:tc>
              <w:tc>
                <w:tcPr>
                  <w:tcW w:w="643" w:type="pct"/>
                  <w:shd w:val="clear" w:color="auto" w:fill="auto"/>
                  <w:noWrap/>
                  <w:vAlign w:val="center"/>
                </w:tcPr>
                <w:p w14:paraId="5801EDB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rPr>
                    <w:t>电</w:t>
                  </w:r>
                </w:p>
              </w:tc>
              <w:tc>
                <w:tcPr>
                  <w:tcW w:w="508" w:type="pct"/>
                  <w:noWrap/>
                  <w:vAlign w:val="center"/>
                </w:tcPr>
                <w:p w14:paraId="4791E65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ascii="宋体" w:hAnsi="宋体" w:eastAsia="宋体" w:cs="宋体"/>
                      <w:color w:val="auto"/>
                      <w:highlight w:val="none"/>
                    </w:rPr>
                    <w:t>万</w:t>
                  </w:r>
                  <w:r>
                    <w:rPr>
                      <w:rFonts w:hint="default" w:ascii="Times New Roman" w:hAnsi="Times New Roman" w:eastAsia="宋体" w:cs="Times New Roman"/>
                      <w:color w:val="auto"/>
                      <w:highlight w:val="none"/>
                    </w:rPr>
                    <w:t>kW·h</w:t>
                  </w:r>
                </w:p>
              </w:tc>
              <w:tc>
                <w:tcPr>
                  <w:tcW w:w="490" w:type="pct"/>
                  <w:noWrap/>
                  <w:vAlign w:val="center"/>
                </w:tcPr>
                <w:p w14:paraId="66B86B4B">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120</w:t>
                  </w:r>
                </w:p>
              </w:tc>
              <w:tc>
                <w:tcPr>
                  <w:tcW w:w="559" w:type="pct"/>
                  <w:noWrap/>
                  <w:vAlign w:val="center"/>
                </w:tcPr>
                <w:p w14:paraId="33E524E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w:t>
                  </w:r>
                </w:p>
              </w:tc>
              <w:tc>
                <w:tcPr>
                  <w:tcW w:w="540" w:type="pct"/>
                  <w:noWrap/>
                  <w:vAlign w:val="center"/>
                </w:tcPr>
                <w:p w14:paraId="40A2791D">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rPr>
                  </w:pPr>
                  <w:r>
                    <w:rPr>
                      <w:rFonts w:hint="eastAsia" w:ascii="宋体" w:hAnsi="宋体" w:eastAsia="宋体" w:cs="宋体"/>
                      <w:b w:val="0"/>
                      <w:bCs w:val="0"/>
                      <w:i w:val="0"/>
                      <w:iCs w:val="0"/>
                      <w:color w:val="auto"/>
                      <w:kern w:val="0"/>
                      <w:sz w:val="21"/>
                      <w:szCs w:val="21"/>
                      <w:highlight w:val="none"/>
                      <w:u w:val="none"/>
                      <w:lang w:val="en-US" w:eastAsia="zh-CN"/>
                    </w:rPr>
                    <w:t>/</w:t>
                  </w:r>
                </w:p>
              </w:tc>
              <w:tc>
                <w:tcPr>
                  <w:tcW w:w="1212" w:type="pct"/>
                  <w:shd w:val="clear" w:color="auto" w:fill="auto"/>
                  <w:noWrap/>
                  <w:vAlign w:val="center"/>
                </w:tcPr>
                <w:p w14:paraId="4710D489">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rPr>
                    <w:t>市场</w:t>
                  </w:r>
                  <w:r>
                    <w:rPr>
                      <w:rFonts w:hint="eastAsia" w:ascii="Times New Roman" w:hAnsi="Times New Roman" w:eastAsia="宋体" w:cs="Times New Roman"/>
                      <w:b w:val="0"/>
                      <w:bCs w:val="0"/>
                      <w:i w:val="0"/>
                      <w:iCs w:val="0"/>
                      <w:color w:val="auto"/>
                      <w:kern w:val="0"/>
                      <w:sz w:val="21"/>
                      <w:szCs w:val="21"/>
                      <w:highlight w:val="none"/>
                      <w:u w:val="none"/>
                      <w:lang w:val="en-US" w:eastAsia="zh-CN"/>
                    </w:rPr>
                    <w:t>外购</w:t>
                  </w:r>
                </w:p>
              </w:tc>
            </w:tr>
            <w:tr w14:paraId="1D038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noWrap/>
                  <w:vAlign w:val="center"/>
                </w:tcPr>
                <w:p w14:paraId="6AD2928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11</w:t>
                  </w:r>
                </w:p>
              </w:tc>
              <w:tc>
                <w:tcPr>
                  <w:tcW w:w="601" w:type="pct"/>
                  <w:gridSpan w:val="2"/>
                  <w:vMerge w:val="continue"/>
                  <w:noWrap/>
                  <w:vAlign w:val="center"/>
                </w:tcPr>
                <w:p w14:paraId="5F12A0FE">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p>
              </w:tc>
              <w:tc>
                <w:tcPr>
                  <w:tcW w:w="643" w:type="pct"/>
                  <w:shd w:val="clear" w:color="auto" w:fill="auto"/>
                  <w:noWrap/>
                  <w:vAlign w:val="center"/>
                </w:tcPr>
                <w:p w14:paraId="564F3AE2">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rPr>
                    <w:t>生产用水</w:t>
                  </w:r>
                </w:p>
              </w:tc>
              <w:tc>
                <w:tcPr>
                  <w:tcW w:w="508" w:type="pct"/>
                  <w:noWrap/>
                  <w:vAlign w:val="center"/>
                </w:tcPr>
                <w:p w14:paraId="5963967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rPr>
                    <w:t>t/a</w:t>
                  </w:r>
                </w:p>
              </w:tc>
              <w:tc>
                <w:tcPr>
                  <w:tcW w:w="490" w:type="pct"/>
                  <w:noWrap/>
                  <w:vAlign w:val="center"/>
                </w:tcPr>
                <w:p w14:paraId="3DB67472">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100</w:t>
                  </w:r>
                </w:p>
              </w:tc>
              <w:tc>
                <w:tcPr>
                  <w:tcW w:w="559" w:type="pct"/>
                  <w:noWrap/>
                  <w:vAlign w:val="center"/>
                </w:tcPr>
                <w:p w14:paraId="3695639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w:t>
                  </w:r>
                </w:p>
              </w:tc>
              <w:tc>
                <w:tcPr>
                  <w:tcW w:w="540" w:type="pct"/>
                  <w:noWrap/>
                  <w:vAlign w:val="center"/>
                </w:tcPr>
                <w:p w14:paraId="0FBBD9A9">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rPr>
                  </w:pPr>
                  <w:r>
                    <w:rPr>
                      <w:rFonts w:hint="eastAsia" w:ascii="宋体" w:hAnsi="宋体" w:eastAsia="宋体" w:cs="宋体"/>
                      <w:b w:val="0"/>
                      <w:bCs w:val="0"/>
                      <w:i w:val="0"/>
                      <w:iCs w:val="0"/>
                      <w:color w:val="auto"/>
                      <w:kern w:val="0"/>
                      <w:sz w:val="21"/>
                      <w:szCs w:val="21"/>
                      <w:highlight w:val="none"/>
                      <w:u w:val="none"/>
                      <w:lang w:val="en-US" w:eastAsia="zh-CN"/>
                    </w:rPr>
                    <w:t>/</w:t>
                  </w:r>
                </w:p>
              </w:tc>
              <w:tc>
                <w:tcPr>
                  <w:tcW w:w="1212" w:type="pct"/>
                  <w:shd w:val="clear" w:color="auto" w:fill="auto"/>
                  <w:noWrap/>
                  <w:vAlign w:val="center"/>
                </w:tcPr>
                <w:p w14:paraId="6A10E613">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ascii="Times New Roman" w:hAnsi="Times New Roman" w:eastAsia="宋体" w:cs="Times New Roman"/>
                      <w:b w:val="0"/>
                      <w:bCs w:val="0"/>
                      <w:i w:val="0"/>
                      <w:iCs w:val="0"/>
                      <w:color w:val="auto"/>
                      <w:kern w:val="0"/>
                      <w:sz w:val="21"/>
                      <w:szCs w:val="21"/>
                      <w:highlight w:val="none"/>
                      <w:u w:val="none"/>
                      <w:lang w:val="en-US" w:eastAsia="zh-CN"/>
                    </w:rPr>
                    <w:t>自备水井供给</w:t>
                  </w:r>
                </w:p>
              </w:tc>
            </w:tr>
            <w:tr w14:paraId="539E1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noWrap/>
                  <w:vAlign w:val="center"/>
                </w:tcPr>
                <w:p w14:paraId="7886CB88">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12</w:t>
                  </w:r>
                </w:p>
              </w:tc>
              <w:tc>
                <w:tcPr>
                  <w:tcW w:w="601" w:type="pct"/>
                  <w:gridSpan w:val="2"/>
                  <w:noWrap/>
                  <w:vAlign w:val="center"/>
                </w:tcPr>
                <w:p w14:paraId="1441D160">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ascii="Times New Roman" w:hAnsi="Times New Roman" w:eastAsia="宋体" w:cs="Times New Roman"/>
                      <w:b w:val="0"/>
                      <w:bCs w:val="0"/>
                      <w:i w:val="0"/>
                      <w:iCs w:val="0"/>
                      <w:color w:val="auto"/>
                      <w:kern w:val="0"/>
                      <w:sz w:val="21"/>
                      <w:szCs w:val="21"/>
                      <w:highlight w:val="none"/>
                      <w:u w:val="none"/>
                      <w:lang w:val="en-US" w:eastAsia="zh-CN"/>
                    </w:rPr>
                    <w:t>设备维修保养</w:t>
                  </w:r>
                </w:p>
              </w:tc>
              <w:tc>
                <w:tcPr>
                  <w:tcW w:w="643" w:type="pct"/>
                  <w:noWrap/>
                  <w:vAlign w:val="center"/>
                </w:tcPr>
                <w:p w14:paraId="1A0621B2">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ascii="Times New Roman" w:hAnsi="Times New Roman" w:eastAsia="宋体" w:cs="Times New Roman"/>
                      <w:b w:val="0"/>
                      <w:bCs w:val="0"/>
                      <w:i w:val="0"/>
                      <w:iCs w:val="0"/>
                      <w:color w:val="auto"/>
                      <w:kern w:val="0"/>
                      <w:sz w:val="21"/>
                      <w:szCs w:val="21"/>
                      <w:highlight w:val="none"/>
                      <w:u w:val="none"/>
                      <w:lang w:val="en-US" w:eastAsia="zh-CN"/>
                    </w:rPr>
                    <w:t>润滑油</w:t>
                  </w:r>
                </w:p>
              </w:tc>
              <w:tc>
                <w:tcPr>
                  <w:tcW w:w="508" w:type="pct"/>
                  <w:noWrap/>
                  <w:vAlign w:val="center"/>
                </w:tcPr>
                <w:p w14:paraId="73D4CE88">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rPr>
                    <w:t>t/a</w:t>
                  </w:r>
                </w:p>
              </w:tc>
              <w:tc>
                <w:tcPr>
                  <w:tcW w:w="490" w:type="pct"/>
                  <w:noWrap/>
                  <w:vAlign w:val="center"/>
                </w:tcPr>
                <w:p w14:paraId="7D3DCC07">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ascii="Times New Roman" w:hAnsi="Times New Roman" w:eastAsia="宋体" w:cs="Times New Roman"/>
                      <w:b w:val="0"/>
                      <w:bCs w:val="0"/>
                      <w:i w:val="0"/>
                      <w:iCs w:val="0"/>
                      <w:color w:val="auto"/>
                      <w:kern w:val="0"/>
                      <w:sz w:val="21"/>
                      <w:szCs w:val="21"/>
                      <w:highlight w:val="none"/>
                      <w:u w:val="none"/>
                      <w:lang w:val="en-US" w:eastAsia="zh-CN"/>
                    </w:rPr>
                    <w:t>0.2</w:t>
                  </w:r>
                </w:p>
              </w:tc>
              <w:tc>
                <w:tcPr>
                  <w:tcW w:w="559" w:type="pct"/>
                  <w:noWrap/>
                  <w:vAlign w:val="center"/>
                </w:tcPr>
                <w:p w14:paraId="678B55C2">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0.2</w:t>
                  </w:r>
                </w:p>
              </w:tc>
              <w:tc>
                <w:tcPr>
                  <w:tcW w:w="540" w:type="pct"/>
                  <w:noWrap/>
                  <w:vAlign w:val="center"/>
                </w:tcPr>
                <w:p w14:paraId="4D0B9F7E">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ascii="Times New Roman" w:hAnsi="Times New Roman" w:eastAsia="宋体" w:cs="Times New Roman"/>
                      <w:b w:val="0"/>
                      <w:bCs w:val="0"/>
                      <w:i w:val="0"/>
                      <w:iCs w:val="0"/>
                      <w:color w:val="auto"/>
                      <w:kern w:val="0"/>
                      <w:sz w:val="21"/>
                      <w:szCs w:val="21"/>
                      <w:highlight w:val="none"/>
                      <w:u w:val="none"/>
                      <w:lang w:val="en-US" w:eastAsia="zh-CN"/>
                    </w:rPr>
                    <w:t>油库</w:t>
                  </w:r>
                </w:p>
              </w:tc>
              <w:tc>
                <w:tcPr>
                  <w:tcW w:w="1212" w:type="pct"/>
                  <w:noWrap/>
                  <w:vAlign w:val="center"/>
                </w:tcPr>
                <w:p w14:paraId="5A404A44">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ascii="Times New Roman" w:hAnsi="Times New Roman" w:eastAsia="宋体" w:cs="Times New Roman"/>
                      <w:b w:val="0"/>
                      <w:bCs w:val="0"/>
                      <w:i w:val="0"/>
                      <w:iCs w:val="0"/>
                      <w:color w:val="auto"/>
                      <w:kern w:val="0"/>
                      <w:sz w:val="21"/>
                      <w:szCs w:val="21"/>
                      <w:highlight w:val="none"/>
                      <w:u w:val="none"/>
                      <w:lang w:val="en-US" w:eastAsia="zh-CN"/>
                    </w:rPr>
                    <w:t>市场外购</w:t>
                  </w:r>
                </w:p>
              </w:tc>
            </w:tr>
            <w:tr w14:paraId="1024A8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noWrap/>
                  <w:vAlign w:val="center"/>
                </w:tcPr>
                <w:p w14:paraId="63363EA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olor w:val="auto"/>
                      <w:highlight w:val="none"/>
                      <w:lang w:val="en-US" w:eastAsia="zh-CN"/>
                    </w:rPr>
                  </w:pPr>
                  <w:r>
                    <w:rPr>
                      <w:rFonts w:hint="eastAsia" w:cs="Times New Roman"/>
                      <w:b w:val="0"/>
                      <w:bCs w:val="0"/>
                      <w:i w:val="0"/>
                      <w:iCs w:val="0"/>
                      <w:color w:val="auto"/>
                      <w:kern w:val="0"/>
                      <w:sz w:val="21"/>
                      <w:szCs w:val="21"/>
                      <w:highlight w:val="none"/>
                      <w:u w:val="none"/>
                      <w:lang w:val="en-US" w:eastAsia="zh-CN"/>
                    </w:rPr>
                    <w:t>13</w:t>
                  </w:r>
                </w:p>
              </w:tc>
              <w:tc>
                <w:tcPr>
                  <w:tcW w:w="601" w:type="pct"/>
                  <w:gridSpan w:val="2"/>
                  <w:vMerge w:val="restart"/>
                  <w:noWrap/>
                  <w:vAlign w:val="center"/>
                </w:tcPr>
                <w:p w14:paraId="50ED11C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包装</w:t>
                  </w:r>
                </w:p>
              </w:tc>
              <w:tc>
                <w:tcPr>
                  <w:tcW w:w="643" w:type="pct"/>
                  <w:noWrap/>
                  <w:vAlign w:val="center"/>
                </w:tcPr>
                <w:p w14:paraId="2497AE5E">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包装袋</w:t>
                  </w:r>
                </w:p>
              </w:tc>
              <w:tc>
                <w:tcPr>
                  <w:tcW w:w="508" w:type="pct"/>
                  <w:noWrap/>
                  <w:vAlign w:val="center"/>
                </w:tcPr>
                <w:p w14:paraId="0153AA96">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万个/a</w:t>
                  </w:r>
                </w:p>
              </w:tc>
              <w:tc>
                <w:tcPr>
                  <w:tcW w:w="490" w:type="pct"/>
                  <w:noWrap/>
                  <w:vAlign w:val="center"/>
                </w:tcPr>
                <w:p w14:paraId="099E15C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340</w:t>
                  </w:r>
                </w:p>
              </w:tc>
              <w:tc>
                <w:tcPr>
                  <w:tcW w:w="559" w:type="pct"/>
                  <w:noWrap/>
                  <w:vAlign w:val="center"/>
                </w:tcPr>
                <w:p w14:paraId="25828B7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10</w:t>
                  </w:r>
                </w:p>
              </w:tc>
              <w:tc>
                <w:tcPr>
                  <w:tcW w:w="540" w:type="pct"/>
                  <w:noWrap/>
                  <w:vAlign w:val="center"/>
                </w:tcPr>
                <w:p w14:paraId="78F2311D">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库房</w:t>
                  </w:r>
                </w:p>
              </w:tc>
              <w:tc>
                <w:tcPr>
                  <w:tcW w:w="1212" w:type="pct"/>
                  <w:noWrap/>
                  <w:vAlign w:val="center"/>
                </w:tcPr>
                <w:p w14:paraId="7E11EB36">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rPr>
                  </w:pPr>
                  <w:r>
                    <w:rPr>
                      <w:rFonts w:hint="eastAsia" w:ascii="Times New Roman" w:hAnsi="Times New Roman" w:eastAsia="宋体" w:cs="Times New Roman"/>
                      <w:b w:val="0"/>
                      <w:bCs w:val="0"/>
                      <w:i w:val="0"/>
                      <w:iCs w:val="0"/>
                      <w:color w:val="auto"/>
                      <w:kern w:val="0"/>
                      <w:sz w:val="21"/>
                      <w:szCs w:val="21"/>
                      <w:highlight w:val="none"/>
                      <w:u w:val="none"/>
                      <w:lang w:val="en-US" w:eastAsia="zh-CN"/>
                    </w:rPr>
                    <w:t>市场外购</w:t>
                  </w:r>
                </w:p>
              </w:tc>
            </w:tr>
            <w:tr w14:paraId="41BC4C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noWrap/>
                  <w:vAlign w:val="center"/>
                </w:tcPr>
                <w:p w14:paraId="6DC3F497">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14</w:t>
                  </w:r>
                </w:p>
              </w:tc>
              <w:tc>
                <w:tcPr>
                  <w:tcW w:w="601" w:type="pct"/>
                  <w:gridSpan w:val="2"/>
                  <w:vMerge w:val="continue"/>
                  <w:noWrap/>
                  <w:vAlign w:val="center"/>
                </w:tcPr>
                <w:p w14:paraId="0958C0BE">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b w:val="0"/>
                      <w:bCs w:val="0"/>
                      <w:i w:val="0"/>
                      <w:iCs w:val="0"/>
                      <w:color w:val="auto"/>
                      <w:kern w:val="0"/>
                      <w:sz w:val="21"/>
                      <w:szCs w:val="21"/>
                      <w:highlight w:val="none"/>
                      <w:u w:val="none"/>
                      <w:lang w:val="en-US" w:eastAsia="zh-CN"/>
                    </w:rPr>
                  </w:pPr>
                </w:p>
              </w:tc>
              <w:tc>
                <w:tcPr>
                  <w:tcW w:w="643" w:type="pct"/>
                  <w:noWrap/>
                  <w:vAlign w:val="center"/>
                </w:tcPr>
                <w:p w14:paraId="48F0128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覆膜</w:t>
                  </w:r>
                </w:p>
              </w:tc>
              <w:tc>
                <w:tcPr>
                  <w:tcW w:w="508" w:type="pct"/>
                  <w:noWrap/>
                  <w:vAlign w:val="center"/>
                </w:tcPr>
                <w:p w14:paraId="36AC1110">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卷</w:t>
                  </w:r>
                </w:p>
              </w:tc>
              <w:tc>
                <w:tcPr>
                  <w:tcW w:w="490" w:type="pct"/>
                  <w:noWrap/>
                  <w:vAlign w:val="center"/>
                </w:tcPr>
                <w:p w14:paraId="63071DB3">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3000</w:t>
                  </w:r>
                </w:p>
              </w:tc>
              <w:tc>
                <w:tcPr>
                  <w:tcW w:w="559" w:type="pct"/>
                  <w:noWrap/>
                  <w:vAlign w:val="center"/>
                </w:tcPr>
                <w:p w14:paraId="72A6FAD8">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500</w:t>
                  </w:r>
                </w:p>
              </w:tc>
              <w:tc>
                <w:tcPr>
                  <w:tcW w:w="887" w:type="dxa"/>
                  <w:noWrap/>
                  <w:vAlign w:val="center"/>
                </w:tcPr>
                <w:p w14:paraId="409D388B">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cs="Times New Roman"/>
                      <w:b w:val="0"/>
                      <w:bCs w:val="0"/>
                      <w:i w:val="0"/>
                      <w:iCs w:val="0"/>
                      <w:color w:val="auto"/>
                      <w:kern w:val="0"/>
                      <w:sz w:val="21"/>
                      <w:szCs w:val="21"/>
                      <w:highlight w:val="none"/>
                      <w:u w:val="none"/>
                      <w:lang w:val="en-US" w:eastAsia="zh-CN"/>
                    </w:rPr>
                  </w:pPr>
                  <w:r>
                    <w:rPr>
                      <w:rFonts w:hint="eastAsia" w:cs="Times New Roman"/>
                      <w:b w:val="0"/>
                      <w:bCs w:val="0"/>
                      <w:i w:val="0"/>
                      <w:iCs w:val="0"/>
                      <w:color w:val="auto"/>
                      <w:kern w:val="0"/>
                      <w:sz w:val="21"/>
                      <w:szCs w:val="21"/>
                      <w:highlight w:val="none"/>
                      <w:u w:val="none"/>
                      <w:lang w:val="en-US" w:eastAsia="zh-CN"/>
                    </w:rPr>
                    <w:t>库房</w:t>
                  </w:r>
                </w:p>
              </w:tc>
              <w:tc>
                <w:tcPr>
                  <w:tcW w:w="1989" w:type="dxa"/>
                  <w:noWrap/>
                  <w:vAlign w:val="center"/>
                </w:tcPr>
                <w:p w14:paraId="232BE150">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rPr>
                  </w:pPr>
                  <w:r>
                    <w:rPr>
                      <w:rFonts w:hint="eastAsia" w:ascii="Times New Roman" w:hAnsi="Times New Roman" w:eastAsia="宋体" w:cs="Times New Roman"/>
                      <w:b w:val="0"/>
                      <w:bCs w:val="0"/>
                      <w:i w:val="0"/>
                      <w:iCs w:val="0"/>
                      <w:color w:val="auto"/>
                      <w:kern w:val="0"/>
                      <w:sz w:val="21"/>
                      <w:szCs w:val="21"/>
                      <w:highlight w:val="none"/>
                      <w:u w:val="none"/>
                      <w:lang w:val="en-US" w:eastAsia="zh-CN"/>
                    </w:rPr>
                    <w:t>市场外购</w:t>
                  </w:r>
                </w:p>
              </w:tc>
            </w:tr>
          </w:tbl>
          <w:p w14:paraId="786A00DB">
            <w:pPr>
              <w:pStyle w:val="8"/>
              <w:keepNext w:val="0"/>
              <w:keepLines w:val="0"/>
              <w:pageBreakBefore w:val="0"/>
              <w:numPr>
                <w:ilvl w:val="0"/>
                <w:numId w:val="0"/>
              </w:numPr>
              <w:kinsoku/>
              <w:wordWrap/>
              <w:overflowPunct/>
              <w:topLinePunct w:val="0"/>
              <w:autoSpaceDE/>
              <w:autoSpaceDN/>
              <w:bidi w:val="0"/>
              <w:snapToGrid w:val="0"/>
              <w:spacing w:before="0" w:after="0" w:line="360" w:lineRule="auto"/>
              <w:ind w:right="0" w:rightChars="0" w:firstLine="482" w:firstLineChars="200"/>
              <w:rPr>
                <w:rFonts w:hint="eastAsia" w:eastAsiaTheme="minorEastAsia"/>
                <w:b/>
                <w:color w:val="auto"/>
                <w:sz w:val="24"/>
                <w:highlight w:val="none"/>
                <w:lang w:val="en-US" w:bidi="zh-CN"/>
              </w:rPr>
            </w:pPr>
            <w:r>
              <w:rPr>
                <w:rFonts w:hint="eastAsia" w:eastAsiaTheme="minorEastAsia"/>
                <w:b/>
                <w:color w:val="auto"/>
                <w:sz w:val="24"/>
                <w:highlight w:val="none"/>
                <w:lang w:val="en-US" w:bidi="zh-CN"/>
              </w:rPr>
              <w:t>主要原辅材料的理化性质：</w:t>
            </w:r>
          </w:p>
          <w:p w14:paraId="7FB51A56">
            <w:pPr>
              <w:pStyle w:val="27"/>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right="0" w:firstLine="480" w:firstLineChars="200"/>
              <w:jc w:val="left"/>
              <w:textAlignment w:val="baseline"/>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②</w:t>
            </w:r>
            <w:r>
              <w:rPr>
                <w:rFonts w:hint="default" w:ascii="Times New Roman" w:hAnsi="Times New Roman" w:cs="Times New Roman"/>
                <w:b w:val="0"/>
                <w:bCs w:val="0"/>
                <w:color w:val="auto"/>
                <w:sz w:val="24"/>
                <w:szCs w:val="24"/>
                <w:highlight w:val="none"/>
                <w:lang w:val="en-US" w:eastAsia="zh-CN"/>
              </w:rPr>
              <w:t>水泥：水泥品种是以水泥的性能为依据划分的。我国常用的水泥都是硅酸盐系列水泥，主要是通过调整硅酸盐水泥熟料，合理掺入不同品种、不同数量的混合材料而划分的。硅酸盐水泥熟料中的主要矿物有硅酸三钙、硅酸二钙、铝酸三钙和铁铝酸四钙四种。水泥的性质主要由熟料的矿物组成和矿物结构、混合材料的质量和数量、石膏掺量、粉末细度等决定的。所以不同生产厂和不同生产方式的水泥，其性质是不同的。</w:t>
            </w:r>
          </w:p>
          <w:p w14:paraId="44EFE215">
            <w:pPr>
              <w:pStyle w:val="27"/>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right="0" w:firstLine="480" w:firstLineChars="200"/>
              <w:jc w:val="left"/>
              <w:textAlignment w:val="baseline"/>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③</w:t>
            </w:r>
            <w:r>
              <w:rPr>
                <w:rFonts w:hint="default" w:ascii="Times New Roman" w:hAnsi="Times New Roman" w:cs="Times New Roman"/>
                <w:b w:val="0"/>
                <w:bCs w:val="0"/>
                <w:color w:val="auto"/>
                <w:sz w:val="24"/>
                <w:szCs w:val="24"/>
                <w:highlight w:val="none"/>
                <w:lang w:val="en-US" w:eastAsia="zh-CN"/>
              </w:rPr>
              <w:t>砂子：主要为SiO</w:t>
            </w:r>
            <w:r>
              <w:rPr>
                <w:rFonts w:hint="default" w:ascii="Times New Roman" w:hAnsi="Times New Roman" w:cs="Times New Roman"/>
                <w:b w:val="0"/>
                <w:bCs w:val="0"/>
                <w:color w:val="auto"/>
                <w:sz w:val="24"/>
                <w:szCs w:val="24"/>
                <w:highlight w:val="none"/>
                <w:vertAlign w:val="subscript"/>
                <w:lang w:val="en-US" w:eastAsia="zh-CN"/>
              </w:rPr>
              <w:t>2</w:t>
            </w:r>
            <w:r>
              <w:rPr>
                <w:rFonts w:hint="default" w:ascii="Times New Roman" w:hAnsi="Times New Roman" w:cs="Times New Roman"/>
                <w:b w:val="0"/>
                <w:bCs w:val="0"/>
                <w:color w:val="auto"/>
                <w:sz w:val="24"/>
                <w:szCs w:val="24"/>
                <w:highlight w:val="none"/>
                <w:lang w:val="en-US" w:eastAsia="zh-CN"/>
              </w:rPr>
              <w:t>。砂子在混凝土中，能同水泥分子相结合，增加水泥分子的扩散面积，形成水泥浆后，增强水泥的水化作用</w:t>
            </w:r>
            <w:r>
              <w:rPr>
                <w:rFonts w:hint="eastAsia"/>
                <w:lang w:eastAsia="zh-CN"/>
              </w:rPr>
              <w:t>，</w:t>
            </w:r>
            <w:r>
              <w:rPr>
                <w:rFonts w:hint="default" w:ascii="Times New Roman" w:hAnsi="Times New Roman" w:cs="Times New Roman"/>
                <w:b w:val="0"/>
                <w:bCs w:val="0"/>
                <w:color w:val="auto"/>
                <w:sz w:val="24"/>
                <w:szCs w:val="24"/>
                <w:highlight w:val="none"/>
                <w:lang w:val="en-US" w:eastAsia="zh-CN"/>
              </w:rPr>
              <w:t>可填充石子颗粒间的空隙，与石子一起共同起到骨架作用，提高混凝土的密实性和强度</w:t>
            </w:r>
            <w:r>
              <w:rPr>
                <w:rFonts w:hint="eastAsia"/>
                <w:lang w:eastAsia="zh-CN"/>
              </w:rPr>
              <w:t>，</w:t>
            </w:r>
            <w:r>
              <w:rPr>
                <w:rFonts w:hint="default" w:ascii="Times New Roman" w:hAnsi="Times New Roman" w:cs="Times New Roman"/>
                <w:b w:val="0"/>
                <w:bCs w:val="0"/>
                <w:color w:val="auto"/>
                <w:sz w:val="24"/>
                <w:szCs w:val="24"/>
                <w:highlight w:val="none"/>
                <w:lang w:val="en-US" w:eastAsia="zh-CN"/>
              </w:rPr>
              <w:t>并具有一定的润滑作用，改善</w:t>
            </w:r>
            <w:r>
              <w:rPr>
                <w:rFonts w:hint="eastAsia" w:ascii="Times New Roman" w:hAnsi="Times New Roman" w:cs="Times New Roman"/>
                <w:b w:val="0"/>
                <w:bCs w:val="0"/>
                <w:color w:val="auto"/>
                <w:sz w:val="24"/>
                <w:szCs w:val="24"/>
                <w:highlight w:val="none"/>
                <w:lang w:val="en-US" w:eastAsia="zh-CN"/>
              </w:rPr>
              <w:t>混凝土拌和物</w:t>
            </w:r>
            <w:r>
              <w:rPr>
                <w:rFonts w:hint="default" w:ascii="Times New Roman" w:hAnsi="Times New Roman" w:cs="Times New Roman"/>
                <w:b w:val="0"/>
                <w:bCs w:val="0"/>
                <w:color w:val="auto"/>
                <w:sz w:val="24"/>
                <w:szCs w:val="24"/>
                <w:highlight w:val="none"/>
                <w:lang w:val="en-US" w:eastAsia="zh-CN"/>
              </w:rPr>
              <w:t>的和易性，在水泥水化过程中，有效地降低水泥水化热，抑制水泥因物理、化学反应体积变化时裂缝</w:t>
            </w:r>
            <w:r>
              <w:rPr>
                <w:rFonts w:hint="eastAsia" w:ascii="Times New Roman" w:hAnsi="Times New Roman" w:cs="Times New Roman"/>
                <w:b w:val="0"/>
                <w:bCs w:val="0"/>
                <w:color w:val="auto"/>
                <w:sz w:val="24"/>
                <w:szCs w:val="24"/>
                <w:highlight w:val="none"/>
                <w:lang w:val="en-US" w:eastAsia="zh-CN"/>
              </w:rPr>
              <w:t>的</w:t>
            </w:r>
            <w:r>
              <w:rPr>
                <w:rFonts w:hint="default" w:ascii="Times New Roman" w:hAnsi="Times New Roman" w:cs="Times New Roman"/>
                <w:b w:val="0"/>
                <w:bCs w:val="0"/>
                <w:color w:val="auto"/>
                <w:sz w:val="24"/>
                <w:szCs w:val="24"/>
                <w:highlight w:val="none"/>
                <w:lang w:val="en-US" w:eastAsia="zh-CN"/>
              </w:rPr>
              <w:t>产生。</w:t>
            </w:r>
          </w:p>
          <w:p w14:paraId="56FBEEDB">
            <w:pPr>
              <w:pStyle w:val="27"/>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right="0" w:firstLine="480" w:firstLineChars="200"/>
              <w:jc w:val="left"/>
              <w:textAlignment w:val="baseline"/>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④</w:t>
            </w:r>
            <w:r>
              <w:rPr>
                <w:rFonts w:hint="default" w:ascii="Times New Roman" w:hAnsi="Times New Roman" w:cs="Times New Roman"/>
                <w:b w:val="0"/>
                <w:bCs w:val="0"/>
                <w:color w:val="auto"/>
                <w:sz w:val="24"/>
                <w:szCs w:val="24"/>
                <w:highlight w:val="none"/>
                <w:lang w:val="en-US" w:eastAsia="zh-CN"/>
              </w:rPr>
              <w:t>粉煤灰：粉煤灰是由煤粉炉排出的烟气中收集到的细颗粒白色粉末，是由矿化程度较低的褐煤燃烧后形成的残灰，它的氧化钙含量较高，具有胶凝性质。粉煤灰一般多呈球形，且富含玻璃体，含量在50%～70%之间。晶体部分主要是莫来石和石英，还有一定量的未燃尽炭，含量约为1%～24%。从化学成分看，粉煤灰主要含有SiO</w:t>
            </w:r>
            <w:r>
              <w:rPr>
                <w:rFonts w:hint="default" w:ascii="Times New Roman" w:hAnsi="Times New Roman" w:cs="Times New Roman"/>
                <w:b w:val="0"/>
                <w:bCs w:val="0"/>
                <w:color w:val="auto"/>
                <w:sz w:val="24"/>
                <w:szCs w:val="24"/>
                <w:highlight w:val="none"/>
                <w:vertAlign w:val="subscript"/>
                <w:lang w:val="en-US" w:eastAsia="zh-CN"/>
              </w:rPr>
              <w:t>2</w:t>
            </w:r>
            <w:r>
              <w:rPr>
                <w:rFonts w:hint="default" w:ascii="Times New Roman" w:hAnsi="Times New Roman" w:cs="Times New Roman"/>
                <w:b w:val="0"/>
                <w:bCs w:val="0"/>
                <w:color w:val="auto"/>
                <w:sz w:val="24"/>
                <w:szCs w:val="24"/>
                <w:highlight w:val="none"/>
                <w:lang w:val="en-US" w:eastAsia="zh-CN"/>
              </w:rPr>
              <w:t>（35%～60%），Al</w:t>
            </w:r>
            <w:r>
              <w:rPr>
                <w:rFonts w:hint="default" w:ascii="Times New Roman" w:hAnsi="Times New Roman" w:cs="Times New Roman"/>
                <w:b w:val="0"/>
                <w:bCs w:val="0"/>
                <w:color w:val="auto"/>
                <w:sz w:val="24"/>
                <w:szCs w:val="24"/>
                <w:highlight w:val="none"/>
                <w:vertAlign w:val="subscript"/>
                <w:lang w:val="en-US" w:eastAsia="zh-CN"/>
              </w:rPr>
              <w:t>2</w:t>
            </w:r>
            <w:r>
              <w:rPr>
                <w:rFonts w:hint="default" w:ascii="Times New Roman" w:hAnsi="Times New Roman" w:cs="Times New Roman"/>
                <w:b w:val="0"/>
                <w:bCs w:val="0"/>
                <w:color w:val="auto"/>
                <w:sz w:val="24"/>
                <w:szCs w:val="24"/>
                <w:highlight w:val="none"/>
                <w:lang w:val="en-US" w:eastAsia="zh-CN"/>
              </w:rPr>
              <w:t>O</w:t>
            </w:r>
            <w:r>
              <w:rPr>
                <w:rFonts w:hint="default" w:ascii="Times New Roman" w:hAnsi="Times New Roman" w:cs="Times New Roman"/>
                <w:b w:val="0"/>
                <w:bCs w:val="0"/>
                <w:color w:val="auto"/>
                <w:sz w:val="24"/>
                <w:szCs w:val="24"/>
                <w:highlight w:val="none"/>
                <w:vertAlign w:val="subscript"/>
                <w:lang w:val="en-US" w:eastAsia="zh-CN"/>
              </w:rPr>
              <w:t>3</w:t>
            </w:r>
            <w:r>
              <w:rPr>
                <w:rFonts w:hint="default" w:ascii="Times New Roman" w:hAnsi="Times New Roman" w:cs="Times New Roman"/>
                <w:b w:val="0"/>
                <w:bCs w:val="0"/>
                <w:color w:val="auto"/>
                <w:sz w:val="24"/>
                <w:szCs w:val="24"/>
                <w:highlight w:val="none"/>
                <w:lang w:val="en-US" w:eastAsia="zh-CN"/>
              </w:rPr>
              <w:t>（13%～40%），CaO（2%～5%），Fe</w:t>
            </w:r>
            <w:r>
              <w:rPr>
                <w:rFonts w:hint="default" w:ascii="Times New Roman" w:hAnsi="Times New Roman" w:cs="Times New Roman"/>
                <w:b w:val="0"/>
                <w:bCs w:val="0"/>
                <w:color w:val="auto"/>
                <w:sz w:val="24"/>
                <w:szCs w:val="24"/>
                <w:highlight w:val="none"/>
                <w:vertAlign w:val="subscript"/>
                <w:lang w:val="en-US" w:eastAsia="zh-CN"/>
              </w:rPr>
              <w:t>2</w:t>
            </w:r>
            <w:r>
              <w:rPr>
                <w:rFonts w:hint="default" w:ascii="Times New Roman" w:hAnsi="Times New Roman" w:cs="Times New Roman"/>
                <w:b w:val="0"/>
                <w:bCs w:val="0"/>
                <w:color w:val="auto"/>
                <w:sz w:val="24"/>
                <w:szCs w:val="24"/>
                <w:highlight w:val="none"/>
                <w:lang w:val="en-US" w:eastAsia="zh-CN"/>
              </w:rPr>
              <w:t>O</w:t>
            </w:r>
            <w:r>
              <w:rPr>
                <w:rFonts w:hint="default" w:ascii="Times New Roman" w:hAnsi="Times New Roman" w:cs="Times New Roman"/>
                <w:b w:val="0"/>
                <w:bCs w:val="0"/>
                <w:color w:val="auto"/>
                <w:sz w:val="24"/>
                <w:szCs w:val="24"/>
                <w:highlight w:val="none"/>
                <w:vertAlign w:val="subscript"/>
                <w:lang w:val="en-US" w:eastAsia="zh-CN"/>
              </w:rPr>
              <w:t>3</w:t>
            </w:r>
            <w:r>
              <w:rPr>
                <w:rFonts w:hint="default" w:ascii="Times New Roman" w:hAnsi="Times New Roman" w:cs="Times New Roman"/>
                <w:b w:val="0"/>
                <w:bCs w:val="0"/>
                <w:color w:val="auto"/>
                <w:sz w:val="24"/>
                <w:szCs w:val="24"/>
                <w:highlight w:val="none"/>
                <w:lang w:val="en-US" w:eastAsia="zh-CN"/>
              </w:rPr>
              <w:t>（3%～10%）等。由于粉煤灰经高温熔融，所以其结构非常致密</w:t>
            </w:r>
            <w:r>
              <w:rPr>
                <w:rFonts w:hint="eastAsia" w:ascii="Times New Roman" w:hAnsi="Times New Roman" w:cs="Times New Roman"/>
                <w:b w:val="0"/>
                <w:bCs w:val="0"/>
                <w:color w:val="auto"/>
                <w:sz w:val="24"/>
                <w:szCs w:val="24"/>
                <w:highlight w:val="none"/>
                <w:lang w:val="en-US" w:eastAsia="zh-CN"/>
              </w:rPr>
              <w:t>。</w:t>
            </w:r>
          </w:p>
          <w:p w14:paraId="33B9D938">
            <w:pPr>
              <w:pStyle w:val="27"/>
              <w:keepNext w:val="0"/>
              <w:keepLines w:val="0"/>
              <w:pageBreakBefore w:val="0"/>
              <w:kinsoku/>
              <w:wordWrap/>
              <w:overflowPunct/>
              <w:topLinePunct w:val="0"/>
              <w:autoSpaceDE/>
              <w:autoSpaceDN/>
              <w:bidi w:val="0"/>
              <w:snapToGrid w:val="0"/>
              <w:spacing w:line="360" w:lineRule="auto"/>
              <w:ind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⑤</w:t>
            </w:r>
            <w:r>
              <w:rPr>
                <w:rFonts w:hint="eastAsia" w:ascii="Times New Roman" w:hAnsi="Times New Roman" w:eastAsia="宋体" w:cs="Times New Roman"/>
                <w:color w:val="auto"/>
                <w:sz w:val="24"/>
                <w:highlight w:val="none"/>
                <w:lang w:val="en-US" w:eastAsia="zh-CN"/>
              </w:rPr>
              <w:t>外加剂：项目使用的外加剂分为粉状和液态2</w:t>
            </w:r>
            <w:r>
              <w:rPr>
                <w:rFonts w:hint="eastAsia" w:ascii="Times New Roman" w:hAnsi="Times New Roman" w:cs="Times New Roman"/>
                <w:color w:val="auto"/>
                <w:sz w:val="24"/>
                <w:highlight w:val="none"/>
                <w:lang w:val="en-US" w:eastAsia="zh-CN"/>
              </w:rPr>
              <w:t>种</w:t>
            </w:r>
            <w:r>
              <w:rPr>
                <w:rFonts w:hint="eastAsia" w:ascii="Times New Roman" w:hAnsi="Times New Roman" w:eastAsia="宋体" w:cs="Times New Roman"/>
                <w:color w:val="auto"/>
                <w:sz w:val="24"/>
                <w:highlight w:val="none"/>
                <w:lang w:val="en-US" w:eastAsia="zh-CN"/>
              </w:rPr>
              <w:t>。其中粉状外加剂为混凝土膨胀剂，浅黄色粉末状。混凝土膨胀剂属硫铝酸钙型混凝土膨胀剂，不含钠盐，不会引起混凝土碱骨料反应。而耐久性良好，膨胀性能稳定，强度持续上升。普通混凝土由于收缩开裂，往往发生渗漏，降低了它的使用功能和耐久性。在水泥中掺入适当比例的混凝土膨胀剂，可拌制成补偿收缩混凝土，大大提高了混凝土结构的抗裂防水能力。可取消外防水作业，延长后浇缝间距，防止大体积混凝土和高强混凝土温差裂缝的出现。高性能减水剂与各种水泥的相容性好，混凝土的坍落度保持性能好，延长混凝土的施工时间；掺量低，减水率高，收缩小；大幅度提高混凝土的早期、后期强度；产品中氯离子含量低、碱含量低，有利于混凝土的耐久性。</w:t>
            </w:r>
          </w:p>
          <w:p w14:paraId="398F625D">
            <w:pPr>
              <w:pStyle w:val="27"/>
              <w:keepNext w:val="0"/>
              <w:keepLines w:val="0"/>
              <w:pageBreakBefore w:val="0"/>
              <w:kinsoku/>
              <w:wordWrap/>
              <w:overflowPunct/>
              <w:topLinePunct w:val="0"/>
              <w:autoSpaceDE/>
              <w:autoSpaceDN/>
              <w:bidi w:val="0"/>
              <w:snapToGrid w:val="0"/>
              <w:spacing w:line="360" w:lineRule="auto"/>
              <w:ind w:right="0"/>
              <w:jc w:val="left"/>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2.6项目物料平衡表</w:t>
            </w:r>
          </w:p>
          <w:p w14:paraId="077C0F4A">
            <w:pPr>
              <w:pStyle w:val="27"/>
              <w:keepNext w:val="0"/>
              <w:keepLines w:val="0"/>
              <w:pageBreakBefore w:val="0"/>
              <w:kinsoku/>
              <w:wordWrap/>
              <w:overflowPunct/>
              <w:topLinePunct w:val="0"/>
              <w:autoSpaceDE/>
              <w:autoSpaceDN/>
              <w:bidi w:val="0"/>
              <w:snapToGrid w:val="0"/>
              <w:spacing w:line="360" w:lineRule="auto"/>
              <w:ind w:right="0" w:firstLine="480" w:firstLineChars="200"/>
              <w:jc w:val="left"/>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本项目机制砂生产线物料平衡表见下表2-10。</w:t>
            </w:r>
          </w:p>
          <w:p w14:paraId="242694F5">
            <w:pPr>
              <w:pStyle w:val="27"/>
              <w:spacing w:line="240" w:lineRule="auto"/>
              <w:ind w:right="86" w:firstLine="422" w:firstLineChars="20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表2-10  项目</w:t>
            </w:r>
            <w:r>
              <w:rPr>
                <w:rFonts w:hint="eastAsia" w:ascii="Times New Roman" w:hAnsi="Times New Roman" w:cs="Times New Roman"/>
                <w:b/>
                <w:bCs/>
                <w:color w:val="auto"/>
                <w:sz w:val="21"/>
                <w:szCs w:val="21"/>
                <w:highlight w:val="none"/>
                <w:lang w:val="en-US" w:eastAsia="zh-CN"/>
              </w:rPr>
              <w:t>干混砂浆</w:t>
            </w:r>
            <w:r>
              <w:rPr>
                <w:rFonts w:hint="eastAsia" w:ascii="Times New Roman" w:hAnsi="Times New Roman" w:eastAsia="宋体" w:cs="Times New Roman"/>
                <w:b/>
                <w:bCs/>
                <w:color w:val="auto"/>
                <w:sz w:val="21"/>
                <w:szCs w:val="21"/>
                <w:highlight w:val="none"/>
                <w:lang w:val="en-US" w:eastAsia="zh-CN"/>
              </w:rPr>
              <w:t>线物料平衡表</w:t>
            </w:r>
            <w:r>
              <w:rPr>
                <w:rFonts w:hint="eastAsia" w:ascii="Times New Roman" w:hAnsi="Times New Roman" w:cs="Times New Roman"/>
                <w:b/>
                <w:bCs/>
                <w:color w:val="auto"/>
                <w:sz w:val="21"/>
                <w:szCs w:val="21"/>
                <w:highlight w:val="none"/>
                <w:lang w:val="en-US" w:eastAsia="zh-CN"/>
              </w:rPr>
              <w:t>（t/a）</w:t>
            </w:r>
          </w:p>
          <w:tbl>
            <w:tblPr>
              <w:tblStyle w:val="20"/>
              <w:tblW w:w="80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7"/>
              <w:gridCol w:w="643"/>
              <w:gridCol w:w="1123"/>
              <w:gridCol w:w="1335"/>
              <w:gridCol w:w="2010"/>
              <w:gridCol w:w="1200"/>
              <w:gridCol w:w="1078"/>
            </w:tblGrid>
            <w:tr w14:paraId="361AE0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l2br w:val="nil"/>
                    <w:tr2bl w:val="nil"/>
                  </w:tcBorders>
                  <w:noWrap w:val="0"/>
                  <w:vAlign w:val="center"/>
                </w:tcPr>
                <w:p w14:paraId="7E19D13D">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序号</w:t>
                  </w:r>
                </w:p>
              </w:tc>
              <w:tc>
                <w:tcPr>
                  <w:tcW w:w="3101" w:type="dxa"/>
                  <w:gridSpan w:val="3"/>
                  <w:tcBorders>
                    <w:tl2br w:val="nil"/>
                    <w:tr2bl w:val="nil"/>
                  </w:tcBorders>
                  <w:noWrap w:val="0"/>
                  <w:vAlign w:val="center"/>
                </w:tcPr>
                <w:p w14:paraId="14ADD2A3">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投入</w:t>
                  </w:r>
                </w:p>
              </w:tc>
              <w:tc>
                <w:tcPr>
                  <w:tcW w:w="4288" w:type="dxa"/>
                  <w:gridSpan w:val="3"/>
                  <w:tcBorders>
                    <w:tl2br w:val="nil"/>
                    <w:tr2bl w:val="nil"/>
                  </w:tcBorders>
                  <w:noWrap w:val="0"/>
                  <w:vAlign w:val="center"/>
                </w:tcPr>
                <w:p w14:paraId="555574D0">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产出</w:t>
                  </w:r>
                </w:p>
              </w:tc>
            </w:tr>
            <w:tr w14:paraId="2742A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l2br w:val="nil"/>
                    <w:tr2bl w:val="nil"/>
                  </w:tcBorders>
                  <w:noWrap w:val="0"/>
                  <w:vAlign w:val="center"/>
                </w:tcPr>
                <w:p w14:paraId="0A9D3BBA">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643" w:type="dxa"/>
                  <w:tcBorders>
                    <w:tl2br w:val="nil"/>
                    <w:tr2bl w:val="nil"/>
                  </w:tcBorders>
                  <w:noWrap w:val="0"/>
                  <w:vAlign w:val="center"/>
                </w:tcPr>
                <w:p w14:paraId="1D5BB975">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原料</w:t>
                  </w:r>
                </w:p>
              </w:tc>
              <w:tc>
                <w:tcPr>
                  <w:tcW w:w="1123" w:type="dxa"/>
                  <w:tcBorders>
                    <w:tl2br w:val="nil"/>
                    <w:tr2bl w:val="nil"/>
                  </w:tcBorders>
                  <w:noWrap w:val="0"/>
                  <w:vAlign w:val="center"/>
                </w:tcPr>
                <w:p w14:paraId="146B430D">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b w:val="0"/>
                      <w:bCs w:val="0"/>
                      <w:i w:val="0"/>
                      <w:iCs w:val="0"/>
                      <w:color w:val="auto"/>
                      <w:kern w:val="0"/>
                      <w:sz w:val="21"/>
                      <w:szCs w:val="21"/>
                      <w:highlight w:val="none"/>
                      <w:u w:val="none"/>
                      <w:lang w:val="en-US" w:eastAsia="zh-CN"/>
                    </w:rPr>
                    <w:t>水泥</w:t>
                  </w:r>
                </w:p>
              </w:tc>
              <w:tc>
                <w:tcPr>
                  <w:tcW w:w="1335" w:type="dxa"/>
                  <w:tcBorders>
                    <w:tl2br w:val="nil"/>
                    <w:tr2bl w:val="nil"/>
                  </w:tcBorders>
                  <w:noWrap w:val="0"/>
                  <w:vAlign w:val="center"/>
                </w:tcPr>
                <w:p w14:paraId="26920DA9">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35000</w:t>
                  </w:r>
                </w:p>
              </w:tc>
              <w:tc>
                <w:tcPr>
                  <w:tcW w:w="2010" w:type="dxa"/>
                  <w:tcBorders>
                    <w:tl2br w:val="nil"/>
                    <w:tr2bl w:val="nil"/>
                  </w:tcBorders>
                  <w:noWrap w:val="0"/>
                  <w:vAlign w:val="center"/>
                </w:tcPr>
                <w:p w14:paraId="7AF79908">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干混砂浆</w:t>
                  </w:r>
                </w:p>
              </w:tc>
              <w:tc>
                <w:tcPr>
                  <w:tcW w:w="1200" w:type="dxa"/>
                  <w:tcBorders>
                    <w:tl2br w:val="nil"/>
                    <w:tr2bl w:val="nil"/>
                  </w:tcBorders>
                  <w:noWrap w:val="0"/>
                  <w:vAlign w:val="center"/>
                </w:tcPr>
                <w:p w14:paraId="6499F01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主要产品</w:t>
                  </w:r>
                </w:p>
              </w:tc>
              <w:tc>
                <w:tcPr>
                  <w:tcW w:w="1078" w:type="dxa"/>
                  <w:tcBorders>
                    <w:tl2br w:val="nil"/>
                    <w:tr2bl w:val="nil"/>
                  </w:tcBorders>
                  <w:noWrap w:val="0"/>
                  <w:vAlign w:val="center"/>
                </w:tcPr>
                <w:p w14:paraId="3DE99B9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250000</w:t>
                  </w:r>
                </w:p>
              </w:tc>
            </w:tr>
            <w:tr w14:paraId="266C5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l2br w:val="nil"/>
                    <w:tr2bl w:val="nil"/>
                  </w:tcBorders>
                  <w:noWrap w:val="0"/>
                  <w:vAlign w:val="center"/>
                </w:tcPr>
                <w:p w14:paraId="24C58697">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643" w:type="dxa"/>
                  <w:tcBorders>
                    <w:tl2br w:val="nil"/>
                    <w:tr2bl w:val="nil"/>
                  </w:tcBorders>
                  <w:noWrap w:val="0"/>
                  <w:vAlign w:val="center"/>
                </w:tcPr>
                <w:p w14:paraId="04B113AC">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123" w:type="dxa"/>
                  <w:tcBorders>
                    <w:tl2br w:val="nil"/>
                    <w:tr2bl w:val="nil"/>
                  </w:tcBorders>
                  <w:noWrap w:val="0"/>
                  <w:vAlign w:val="center"/>
                </w:tcPr>
                <w:p w14:paraId="0634BDD9">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b w:val="0"/>
                      <w:bCs w:val="0"/>
                      <w:i w:val="0"/>
                      <w:iCs w:val="0"/>
                      <w:color w:val="auto"/>
                      <w:kern w:val="0"/>
                      <w:sz w:val="21"/>
                      <w:szCs w:val="21"/>
                      <w:highlight w:val="none"/>
                      <w:u w:val="none"/>
                      <w:lang w:val="en-US" w:eastAsia="zh-CN"/>
                    </w:rPr>
                    <w:t>机制砂</w:t>
                  </w:r>
                </w:p>
              </w:tc>
              <w:tc>
                <w:tcPr>
                  <w:tcW w:w="1335" w:type="dxa"/>
                  <w:tcBorders>
                    <w:tl2br w:val="nil"/>
                    <w:tr2bl w:val="nil"/>
                  </w:tcBorders>
                  <w:noWrap w:val="0"/>
                  <w:vAlign w:val="center"/>
                </w:tcPr>
                <w:p w14:paraId="0BAFC62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b w:val="0"/>
                      <w:bCs w:val="0"/>
                      <w:i w:val="0"/>
                      <w:iCs w:val="0"/>
                      <w:color w:val="auto"/>
                      <w:kern w:val="0"/>
                      <w:sz w:val="21"/>
                      <w:szCs w:val="21"/>
                      <w:highlight w:val="none"/>
                      <w:u w:val="none"/>
                      <w:lang w:val="en-US" w:eastAsia="zh-CN"/>
                    </w:rPr>
                    <w:t>195000</w:t>
                  </w:r>
                </w:p>
              </w:tc>
              <w:tc>
                <w:tcPr>
                  <w:tcW w:w="2010" w:type="dxa"/>
                  <w:vMerge w:val="restart"/>
                  <w:tcBorders>
                    <w:tl2br w:val="nil"/>
                    <w:tr2bl w:val="nil"/>
                  </w:tcBorders>
                  <w:noWrap w:val="0"/>
                  <w:vAlign w:val="center"/>
                </w:tcPr>
                <w:p w14:paraId="4BE47E59">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废气排放（颗粒物）</w:t>
                  </w:r>
                </w:p>
              </w:tc>
              <w:tc>
                <w:tcPr>
                  <w:tcW w:w="1200" w:type="dxa"/>
                  <w:vMerge w:val="restart"/>
                  <w:tcBorders>
                    <w:tl2br w:val="nil"/>
                    <w:tr2bl w:val="nil"/>
                  </w:tcBorders>
                  <w:noWrap w:val="0"/>
                  <w:vAlign w:val="center"/>
                </w:tcPr>
                <w:p w14:paraId="61A7C108">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有组织</w:t>
                  </w:r>
                </w:p>
              </w:tc>
              <w:tc>
                <w:tcPr>
                  <w:tcW w:w="1078" w:type="dxa"/>
                  <w:vMerge w:val="restart"/>
                  <w:tcBorders>
                    <w:tl2br w:val="nil"/>
                    <w:tr2bl w:val="nil"/>
                  </w:tcBorders>
                  <w:noWrap w:val="0"/>
                  <w:vAlign w:val="center"/>
                </w:tcPr>
                <w:p w14:paraId="706D979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0.127</w:t>
                  </w:r>
                </w:p>
              </w:tc>
            </w:tr>
            <w:tr w14:paraId="7F1D2E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667" w:type="dxa"/>
                  <w:tcBorders>
                    <w:tl2br w:val="nil"/>
                    <w:tr2bl w:val="nil"/>
                  </w:tcBorders>
                  <w:noWrap w:val="0"/>
                  <w:vAlign w:val="center"/>
                </w:tcPr>
                <w:p w14:paraId="10AF81FF">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643" w:type="dxa"/>
                  <w:tcBorders>
                    <w:tl2br w:val="nil"/>
                    <w:tr2bl w:val="nil"/>
                  </w:tcBorders>
                  <w:noWrap w:val="0"/>
                  <w:vAlign w:val="center"/>
                </w:tcPr>
                <w:p w14:paraId="18745D4C">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123" w:type="dxa"/>
                  <w:tcBorders>
                    <w:tl2br w:val="nil"/>
                    <w:tr2bl w:val="nil"/>
                  </w:tcBorders>
                  <w:noWrap w:val="0"/>
                  <w:vAlign w:val="center"/>
                </w:tcPr>
                <w:p w14:paraId="5F31376C">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b w:val="0"/>
                      <w:bCs w:val="0"/>
                      <w:i w:val="0"/>
                      <w:iCs w:val="0"/>
                      <w:color w:val="auto"/>
                      <w:kern w:val="0"/>
                      <w:sz w:val="21"/>
                      <w:szCs w:val="21"/>
                      <w:highlight w:val="none"/>
                      <w:u w:val="none"/>
                      <w:lang w:val="en-US" w:eastAsia="zh-CN"/>
                    </w:rPr>
                    <w:t>粉煤灰</w:t>
                  </w:r>
                </w:p>
              </w:tc>
              <w:tc>
                <w:tcPr>
                  <w:tcW w:w="1335" w:type="dxa"/>
                  <w:tcBorders>
                    <w:tl2br w:val="nil"/>
                    <w:tr2bl w:val="nil"/>
                  </w:tcBorders>
                  <w:noWrap w:val="0"/>
                  <w:vAlign w:val="center"/>
                </w:tcPr>
                <w:p w14:paraId="03B4786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b w:val="0"/>
                      <w:bCs w:val="0"/>
                      <w:i w:val="0"/>
                      <w:iCs w:val="0"/>
                      <w:color w:val="auto"/>
                      <w:kern w:val="0"/>
                      <w:sz w:val="21"/>
                      <w:szCs w:val="21"/>
                      <w:highlight w:val="none"/>
                      <w:u w:val="none"/>
                      <w:lang w:val="en-US" w:eastAsia="zh-CN"/>
                    </w:rPr>
                    <w:t>12435</w:t>
                  </w:r>
                </w:p>
              </w:tc>
              <w:tc>
                <w:tcPr>
                  <w:tcW w:w="2010" w:type="dxa"/>
                  <w:vMerge w:val="continue"/>
                  <w:tcBorders>
                    <w:tl2br w:val="nil"/>
                    <w:tr2bl w:val="nil"/>
                  </w:tcBorders>
                  <w:noWrap w:val="0"/>
                  <w:vAlign w:val="center"/>
                </w:tcPr>
                <w:p w14:paraId="22F86621">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00" w:type="dxa"/>
                  <w:vMerge w:val="continue"/>
                  <w:tcBorders>
                    <w:tl2br w:val="nil"/>
                    <w:tr2bl w:val="nil"/>
                  </w:tcBorders>
                  <w:noWrap w:val="0"/>
                  <w:vAlign w:val="center"/>
                </w:tcPr>
                <w:p w14:paraId="61B46E70">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78" w:type="dxa"/>
                  <w:vMerge w:val="continue"/>
                  <w:tcBorders>
                    <w:tl2br w:val="nil"/>
                    <w:tr2bl w:val="nil"/>
                  </w:tcBorders>
                  <w:noWrap w:val="0"/>
                  <w:vAlign w:val="center"/>
                </w:tcPr>
                <w:p w14:paraId="242A09A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p>
              </w:tc>
            </w:tr>
            <w:tr w14:paraId="67CBA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l2br w:val="nil"/>
                    <w:tr2bl w:val="nil"/>
                  </w:tcBorders>
                  <w:noWrap w:val="0"/>
                  <w:vAlign w:val="center"/>
                </w:tcPr>
                <w:p w14:paraId="5C8BDFB9">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w:t>
                  </w:r>
                </w:p>
              </w:tc>
              <w:tc>
                <w:tcPr>
                  <w:tcW w:w="643" w:type="dxa"/>
                  <w:tcBorders>
                    <w:tl2br w:val="nil"/>
                    <w:tr2bl w:val="nil"/>
                  </w:tcBorders>
                  <w:noWrap w:val="0"/>
                  <w:vAlign w:val="center"/>
                </w:tcPr>
                <w:p w14:paraId="43A18EF7">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123" w:type="dxa"/>
                  <w:tcBorders>
                    <w:tl2br w:val="nil"/>
                    <w:tr2bl w:val="nil"/>
                  </w:tcBorders>
                  <w:noWrap w:val="0"/>
                  <w:vAlign w:val="center"/>
                </w:tcPr>
                <w:p w14:paraId="42C85589">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b w:val="0"/>
                      <w:bCs w:val="0"/>
                      <w:i w:val="0"/>
                      <w:iCs w:val="0"/>
                      <w:color w:val="auto"/>
                      <w:kern w:val="0"/>
                      <w:sz w:val="21"/>
                      <w:szCs w:val="21"/>
                      <w:highlight w:val="none"/>
                      <w:u w:val="none"/>
                      <w:lang w:val="en-US" w:eastAsia="zh-CN"/>
                    </w:rPr>
                    <w:t>石粉</w:t>
                  </w:r>
                </w:p>
              </w:tc>
              <w:tc>
                <w:tcPr>
                  <w:tcW w:w="1335" w:type="dxa"/>
                  <w:tcBorders>
                    <w:tl2br w:val="nil"/>
                    <w:tr2bl w:val="nil"/>
                  </w:tcBorders>
                  <w:noWrap w:val="0"/>
                  <w:vAlign w:val="center"/>
                </w:tcPr>
                <w:p w14:paraId="4ECDC70C">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b w:val="0"/>
                      <w:bCs w:val="0"/>
                      <w:i w:val="0"/>
                      <w:iCs w:val="0"/>
                      <w:color w:val="auto"/>
                      <w:kern w:val="0"/>
                      <w:sz w:val="21"/>
                      <w:szCs w:val="21"/>
                      <w:highlight w:val="none"/>
                      <w:u w:val="none"/>
                      <w:lang w:val="en-US" w:eastAsia="zh-CN"/>
                    </w:rPr>
                    <w:t>7500</w:t>
                  </w:r>
                </w:p>
              </w:tc>
              <w:tc>
                <w:tcPr>
                  <w:tcW w:w="2010" w:type="dxa"/>
                  <w:vMerge w:val="continue"/>
                  <w:tcBorders>
                    <w:tl2br w:val="nil"/>
                    <w:tr2bl w:val="nil"/>
                  </w:tcBorders>
                  <w:noWrap w:val="0"/>
                  <w:vAlign w:val="center"/>
                </w:tcPr>
                <w:p w14:paraId="5D63DFD1">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00" w:type="dxa"/>
                  <w:tcBorders>
                    <w:tl2br w:val="nil"/>
                    <w:tr2bl w:val="nil"/>
                  </w:tcBorders>
                  <w:noWrap w:val="0"/>
                  <w:vAlign w:val="center"/>
                </w:tcPr>
                <w:p w14:paraId="2D59F9BA">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无组织</w:t>
                  </w:r>
                </w:p>
              </w:tc>
              <w:tc>
                <w:tcPr>
                  <w:tcW w:w="1078" w:type="dxa"/>
                  <w:tcBorders>
                    <w:tl2br w:val="nil"/>
                    <w:tr2bl w:val="nil"/>
                  </w:tcBorders>
                  <w:noWrap w:val="0"/>
                  <w:vAlign w:val="center"/>
                </w:tcPr>
                <w:p w14:paraId="1333FAB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0.1927</w:t>
                  </w:r>
                </w:p>
              </w:tc>
            </w:tr>
            <w:tr w14:paraId="0A51DA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l2br w:val="nil"/>
                    <w:tr2bl w:val="nil"/>
                  </w:tcBorders>
                  <w:noWrap w:val="0"/>
                  <w:vAlign w:val="center"/>
                </w:tcPr>
                <w:p w14:paraId="7CBCAE2B">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c>
                <w:tcPr>
                  <w:tcW w:w="643" w:type="dxa"/>
                  <w:tcBorders>
                    <w:tl2br w:val="nil"/>
                    <w:tr2bl w:val="nil"/>
                  </w:tcBorders>
                  <w:noWrap w:val="0"/>
                  <w:vAlign w:val="center"/>
                </w:tcPr>
                <w:p w14:paraId="6519D885">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123" w:type="dxa"/>
                  <w:tcBorders>
                    <w:tl2br w:val="nil"/>
                    <w:tr2bl w:val="nil"/>
                  </w:tcBorders>
                  <w:noWrap w:val="0"/>
                  <w:vAlign w:val="center"/>
                </w:tcPr>
                <w:p w14:paraId="4269C2F7">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外加剂</w:t>
                  </w:r>
                </w:p>
              </w:tc>
              <w:tc>
                <w:tcPr>
                  <w:tcW w:w="1335" w:type="dxa"/>
                  <w:tcBorders>
                    <w:tl2br w:val="nil"/>
                    <w:tr2bl w:val="nil"/>
                  </w:tcBorders>
                  <w:noWrap w:val="0"/>
                  <w:vAlign w:val="center"/>
                </w:tcPr>
                <w:p w14:paraId="33204C7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b w:val="0"/>
                      <w:bCs w:val="0"/>
                      <w:i w:val="0"/>
                      <w:iCs w:val="0"/>
                      <w:color w:val="auto"/>
                      <w:kern w:val="0"/>
                      <w:sz w:val="21"/>
                      <w:szCs w:val="21"/>
                      <w:highlight w:val="none"/>
                      <w:u w:val="none"/>
                      <w:lang w:val="en-US" w:eastAsia="zh-CN"/>
                    </w:rPr>
                    <w:t>65</w:t>
                  </w:r>
                </w:p>
              </w:tc>
              <w:tc>
                <w:tcPr>
                  <w:tcW w:w="2010" w:type="dxa"/>
                  <w:tcBorders>
                    <w:tl2br w:val="nil"/>
                    <w:tr2bl w:val="nil"/>
                  </w:tcBorders>
                  <w:noWrap w:val="0"/>
                  <w:vAlign w:val="center"/>
                </w:tcPr>
                <w:p w14:paraId="284BE82E">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00" w:type="dxa"/>
                  <w:tcBorders>
                    <w:tl2br w:val="nil"/>
                    <w:tr2bl w:val="nil"/>
                  </w:tcBorders>
                  <w:noWrap w:val="0"/>
                  <w:vAlign w:val="center"/>
                </w:tcPr>
                <w:p w14:paraId="7C4FD1AC">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78" w:type="dxa"/>
                  <w:tcBorders>
                    <w:tl2br w:val="nil"/>
                    <w:tr2bl w:val="nil"/>
                  </w:tcBorders>
                  <w:noWrap w:val="0"/>
                  <w:vAlign w:val="center"/>
                </w:tcPr>
                <w:p w14:paraId="6C4C61E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p>
              </w:tc>
            </w:tr>
            <w:tr w14:paraId="7E938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dxa"/>
                  <w:tcBorders>
                    <w:tl2br w:val="nil"/>
                    <w:tr2bl w:val="nil"/>
                  </w:tcBorders>
                  <w:noWrap w:val="0"/>
                  <w:vAlign w:val="center"/>
                </w:tcPr>
                <w:p w14:paraId="5E8AB125">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合计</w:t>
                  </w:r>
                </w:p>
              </w:tc>
              <w:tc>
                <w:tcPr>
                  <w:tcW w:w="1766" w:type="dxa"/>
                  <w:gridSpan w:val="2"/>
                  <w:tcBorders>
                    <w:tl2br w:val="nil"/>
                    <w:tr2bl w:val="nil"/>
                  </w:tcBorders>
                  <w:noWrap w:val="0"/>
                  <w:vAlign w:val="center"/>
                </w:tcPr>
                <w:p w14:paraId="5F340C42">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335" w:type="dxa"/>
                  <w:tcBorders>
                    <w:tl2br w:val="nil"/>
                    <w:tr2bl w:val="nil"/>
                  </w:tcBorders>
                  <w:noWrap w:val="0"/>
                  <w:vAlign w:val="center"/>
                </w:tcPr>
                <w:p w14:paraId="171D8DB7">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250000</w:t>
                  </w:r>
                </w:p>
              </w:tc>
              <w:tc>
                <w:tcPr>
                  <w:tcW w:w="3210" w:type="dxa"/>
                  <w:gridSpan w:val="2"/>
                  <w:tcBorders>
                    <w:tl2br w:val="nil"/>
                    <w:tr2bl w:val="nil"/>
                  </w:tcBorders>
                  <w:noWrap w:val="0"/>
                  <w:vAlign w:val="center"/>
                </w:tcPr>
                <w:p w14:paraId="6C2E9F49">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078" w:type="dxa"/>
                  <w:tcBorders>
                    <w:tl2br w:val="nil"/>
                    <w:tr2bl w:val="nil"/>
                  </w:tcBorders>
                  <w:noWrap w:val="0"/>
                  <w:vAlign w:val="center"/>
                </w:tcPr>
                <w:p w14:paraId="7231D5DB">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250000</w:t>
                  </w:r>
                </w:p>
              </w:tc>
            </w:tr>
          </w:tbl>
          <w:p w14:paraId="21D1599E">
            <w:pPr>
              <w:pStyle w:val="8"/>
              <w:keepNext w:val="0"/>
              <w:keepLines w:val="0"/>
              <w:pageBreakBefore w:val="0"/>
              <w:kinsoku/>
              <w:wordWrap/>
              <w:overflowPunct/>
              <w:topLinePunct w:val="0"/>
              <w:bidi w:val="0"/>
              <w:snapToGrid w:val="0"/>
              <w:spacing w:before="0" w:after="0" w:line="360" w:lineRule="auto"/>
              <w:ind w:right="0" w:firstLine="0" w:firstLineChars="0"/>
              <w:textAlignment w:val="auto"/>
              <w:rPr>
                <w:rFonts w:eastAsiaTheme="minorEastAsia"/>
                <w:b/>
                <w:color w:val="auto"/>
                <w:sz w:val="24"/>
                <w:highlight w:val="none"/>
                <w:lang w:bidi="zh-CN"/>
              </w:rPr>
            </w:pPr>
            <w:r>
              <w:rPr>
                <w:rFonts w:eastAsiaTheme="minorEastAsia"/>
                <w:b/>
                <w:color w:val="auto"/>
                <w:sz w:val="24"/>
                <w:highlight w:val="none"/>
                <w:lang w:bidi="zh-CN"/>
              </w:rPr>
              <w:t>2.</w:t>
            </w:r>
            <w:r>
              <w:rPr>
                <w:rFonts w:hint="eastAsia" w:eastAsiaTheme="minorEastAsia"/>
                <w:b/>
                <w:color w:val="auto"/>
                <w:sz w:val="24"/>
                <w:highlight w:val="none"/>
                <w:lang w:val="en-US" w:bidi="zh-CN"/>
              </w:rPr>
              <w:t>7</w:t>
            </w:r>
            <w:r>
              <w:rPr>
                <w:rFonts w:eastAsiaTheme="minorEastAsia"/>
                <w:b/>
                <w:color w:val="auto"/>
                <w:sz w:val="24"/>
                <w:highlight w:val="none"/>
                <w:lang w:bidi="zh-CN"/>
              </w:rPr>
              <w:t xml:space="preserve"> 劳动定员及工作制度</w:t>
            </w:r>
          </w:p>
          <w:p w14:paraId="5A0E0A42">
            <w:pPr>
              <w:pStyle w:val="27"/>
              <w:keepNext w:val="0"/>
              <w:keepLines w:val="0"/>
              <w:pageBreakBefore w:val="0"/>
              <w:kinsoku/>
              <w:wordWrap/>
              <w:overflowPunct/>
              <w:topLinePunct w:val="0"/>
              <w:bidi w:val="0"/>
              <w:snapToGrid w:val="0"/>
              <w:spacing w:line="360" w:lineRule="auto"/>
              <w:ind w:right="0" w:firstLine="480" w:firstLineChars="200"/>
              <w:textAlignment w:val="auto"/>
              <w:rPr>
                <w:rFonts w:ascii="Times New Roman" w:hAnsi="Times New Roman" w:cs="Times New Roman" w:eastAsiaTheme="minorEastAsia"/>
                <w:color w:val="auto"/>
                <w:sz w:val="24"/>
                <w:highlight w:val="none"/>
                <w:lang w:val="en-US"/>
              </w:rPr>
            </w:pPr>
            <w:r>
              <w:rPr>
                <w:rFonts w:ascii="Times New Roman" w:hAnsi="Times New Roman" w:cs="Times New Roman" w:eastAsiaTheme="minorEastAsia"/>
                <w:color w:val="auto"/>
                <w:sz w:val="24"/>
                <w:highlight w:val="none"/>
                <w:lang w:val="en-US"/>
              </w:rPr>
              <w:t>本项目</w:t>
            </w:r>
            <w:r>
              <w:rPr>
                <w:rFonts w:hint="eastAsia" w:ascii="Times New Roman" w:hAnsi="Times New Roman" w:cs="Times New Roman" w:eastAsiaTheme="minorEastAsia"/>
                <w:color w:val="auto"/>
                <w:sz w:val="24"/>
                <w:highlight w:val="none"/>
                <w:lang w:val="en-US" w:eastAsia="zh-CN"/>
              </w:rPr>
              <w:t>不新增劳动定员</w:t>
            </w:r>
            <w:r>
              <w:rPr>
                <w:rFonts w:ascii="Times New Roman" w:hAnsi="Times New Roman" w:cs="Times New Roman" w:eastAsiaTheme="minorEastAsia"/>
                <w:color w:val="auto"/>
                <w:sz w:val="24"/>
                <w:highlight w:val="none"/>
                <w:lang w:val="en-US"/>
              </w:rPr>
              <w:t>，</w:t>
            </w:r>
            <w:r>
              <w:rPr>
                <w:rFonts w:hint="eastAsia" w:ascii="Times New Roman" w:hAnsi="Times New Roman" w:cs="Times New Roman" w:eastAsiaTheme="minorEastAsia"/>
                <w:color w:val="auto"/>
                <w:sz w:val="24"/>
                <w:highlight w:val="none"/>
                <w:lang w:val="en-US" w:eastAsia="zh-CN"/>
              </w:rPr>
              <w:t>从现有员工中进行调配。本项目实行1班制，每班工作8小时，年工作200天</w:t>
            </w:r>
            <w:r>
              <w:rPr>
                <w:rFonts w:ascii="Times New Roman" w:hAnsi="Times New Roman" w:cs="Times New Roman" w:eastAsiaTheme="minorEastAsia"/>
                <w:color w:val="auto"/>
                <w:sz w:val="24"/>
                <w:highlight w:val="none"/>
                <w:lang w:val="en-US"/>
              </w:rPr>
              <w:t>。</w:t>
            </w:r>
          </w:p>
          <w:p w14:paraId="1C0E3BF6">
            <w:pPr>
              <w:pStyle w:val="27"/>
              <w:keepNext w:val="0"/>
              <w:keepLines w:val="0"/>
              <w:pageBreakBefore w:val="0"/>
              <w:kinsoku/>
              <w:wordWrap/>
              <w:overflowPunct/>
              <w:topLinePunct w:val="0"/>
              <w:bidi w:val="0"/>
              <w:snapToGrid w:val="0"/>
              <w:spacing w:line="360" w:lineRule="auto"/>
              <w:ind w:right="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2.</w:t>
            </w:r>
            <w:r>
              <w:rPr>
                <w:rFonts w:hint="eastAsia" w:ascii="Times New Roman" w:hAnsi="Times New Roman" w:cs="Times New Roman"/>
                <w:b/>
                <w:bCs/>
                <w:color w:val="auto"/>
                <w:sz w:val="24"/>
                <w:highlight w:val="none"/>
                <w:lang w:val="en-US" w:eastAsia="zh-CN"/>
              </w:rPr>
              <w:t>8</w:t>
            </w:r>
            <w:r>
              <w:rPr>
                <w:rFonts w:hint="default" w:ascii="Times New Roman" w:hAnsi="Times New Roman" w:eastAsia="宋体" w:cs="Times New Roman"/>
                <w:b/>
                <w:bCs/>
                <w:color w:val="auto"/>
                <w:sz w:val="24"/>
                <w:highlight w:val="none"/>
                <w:lang w:val="en-US" w:eastAsia="zh-CN"/>
              </w:rPr>
              <w:t xml:space="preserve"> 公用工程</w:t>
            </w:r>
          </w:p>
          <w:p w14:paraId="4B606226">
            <w:pPr>
              <w:pStyle w:val="27"/>
              <w:keepNext w:val="0"/>
              <w:keepLines w:val="0"/>
              <w:pageBreakBefore w:val="0"/>
              <w:kinsoku/>
              <w:wordWrap/>
              <w:overflowPunct/>
              <w:topLinePunct w:val="0"/>
              <w:bidi w:val="0"/>
              <w:snapToGrid w:val="0"/>
              <w:spacing w:line="360" w:lineRule="auto"/>
              <w:ind w:right="0" w:firstLine="482" w:firstLineChars="20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w:t>
            </w:r>
            <w:r>
              <w:rPr>
                <w:rFonts w:hint="eastAsia" w:ascii="Times New Roman" w:hAnsi="Times New Roman" w:cs="Times New Roman"/>
                <w:b/>
                <w:bCs/>
                <w:color w:val="auto"/>
                <w:sz w:val="24"/>
                <w:highlight w:val="none"/>
                <w:lang w:val="en-US" w:eastAsia="zh-CN"/>
              </w:rPr>
              <w:t>8</w:t>
            </w:r>
            <w:r>
              <w:rPr>
                <w:rFonts w:hint="eastAsia" w:ascii="Times New Roman" w:hAnsi="Times New Roman" w:eastAsia="宋体" w:cs="Times New Roman"/>
                <w:b/>
                <w:bCs/>
                <w:color w:val="auto"/>
                <w:sz w:val="24"/>
                <w:highlight w:val="none"/>
                <w:lang w:val="en-US" w:eastAsia="zh-CN"/>
              </w:rPr>
              <w:t>.1给水</w:t>
            </w:r>
          </w:p>
          <w:p w14:paraId="0B83F00A">
            <w:pPr>
              <w:pStyle w:val="27"/>
              <w:keepNext w:val="0"/>
              <w:keepLines w:val="0"/>
              <w:pageBreakBefore w:val="0"/>
              <w:kinsoku/>
              <w:wordWrap/>
              <w:overflowPunct/>
              <w:topLinePunct w:val="0"/>
              <w:bidi w:val="0"/>
              <w:snapToGrid w:val="0"/>
              <w:spacing w:line="360" w:lineRule="auto"/>
              <w:ind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本项目用水依托厂区现有给水系统，由厂区自备水井</w:t>
            </w:r>
            <w:r>
              <w:rPr>
                <w:rFonts w:hint="eastAsia" w:ascii="Times New Roman" w:hAnsi="Times New Roman" w:cs="Times New Roman"/>
                <w:color w:val="auto"/>
                <w:sz w:val="24"/>
                <w:highlight w:val="none"/>
                <w:lang w:val="en-US" w:eastAsia="zh-CN"/>
              </w:rPr>
              <w:t>供水</w:t>
            </w:r>
            <w:r>
              <w:rPr>
                <w:rFonts w:hint="eastAsia" w:ascii="Times New Roman" w:hAnsi="Times New Roman" w:eastAsia="宋体" w:cs="Times New Roman"/>
                <w:color w:val="auto"/>
                <w:sz w:val="24"/>
                <w:highlight w:val="none"/>
                <w:lang w:val="en-US" w:eastAsia="zh-CN"/>
              </w:rPr>
              <w:t>。</w:t>
            </w:r>
          </w:p>
          <w:p w14:paraId="08EAA285">
            <w:pPr>
              <w:pStyle w:val="27"/>
              <w:keepNext w:val="0"/>
              <w:keepLines w:val="0"/>
              <w:pageBreakBefore w:val="0"/>
              <w:kinsoku/>
              <w:wordWrap/>
              <w:overflowPunct/>
              <w:topLinePunct w:val="0"/>
              <w:bidi w:val="0"/>
              <w:snapToGrid w:val="0"/>
              <w:spacing w:line="360" w:lineRule="auto"/>
              <w:ind w:right="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本项目无新增劳动定员，故无新增生活用水。用水主要为车辆冲洗用水及道路洒水。</w:t>
            </w:r>
          </w:p>
          <w:p w14:paraId="637B8E88">
            <w:pPr>
              <w:pStyle w:val="27"/>
              <w:keepNext w:val="0"/>
              <w:keepLines w:val="0"/>
              <w:pageBreakBefore w:val="0"/>
              <w:kinsoku/>
              <w:wordWrap/>
              <w:overflowPunct/>
              <w:topLinePunct w:val="0"/>
              <w:bidi w:val="0"/>
              <w:snapToGrid w:val="0"/>
              <w:spacing w:line="360" w:lineRule="auto"/>
              <w:ind w:right="0" w:firstLine="480" w:firstLineChars="200"/>
              <w:textAlignment w:val="auto"/>
              <w:rPr>
                <w:rFonts w:ascii="Times New Roman" w:hAnsi="Times New Roman" w:cs="Times New Roman" w:eastAsiaTheme="minorEastAsia"/>
                <w:color w:val="auto"/>
                <w:sz w:val="24"/>
                <w:highlight w:val="none"/>
                <w:lang w:val="en-US"/>
              </w:rPr>
            </w:pPr>
            <w:r>
              <w:rPr>
                <w:rFonts w:hint="eastAsia" w:ascii="Times New Roman" w:hAnsi="Times New Roman" w:cs="Times New Roman" w:eastAsiaTheme="minorEastAsia"/>
                <w:color w:val="auto"/>
                <w:sz w:val="24"/>
                <w:highlight w:val="none"/>
                <w:lang w:val="en-US" w:eastAsia="zh-CN"/>
              </w:rPr>
              <w:t>（1）车辆冲洗</w:t>
            </w:r>
            <w:r>
              <w:rPr>
                <w:rFonts w:ascii="Times New Roman" w:hAnsi="Times New Roman" w:cs="Times New Roman" w:eastAsiaTheme="minorEastAsia"/>
                <w:color w:val="auto"/>
                <w:sz w:val="24"/>
                <w:highlight w:val="none"/>
                <w:lang w:val="en-US"/>
              </w:rPr>
              <w:t>用水</w:t>
            </w:r>
          </w:p>
          <w:p w14:paraId="1FA12589">
            <w:pPr>
              <w:keepNext w:val="0"/>
              <w:keepLines w:val="0"/>
              <w:pageBreakBefore w:val="0"/>
              <w:widowControl w:val="0"/>
              <w:kinsoku/>
              <w:wordWrap/>
              <w:overflowPunct/>
              <w:topLinePunct w:val="0"/>
              <w:autoSpaceDE w:val="0"/>
              <w:autoSpaceDN w:val="0"/>
              <w:bidi w:val="0"/>
              <w:adjustRightInd/>
              <w:snapToGrid w:val="0"/>
              <w:spacing w:line="360" w:lineRule="auto"/>
              <w:ind w:right="0" w:firstLine="480" w:firstLineChars="200"/>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运输车辆</w:t>
            </w:r>
            <w:r>
              <w:rPr>
                <w:rFonts w:hint="eastAsia" w:cs="Times New Roman"/>
                <w:color w:val="auto"/>
                <w:sz w:val="24"/>
                <w:highlight w:val="none"/>
                <w:lang w:val="en-US" w:eastAsia="zh-CN"/>
              </w:rPr>
              <w:t>进出</w:t>
            </w:r>
            <w:r>
              <w:rPr>
                <w:rFonts w:hint="default" w:ascii="Times New Roman" w:hAnsi="Times New Roman" w:eastAsia="宋体" w:cs="Times New Roman"/>
                <w:color w:val="auto"/>
                <w:sz w:val="24"/>
                <w:highlight w:val="none"/>
                <w:lang w:val="en-US" w:eastAsia="zh-CN"/>
              </w:rPr>
              <w:t>厂区时，车辆轮胎上会附着一定量的泥沙等杂质</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eastAsia="宋体" w:cs="Times New Roman"/>
                <w:color w:val="auto"/>
                <w:sz w:val="24"/>
                <w:highlight w:val="none"/>
                <w:lang w:val="en-US" w:eastAsia="zh-CN"/>
              </w:rPr>
              <w:t>依托厂区现有</w:t>
            </w:r>
            <w:r>
              <w:rPr>
                <w:rFonts w:hint="default" w:ascii="Times New Roman" w:hAnsi="Times New Roman" w:eastAsia="宋体" w:cs="Times New Roman"/>
                <w:color w:val="auto"/>
                <w:sz w:val="24"/>
                <w:highlight w:val="none"/>
                <w:lang w:val="en-US" w:eastAsia="zh-CN"/>
              </w:rPr>
              <w:t>自动洗车</w:t>
            </w:r>
            <w:r>
              <w:rPr>
                <w:rFonts w:hint="eastAsia" w:ascii="Times New Roman" w:hAnsi="Times New Roman" w:eastAsia="宋体" w:cs="Times New Roman"/>
                <w:color w:val="auto"/>
                <w:sz w:val="24"/>
                <w:highlight w:val="none"/>
                <w:lang w:val="en-US" w:eastAsia="zh-CN"/>
              </w:rPr>
              <w:t>平</w:t>
            </w:r>
            <w:r>
              <w:rPr>
                <w:rFonts w:hint="default" w:ascii="Times New Roman" w:hAnsi="Times New Roman" w:eastAsia="宋体" w:cs="Times New Roman"/>
                <w:color w:val="auto"/>
                <w:sz w:val="24"/>
                <w:highlight w:val="none"/>
                <w:lang w:val="en-US" w:eastAsia="zh-CN"/>
              </w:rPr>
              <w:t>台，对出厂车辆进行冲洗</w:t>
            </w:r>
            <w:r>
              <w:rPr>
                <w:rFonts w:hint="eastAsia" w:ascii="Times New Roman" w:hAnsi="Times New Roman" w:eastAsia="宋体" w:cs="Times New Roman"/>
                <w:color w:val="auto"/>
                <w:sz w:val="24"/>
                <w:highlight w:val="none"/>
                <w:lang w:val="en-US" w:eastAsia="zh-CN"/>
              </w:rPr>
              <w:t>。</w:t>
            </w:r>
          </w:p>
          <w:p w14:paraId="17535CE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cs="Times New Roman"/>
                <w:color w:val="auto"/>
                <w:spacing w:val="0"/>
                <w:position w:val="0"/>
                <w:sz w:val="24"/>
                <w:szCs w:val="24"/>
                <w:highlight w:val="none"/>
                <w:lang w:val="en-US" w:eastAsia="zh-CN"/>
              </w:rPr>
            </w:pPr>
            <w:r>
              <w:rPr>
                <w:rFonts w:hint="default" w:eastAsia="宋体"/>
                <w:color w:val="auto"/>
                <w:sz w:val="24"/>
                <w:highlight w:val="none"/>
              </w:rPr>
              <w:t>参照《陕西省行业用水定额》</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DB61/T943-20</w:t>
            </w:r>
            <w:r>
              <w:rPr>
                <w:rFonts w:hint="default"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表B.10机动车、电子产品和日用产品修理业</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大型车循环用水冲洗定额按</w:t>
            </w:r>
            <w:r>
              <w:rPr>
                <w:rFonts w:hint="default" w:ascii="Times New Roman" w:hAnsi="Times New Roman" w:eastAsia="宋体" w:cs="Times New Roman"/>
                <w:color w:val="auto"/>
                <w:sz w:val="24"/>
                <w:highlight w:val="none"/>
                <w:lang w:val="en-US" w:eastAsia="zh-CN"/>
              </w:rPr>
              <w:t>55L/辆</w:t>
            </w:r>
            <w:r>
              <w:rPr>
                <w:rFonts w:hint="default"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次计</w:t>
            </w:r>
            <w:r>
              <w:rPr>
                <w:rFonts w:hint="eastAsia" w:ascii="Times New Roman" w:hAnsi="Times New Roman" w:eastAsia="宋体" w:cs="Times New Roman"/>
                <w:color w:val="auto"/>
                <w:sz w:val="24"/>
                <w:highlight w:val="none"/>
                <w:lang w:val="en-US" w:eastAsia="zh-CN"/>
              </w:rPr>
              <w:t>。</w:t>
            </w:r>
            <w:r>
              <w:rPr>
                <w:rFonts w:hint="default" w:ascii="Times New Roman" w:hAnsi="Times New Roman" w:cs="Times New Roman"/>
                <w:color w:val="auto"/>
                <w:spacing w:val="0"/>
                <w:position w:val="0"/>
                <w:sz w:val="24"/>
                <w:szCs w:val="24"/>
                <w:highlight w:val="none"/>
                <w:lang w:val="en-US" w:eastAsia="zh-CN"/>
              </w:rPr>
              <w:t>本项目运输原料约</w:t>
            </w:r>
            <w:r>
              <w:rPr>
                <w:rFonts w:hint="eastAsia" w:cs="Times New Roman"/>
                <w:color w:val="auto"/>
                <w:spacing w:val="0"/>
                <w:position w:val="0"/>
                <w:sz w:val="24"/>
                <w:szCs w:val="24"/>
                <w:highlight w:val="none"/>
                <w:lang w:val="en-US" w:eastAsia="zh-CN"/>
              </w:rPr>
              <w:t>2万</w:t>
            </w:r>
            <w:r>
              <w:rPr>
                <w:rFonts w:hint="default" w:ascii="Times New Roman" w:hAnsi="Times New Roman" w:cs="Times New Roman"/>
                <w:color w:val="auto"/>
                <w:spacing w:val="0"/>
                <w:position w:val="0"/>
                <w:sz w:val="24"/>
                <w:szCs w:val="24"/>
                <w:highlight w:val="none"/>
                <w:lang w:val="en-US" w:eastAsia="zh-CN"/>
              </w:rPr>
              <w:t>吨，</w:t>
            </w:r>
            <w:r>
              <w:rPr>
                <w:rFonts w:hint="default" w:ascii="Times New Roman" w:hAnsi="Times New Roman" w:eastAsia="宋体" w:cs="Times New Roman"/>
                <w:color w:val="auto"/>
                <w:sz w:val="24"/>
                <w:highlight w:val="none"/>
                <w:lang w:val="en-US" w:eastAsia="zh-CN"/>
              </w:rPr>
              <w:t>年</w:t>
            </w:r>
            <w:r>
              <w:rPr>
                <w:rFonts w:hint="eastAsia" w:ascii="Times New Roman" w:hAnsi="Times New Roman" w:eastAsia="宋体" w:cs="Times New Roman"/>
                <w:color w:val="auto"/>
                <w:sz w:val="24"/>
                <w:highlight w:val="none"/>
                <w:lang w:val="en-US" w:eastAsia="zh-CN"/>
              </w:rPr>
              <w:t>产</w:t>
            </w:r>
            <w:r>
              <w:rPr>
                <w:rFonts w:hint="eastAsia" w:cs="Times New Roman"/>
                <w:color w:val="auto"/>
                <w:sz w:val="24"/>
                <w:highlight w:val="none"/>
                <w:lang w:val="en-US" w:eastAsia="zh-CN"/>
              </w:rPr>
              <w:t>干混砂浆</w:t>
            </w:r>
            <w:r>
              <w:rPr>
                <w:rFonts w:hint="eastAsia" w:ascii="Times New Roman" w:hAnsi="Times New Roman" w:eastAsia="宋体" w:cs="Times New Roman"/>
                <w:color w:val="auto"/>
                <w:sz w:val="24"/>
                <w:highlight w:val="none"/>
                <w:lang w:val="en-US" w:eastAsia="zh-CN"/>
              </w:rPr>
              <w:t>土</w:t>
            </w:r>
            <w:r>
              <w:rPr>
                <w:rFonts w:hint="eastAsia" w:cs="Times New Roman"/>
                <w:color w:val="auto"/>
                <w:sz w:val="24"/>
                <w:highlight w:val="none"/>
                <w:lang w:val="en-US" w:eastAsia="zh-CN"/>
              </w:rPr>
              <w:t>25</w:t>
            </w:r>
            <w:r>
              <w:rPr>
                <w:rFonts w:hint="default" w:ascii="Times New Roman" w:hAnsi="Times New Roman" w:eastAsia="宋体" w:cs="Times New Roman"/>
                <w:color w:val="auto"/>
                <w:sz w:val="24"/>
                <w:highlight w:val="none"/>
                <w:lang w:val="en-US" w:eastAsia="zh-CN"/>
              </w:rPr>
              <w:t>万</w:t>
            </w:r>
            <w:r>
              <w:rPr>
                <w:rFonts w:hint="eastAsia" w:cs="Times New Roman"/>
                <w:color w:val="auto"/>
                <w:sz w:val="24"/>
                <w:highlight w:val="none"/>
                <w:lang w:val="en-US" w:eastAsia="zh-CN"/>
              </w:rPr>
              <w:t>t</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年工作</w:t>
            </w:r>
            <w:r>
              <w:rPr>
                <w:rFonts w:hint="eastAsia" w:cs="Times New Roman"/>
                <w:b w:val="0"/>
                <w:bCs w:val="0"/>
                <w:color w:val="auto"/>
                <w:sz w:val="24"/>
                <w:highlight w:val="none"/>
                <w:lang w:val="en-US" w:eastAsia="zh-CN"/>
              </w:rPr>
              <w:t>200</w:t>
            </w:r>
            <w:r>
              <w:rPr>
                <w:rFonts w:hint="eastAsia" w:ascii="Times New Roman" w:hAnsi="Times New Roman" w:eastAsia="宋体" w:cs="Times New Roman"/>
                <w:b w:val="0"/>
                <w:bCs w:val="0"/>
                <w:color w:val="auto"/>
                <w:sz w:val="24"/>
                <w:highlight w:val="none"/>
                <w:lang w:val="en-US" w:eastAsia="zh-CN"/>
              </w:rPr>
              <w:t>d</w:t>
            </w:r>
            <w:r>
              <w:rPr>
                <w:rFonts w:hint="eastAsia" w:ascii="Times New Roman" w:hAnsi="Times New Roman" w:eastAsia="宋体" w:cs="Times New Roman"/>
                <w:color w:val="auto"/>
                <w:sz w:val="24"/>
                <w:highlight w:val="none"/>
                <w:lang w:eastAsia="zh-CN"/>
              </w:rPr>
              <w:t>，</w:t>
            </w:r>
            <w:r>
              <w:rPr>
                <w:rFonts w:hint="default" w:ascii="Times New Roman" w:hAnsi="Times New Roman" w:cs="Times New Roman"/>
                <w:color w:val="auto"/>
                <w:spacing w:val="0"/>
                <w:position w:val="0"/>
                <w:sz w:val="24"/>
                <w:szCs w:val="24"/>
                <w:highlight w:val="none"/>
                <w:lang w:val="en-US" w:eastAsia="zh-CN"/>
              </w:rPr>
              <w:t>原料和产品运输均采用各种重型卡车和罐车，运输车辆按</w:t>
            </w:r>
            <w:r>
              <w:rPr>
                <w:rFonts w:hint="eastAsia" w:cs="Times New Roman"/>
                <w:color w:val="auto"/>
                <w:spacing w:val="0"/>
                <w:position w:val="0"/>
                <w:sz w:val="24"/>
                <w:szCs w:val="24"/>
                <w:highlight w:val="none"/>
                <w:lang w:val="en-US" w:eastAsia="zh-CN"/>
              </w:rPr>
              <w:t>30</w:t>
            </w:r>
            <w:r>
              <w:rPr>
                <w:rFonts w:hint="default" w:ascii="Times New Roman" w:hAnsi="Times New Roman" w:cs="Times New Roman"/>
                <w:color w:val="auto"/>
                <w:spacing w:val="0"/>
                <w:position w:val="0"/>
                <w:sz w:val="24"/>
                <w:szCs w:val="24"/>
                <w:highlight w:val="none"/>
                <w:lang w:val="en-US" w:eastAsia="zh-CN"/>
              </w:rPr>
              <w:t>吨/车计算，估算本项目每天平均进出厂区的车次约为</w:t>
            </w:r>
            <w:r>
              <w:rPr>
                <w:rFonts w:hint="eastAsia" w:cs="Times New Roman"/>
                <w:color w:val="auto"/>
                <w:spacing w:val="0"/>
                <w:position w:val="0"/>
                <w:sz w:val="24"/>
                <w:szCs w:val="24"/>
                <w:highlight w:val="none"/>
                <w:lang w:val="en-US" w:eastAsia="zh-CN"/>
              </w:rPr>
              <w:t>90</w:t>
            </w:r>
            <w:r>
              <w:rPr>
                <w:rFonts w:hint="default" w:ascii="Times New Roman" w:hAnsi="Times New Roman" w:cs="Times New Roman"/>
                <w:color w:val="auto"/>
                <w:spacing w:val="0"/>
                <w:position w:val="0"/>
                <w:sz w:val="24"/>
                <w:szCs w:val="24"/>
                <w:highlight w:val="none"/>
                <w:lang w:val="en-US" w:eastAsia="zh-CN"/>
              </w:rPr>
              <w:t>次，本项目冲洗用水量为</w:t>
            </w:r>
            <w:r>
              <w:rPr>
                <w:rFonts w:hint="eastAsia" w:cs="Times New Roman"/>
                <w:color w:val="auto"/>
                <w:spacing w:val="0"/>
                <w:position w:val="0"/>
                <w:sz w:val="24"/>
                <w:szCs w:val="24"/>
                <w:highlight w:val="none"/>
                <w:lang w:val="en-US" w:eastAsia="zh-CN"/>
              </w:rPr>
              <w:t>4.9</w:t>
            </w:r>
            <w:r>
              <w:rPr>
                <w:rFonts w:hint="default" w:ascii="Times New Roman" w:hAnsi="Times New Roman" w:cs="Times New Roman"/>
                <w:color w:val="auto"/>
                <w:spacing w:val="0"/>
                <w:position w:val="0"/>
                <w:sz w:val="24"/>
                <w:szCs w:val="24"/>
                <w:highlight w:val="none"/>
                <w:lang w:val="en-US" w:eastAsia="zh-CN"/>
              </w:rPr>
              <w:t>m</w:t>
            </w:r>
            <w:r>
              <w:rPr>
                <w:rFonts w:hint="default" w:ascii="Times New Roman" w:hAnsi="Times New Roman" w:cs="Times New Roman"/>
                <w:color w:val="auto"/>
                <w:spacing w:val="0"/>
                <w:position w:val="0"/>
                <w:sz w:val="24"/>
                <w:szCs w:val="24"/>
                <w:highlight w:val="none"/>
                <w:vertAlign w:val="superscript"/>
                <w:lang w:val="en-US" w:eastAsia="zh-CN"/>
              </w:rPr>
              <w:t>3</w:t>
            </w:r>
            <w:r>
              <w:rPr>
                <w:rFonts w:hint="default" w:ascii="Times New Roman" w:hAnsi="Times New Roman" w:cs="Times New Roman"/>
                <w:color w:val="auto"/>
                <w:spacing w:val="0"/>
                <w:position w:val="0"/>
                <w:sz w:val="24"/>
                <w:szCs w:val="24"/>
                <w:highlight w:val="none"/>
                <w:lang w:val="en-US" w:eastAsia="zh-CN"/>
              </w:rPr>
              <w:t>/d，</w:t>
            </w:r>
            <w:r>
              <w:rPr>
                <w:rFonts w:hint="eastAsia" w:cs="Times New Roman"/>
                <w:color w:val="auto"/>
                <w:spacing w:val="0"/>
                <w:position w:val="0"/>
                <w:sz w:val="24"/>
                <w:szCs w:val="24"/>
                <w:highlight w:val="none"/>
                <w:lang w:val="en-US" w:eastAsia="zh-CN"/>
              </w:rPr>
              <w:t>990</w:t>
            </w:r>
            <w:r>
              <w:rPr>
                <w:rFonts w:hint="default" w:ascii="Times New Roman" w:hAnsi="Times New Roman" w:cs="Times New Roman"/>
                <w:color w:val="auto"/>
                <w:spacing w:val="0"/>
                <w:position w:val="0"/>
                <w:sz w:val="24"/>
                <w:szCs w:val="24"/>
                <w:highlight w:val="none"/>
                <w:lang w:val="en-US" w:eastAsia="zh-CN"/>
              </w:rPr>
              <w:t>m</w:t>
            </w:r>
            <w:r>
              <w:rPr>
                <w:rFonts w:hint="default" w:ascii="Times New Roman" w:hAnsi="Times New Roman" w:cs="Times New Roman"/>
                <w:color w:val="auto"/>
                <w:spacing w:val="0"/>
                <w:position w:val="0"/>
                <w:sz w:val="24"/>
                <w:szCs w:val="24"/>
                <w:highlight w:val="none"/>
                <w:vertAlign w:val="superscript"/>
                <w:lang w:val="en-US" w:eastAsia="zh-CN"/>
              </w:rPr>
              <w:t>3</w:t>
            </w:r>
            <w:r>
              <w:rPr>
                <w:rFonts w:hint="default" w:ascii="Times New Roman" w:hAnsi="Times New Roman" w:cs="Times New Roman"/>
                <w:color w:val="auto"/>
                <w:spacing w:val="0"/>
                <w:position w:val="0"/>
                <w:sz w:val="24"/>
                <w:szCs w:val="24"/>
                <w:highlight w:val="none"/>
                <w:lang w:val="en-US" w:eastAsia="zh-CN"/>
              </w:rPr>
              <w:t>/a。</w:t>
            </w:r>
          </w:p>
          <w:p w14:paraId="2703AD4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textAlignment w:val="auto"/>
              <w:rPr>
                <w:rFonts w:hint="eastAsia" w:ascii="Times New Roman" w:hAnsi="Times New Roman" w:cs="Times New Roman" w:eastAsiaTheme="minorEastAsia"/>
                <w:b w:val="0"/>
                <w:bCs w:val="0"/>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由于车辆冲洗过程中会有一</w:t>
            </w:r>
            <w:r>
              <w:rPr>
                <w:rFonts w:hint="eastAsia"/>
                <w:lang w:val="en-US" w:eastAsia="zh-CN"/>
              </w:rPr>
              <w:t>定</w:t>
            </w:r>
            <w:r>
              <w:rPr>
                <w:rFonts w:hint="eastAsia" w:ascii="Times New Roman" w:hAnsi="Times New Roman" w:eastAsia="宋体" w:cs="Times New Roman"/>
                <w:color w:val="auto"/>
                <w:sz w:val="24"/>
                <w:szCs w:val="24"/>
                <w:highlight w:val="none"/>
                <w:lang w:val="en-US" w:eastAsia="zh-CN"/>
              </w:rPr>
              <w:t>损耗，损耗率按照20%计，</w:t>
            </w:r>
            <w:r>
              <w:rPr>
                <w:rFonts w:hint="default" w:ascii="Times New Roman" w:hAnsi="Times New Roman" w:eastAsia="宋体" w:cs="Times New Roman"/>
                <w:color w:val="auto"/>
                <w:sz w:val="24"/>
                <w:highlight w:val="none"/>
                <w:lang w:val="en-US" w:eastAsia="zh-CN"/>
              </w:rPr>
              <w:t>则车辆冲洗废水水量为</w:t>
            </w:r>
            <w:r>
              <w:rPr>
                <w:rFonts w:hint="eastAsia" w:cs="Times New Roman"/>
                <w:color w:val="auto"/>
                <w:sz w:val="24"/>
                <w:highlight w:val="none"/>
                <w:lang w:val="en-US" w:eastAsia="zh-CN"/>
              </w:rPr>
              <w:t>3.92</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w:t>
            </w:r>
            <w:r>
              <w:rPr>
                <w:rFonts w:hint="eastAsia" w:cs="Times New Roman"/>
                <w:color w:val="auto"/>
                <w:sz w:val="24"/>
                <w:highlight w:val="none"/>
                <w:lang w:val="en-US" w:eastAsia="zh-CN"/>
              </w:rPr>
              <w:t>784</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车辆冲洗废水经洗车平台沉淀池沉淀后</w:t>
            </w:r>
            <w:r>
              <w:rPr>
                <w:rFonts w:hint="eastAsia" w:ascii="Times New Roman" w:hAnsi="Times New Roman" w:eastAsia="宋体" w:cs="Times New Roman"/>
                <w:color w:val="auto"/>
                <w:sz w:val="24"/>
                <w:szCs w:val="24"/>
                <w:highlight w:val="none"/>
                <w:lang w:val="en-US" w:eastAsia="zh-CN"/>
              </w:rPr>
              <w:t>回用于洗车，不外排。则</w:t>
            </w:r>
            <w:r>
              <w:rPr>
                <w:rFonts w:hint="eastAsia" w:ascii="Times New Roman" w:hAnsi="Times New Roman" w:cs="Times New Roman"/>
                <w:color w:val="auto"/>
                <w:sz w:val="24"/>
                <w:szCs w:val="24"/>
                <w:highlight w:val="none"/>
                <w:lang w:val="en-US" w:eastAsia="zh-CN"/>
              </w:rPr>
              <w:t>洗车用水</w:t>
            </w:r>
            <w:r>
              <w:rPr>
                <w:rFonts w:hint="eastAsia" w:ascii="Times New Roman" w:hAnsi="Times New Roman" w:eastAsia="宋体" w:cs="Times New Roman"/>
                <w:color w:val="auto"/>
                <w:sz w:val="24"/>
                <w:szCs w:val="24"/>
                <w:highlight w:val="none"/>
                <w:lang w:val="en-US" w:eastAsia="zh-CN"/>
              </w:rPr>
              <w:t>补充新鲜水量为</w:t>
            </w:r>
            <w:r>
              <w:rPr>
                <w:rFonts w:hint="eastAsia" w:cs="Times New Roman"/>
                <w:color w:val="auto"/>
                <w:sz w:val="24"/>
                <w:szCs w:val="24"/>
                <w:highlight w:val="none"/>
                <w:lang w:val="en-US" w:eastAsia="zh-CN"/>
              </w:rPr>
              <w:t>0.98</w:t>
            </w:r>
            <w:r>
              <w:rPr>
                <w:rFonts w:hint="eastAsia" w:ascii="Times New Roman" w:hAnsi="Times New Roman" w:cs="Times New Roman" w:eastAsiaTheme="minorEastAsia"/>
                <w:b w:val="0"/>
                <w:bCs w:val="0"/>
                <w:color w:val="auto"/>
                <w:sz w:val="24"/>
                <w:szCs w:val="24"/>
                <w:highlight w:val="none"/>
                <w:lang w:eastAsia="zh-CN"/>
              </w:rPr>
              <w:t>m</w:t>
            </w:r>
            <w:r>
              <w:rPr>
                <w:rFonts w:hint="eastAsia" w:ascii="Times New Roman" w:hAnsi="Times New Roman" w:cs="Times New Roman" w:eastAsiaTheme="minorEastAsia"/>
                <w:b w:val="0"/>
                <w:bCs w:val="0"/>
                <w:color w:val="auto"/>
                <w:sz w:val="24"/>
                <w:szCs w:val="24"/>
                <w:highlight w:val="none"/>
                <w:vertAlign w:val="superscript"/>
                <w:lang w:val="en-US" w:eastAsia="zh-CN"/>
              </w:rPr>
              <w:t>3</w:t>
            </w:r>
            <w:r>
              <w:rPr>
                <w:rFonts w:hint="default" w:ascii="Times New Roman" w:hAnsi="Times New Roman" w:cs="Times New Roman" w:eastAsiaTheme="minorEastAsia"/>
                <w:b w:val="0"/>
                <w:bCs w:val="0"/>
                <w:color w:val="auto"/>
                <w:sz w:val="24"/>
                <w:szCs w:val="24"/>
                <w:highlight w:val="none"/>
              </w:rPr>
              <w:t>/a</w:t>
            </w:r>
            <w:r>
              <w:rPr>
                <w:rFonts w:hint="eastAsia" w:ascii="Times New Roman" w:hAnsi="Times New Roman" w:cs="Times New Roman" w:eastAsiaTheme="minorEastAsia"/>
                <w:b w:val="0"/>
                <w:bCs w:val="0"/>
                <w:color w:val="auto"/>
                <w:sz w:val="24"/>
                <w:szCs w:val="24"/>
                <w:highlight w:val="none"/>
                <w:lang w:eastAsia="zh-CN"/>
              </w:rPr>
              <w:t>（</w:t>
            </w:r>
            <w:r>
              <w:rPr>
                <w:rFonts w:hint="eastAsia" w:cs="Times New Roman" w:eastAsiaTheme="minorEastAsia"/>
                <w:b w:val="0"/>
                <w:bCs w:val="0"/>
                <w:color w:val="auto"/>
                <w:sz w:val="24"/>
                <w:szCs w:val="24"/>
                <w:highlight w:val="none"/>
                <w:lang w:val="en-US" w:eastAsia="zh-CN"/>
              </w:rPr>
              <w:t>196</w:t>
            </w:r>
            <w:r>
              <w:rPr>
                <w:rFonts w:hint="eastAsia" w:ascii="Times New Roman" w:hAnsi="Times New Roman" w:cs="Times New Roman" w:eastAsiaTheme="minorEastAsia"/>
                <w:b w:val="0"/>
                <w:bCs w:val="0"/>
                <w:color w:val="auto"/>
                <w:sz w:val="24"/>
                <w:szCs w:val="24"/>
                <w:highlight w:val="none"/>
                <w:lang w:eastAsia="zh-CN"/>
              </w:rPr>
              <w:t>m</w:t>
            </w:r>
            <w:r>
              <w:rPr>
                <w:rFonts w:hint="eastAsia" w:ascii="Times New Roman" w:hAnsi="Times New Roman" w:cs="Times New Roman" w:eastAsiaTheme="minorEastAsia"/>
                <w:b w:val="0"/>
                <w:bCs w:val="0"/>
                <w:color w:val="auto"/>
                <w:sz w:val="24"/>
                <w:szCs w:val="24"/>
                <w:highlight w:val="none"/>
                <w:vertAlign w:val="superscript"/>
                <w:lang w:val="en-US" w:eastAsia="zh-CN"/>
              </w:rPr>
              <w:t>3</w:t>
            </w:r>
            <w:r>
              <w:rPr>
                <w:rFonts w:hint="eastAsia" w:ascii="Times New Roman" w:hAnsi="Times New Roman" w:cs="Times New Roman" w:eastAsiaTheme="minorEastAsia"/>
                <w:b w:val="0"/>
                <w:bCs w:val="0"/>
                <w:color w:val="auto"/>
                <w:sz w:val="24"/>
                <w:szCs w:val="24"/>
                <w:highlight w:val="none"/>
                <w:lang w:eastAsia="zh-CN"/>
              </w:rPr>
              <w:t>/d）。</w:t>
            </w:r>
          </w:p>
          <w:p w14:paraId="5255E807">
            <w:pPr>
              <w:pStyle w:val="27"/>
              <w:keepNext w:val="0"/>
              <w:keepLines w:val="0"/>
              <w:pageBreakBefore w:val="0"/>
              <w:kinsoku/>
              <w:wordWrap/>
              <w:overflowPunct/>
              <w:topLinePunct w:val="0"/>
              <w:bidi w:val="0"/>
              <w:snapToGrid w:val="0"/>
              <w:spacing w:line="360" w:lineRule="auto"/>
              <w:ind w:right="0" w:firstLine="482" w:firstLineChars="200"/>
              <w:textAlignment w:val="auto"/>
              <w:rPr>
                <w:rFonts w:ascii="Times New Roman" w:hAnsi="Times New Roman" w:cs="Times New Roman" w:eastAsiaTheme="minorEastAsia"/>
                <w:b/>
                <w:bCs w:val="0"/>
                <w:color w:val="auto"/>
                <w:sz w:val="24"/>
                <w:highlight w:val="none"/>
                <w:lang w:val="en-US"/>
              </w:rPr>
            </w:pPr>
            <w:r>
              <w:rPr>
                <w:rFonts w:hint="eastAsia" w:ascii="Times New Roman" w:hAnsi="Times New Roman" w:cs="Times New Roman" w:eastAsiaTheme="minorEastAsia"/>
                <w:b/>
                <w:bCs w:val="0"/>
                <w:color w:val="auto"/>
                <w:sz w:val="24"/>
                <w:highlight w:val="none"/>
                <w:lang w:val="en-US" w:eastAsia="zh-CN"/>
              </w:rPr>
              <w:t>2.7.2排水</w:t>
            </w:r>
          </w:p>
          <w:p w14:paraId="4EF0DB0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车辆冲洗废水经洗车平台沉淀池沉淀后</w:t>
            </w:r>
            <w:r>
              <w:rPr>
                <w:rFonts w:hint="eastAsia" w:ascii="Times New Roman" w:hAnsi="Times New Roman" w:eastAsia="宋体" w:cs="Times New Roman"/>
                <w:color w:val="auto"/>
                <w:sz w:val="24"/>
                <w:szCs w:val="24"/>
                <w:highlight w:val="none"/>
                <w:lang w:val="en-US" w:eastAsia="zh-CN"/>
              </w:rPr>
              <w:t>回用于洗车，不外排。</w:t>
            </w:r>
          </w:p>
          <w:p w14:paraId="27A53A05">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480" w:firstLineChars="200"/>
              <w:textAlignment w:val="auto"/>
              <w:rPr>
                <w:rFonts w:ascii="Times New Roman" w:hAnsi="Times New Roman" w:cs="Times New Roman" w:eastAsiaTheme="minorEastAsia"/>
                <w:b w:val="0"/>
                <w:bCs/>
                <w:color w:val="auto"/>
                <w:sz w:val="24"/>
                <w:highlight w:val="none"/>
                <w:lang w:val="en-US"/>
              </w:rPr>
            </w:pPr>
            <w:r>
              <w:rPr>
                <w:rFonts w:ascii="Times New Roman" w:hAnsi="Times New Roman" w:cs="Times New Roman" w:eastAsiaTheme="minorEastAsia"/>
                <w:b w:val="0"/>
                <w:bCs/>
                <w:color w:val="auto"/>
                <w:sz w:val="24"/>
                <w:highlight w:val="none"/>
                <w:lang w:val="en-US"/>
              </w:rPr>
              <w:t>项目给排水情况见表2-</w:t>
            </w:r>
            <w:r>
              <w:rPr>
                <w:rFonts w:hint="eastAsia" w:ascii="Times New Roman" w:hAnsi="Times New Roman" w:cs="Times New Roman" w:eastAsiaTheme="minorEastAsia"/>
                <w:b w:val="0"/>
                <w:bCs/>
                <w:color w:val="auto"/>
                <w:sz w:val="24"/>
                <w:highlight w:val="none"/>
                <w:lang w:val="en-US" w:eastAsia="zh-CN"/>
              </w:rPr>
              <w:t>12</w:t>
            </w:r>
            <w:r>
              <w:rPr>
                <w:rFonts w:ascii="Times New Roman" w:hAnsi="Times New Roman" w:cs="Times New Roman" w:eastAsiaTheme="minorEastAsia"/>
                <w:b w:val="0"/>
                <w:bCs/>
                <w:color w:val="auto"/>
                <w:sz w:val="24"/>
                <w:highlight w:val="none"/>
                <w:lang w:val="en-US"/>
              </w:rPr>
              <w:t>。</w:t>
            </w:r>
          </w:p>
          <w:p w14:paraId="24606596">
            <w:pPr>
              <w:pStyle w:val="27"/>
              <w:spacing w:line="240" w:lineRule="auto"/>
              <w:ind w:right="86" w:firstLine="422" w:firstLineChars="200"/>
              <w:jc w:val="center"/>
              <w:rPr>
                <w:rFonts w:ascii="Times New Roman" w:hAnsi="Times New Roman" w:cs="Times New Roman" w:eastAsiaTheme="minorEastAsia"/>
                <w:b/>
                <w:bCs w:val="0"/>
                <w:color w:val="auto"/>
                <w:sz w:val="21"/>
                <w:szCs w:val="21"/>
                <w:highlight w:val="none"/>
                <w:lang w:val="en-US"/>
              </w:rPr>
            </w:pPr>
            <w:r>
              <w:rPr>
                <w:rFonts w:ascii="Times New Roman" w:hAnsi="Times New Roman" w:cs="Times New Roman" w:eastAsiaTheme="minorEastAsia"/>
                <w:b/>
                <w:bCs w:val="0"/>
                <w:color w:val="auto"/>
                <w:sz w:val="21"/>
                <w:szCs w:val="21"/>
                <w:highlight w:val="none"/>
                <w:lang w:val="en-US"/>
              </w:rPr>
              <w:t>表2-</w:t>
            </w:r>
            <w:r>
              <w:rPr>
                <w:rFonts w:hint="eastAsia" w:ascii="Times New Roman" w:hAnsi="Times New Roman" w:cs="Times New Roman" w:eastAsiaTheme="minorEastAsia"/>
                <w:b/>
                <w:bCs w:val="0"/>
                <w:color w:val="auto"/>
                <w:sz w:val="21"/>
                <w:szCs w:val="21"/>
                <w:highlight w:val="none"/>
                <w:lang w:val="en-US" w:eastAsia="zh-CN"/>
              </w:rPr>
              <w:t>12</w:t>
            </w:r>
            <w:r>
              <w:rPr>
                <w:rFonts w:ascii="Times New Roman" w:hAnsi="Times New Roman" w:cs="Times New Roman" w:eastAsiaTheme="minorEastAsia"/>
                <w:b/>
                <w:bCs w:val="0"/>
                <w:color w:val="auto"/>
                <w:sz w:val="21"/>
                <w:szCs w:val="21"/>
                <w:highlight w:val="none"/>
                <w:lang w:val="en-US"/>
              </w:rPr>
              <w:t xml:space="preserve">  项目给排水情况</w:t>
            </w:r>
          </w:p>
          <w:tbl>
            <w:tblPr>
              <w:tblStyle w:val="20"/>
              <w:tblW w:w="80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3"/>
              <w:gridCol w:w="898"/>
              <w:gridCol w:w="727"/>
              <w:gridCol w:w="680"/>
              <w:gridCol w:w="646"/>
              <w:gridCol w:w="658"/>
              <w:gridCol w:w="669"/>
              <w:gridCol w:w="623"/>
              <w:gridCol w:w="647"/>
              <w:gridCol w:w="669"/>
              <w:gridCol w:w="877"/>
            </w:tblGrid>
            <w:tr w14:paraId="2796FD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913" w:type="dxa"/>
                  <w:vMerge w:val="restart"/>
                  <w:tcBorders>
                    <w:tl2br w:val="nil"/>
                    <w:tr2bl w:val="nil"/>
                  </w:tcBorders>
                  <w:noWrap w:val="0"/>
                  <w:vAlign w:val="center"/>
                </w:tcPr>
                <w:p w14:paraId="1026C939">
                  <w:pPr>
                    <w:pStyle w:val="24"/>
                    <w:jc w:val="center"/>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cs="Times New Roman"/>
                      <w:b/>
                      <w:bCs/>
                      <w:color w:val="auto"/>
                      <w:sz w:val="21"/>
                      <w:szCs w:val="21"/>
                      <w:highlight w:val="none"/>
                      <w:vertAlign w:val="baseline"/>
                      <w:lang w:eastAsia="zh-CN"/>
                    </w:rPr>
                    <w:t>用水单元</w:t>
                  </w:r>
                </w:p>
              </w:tc>
              <w:tc>
                <w:tcPr>
                  <w:tcW w:w="898" w:type="dxa"/>
                  <w:vMerge w:val="restart"/>
                  <w:tcBorders>
                    <w:tl2br w:val="nil"/>
                    <w:tr2bl w:val="nil"/>
                  </w:tcBorders>
                  <w:noWrap w:val="0"/>
                  <w:vAlign w:val="center"/>
                </w:tcPr>
                <w:p w14:paraId="79E465A3">
                  <w:pPr>
                    <w:pStyle w:val="24"/>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用水量标准</w:t>
                  </w:r>
                </w:p>
              </w:tc>
              <w:tc>
                <w:tcPr>
                  <w:tcW w:w="1407" w:type="dxa"/>
                  <w:gridSpan w:val="2"/>
                  <w:tcBorders>
                    <w:tl2br w:val="nil"/>
                    <w:tr2bl w:val="nil"/>
                  </w:tcBorders>
                  <w:noWrap w:val="0"/>
                  <w:vAlign w:val="center"/>
                </w:tcPr>
                <w:p w14:paraId="3A6C1A62">
                  <w:pPr>
                    <w:pStyle w:val="24"/>
                    <w:jc w:val="center"/>
                    <w:rPr>
                      <w:rFonts w:hint="default" w:ascii="Times New Roman" w:hAnsi="Times New Roman" w:cs="Times New Roman"/>
                      <w:b/>
                      <w:bCs/>
                      <w:color w:val="auto"/>
                      <w:sz w:val="21"/>
                      <w:szCs w:val="21"/>
                      <w:highlight w:val="none"/>
                      <w:vertAlign w:val="baseline"/>
                    </w:rPr>
                  </w:pPr>
                  <w:r>
                    <w:rPr>
                      <w:rFonts w:hint="eastAsia" w:cs="Times New Roman"/>
                      <w:b/>
                      <w:bCs/>
                      <w:color w:val="auto"/>
                      <w:sz w:val="21"/>
                      <w:szCs w:val="21"/>
                      <w:highlight w:val="none"/>
                      <w:vertAlign w:val="baseline"/>
                      <w:lang w:val="en-US" w:eastAsia="zh-CN"/>
                    </w:rPr>
                    <w:t>新鲜</w:t>
                  </w:r>
                  <w:r>
                    <w:rPr>
                      <w:rFonts w:hint="default" w:ascii="Times New Roman" w:hAnsi="Times New Roman" w:cs="Times New Roman"/>
                      <w:b/>
                      <w:bCs/>
                      <w:color w:val="auto"/>
                      <w:sz w:val="21"/>
                      <w:szCs w:val="21"/>
                      <w:highlight w:val="none"/>
                      <w:vertAlign w:val="baseline"/>
                      <w:lang w:eastAsia="zh-CN"/>
                    </w:rPr>
                    <w:t>用水量</w:t>
                  </w:r>
                </w:p>
              </w:tc>
              <w:tc>
                <w:tcPr>
                  <w:tcW w:w="1304" w:type="dxa"/>
                  <w:gridSpan w:val="2"/>
                  <w:tcBorders>
                    <w:tl2br w:val="nil"/>
                    <w:tr2bl w:val="nil"/>
                  </w:tcBorders>
                  <w:noWrap w:val="0"/>
                  <w:vAlign w:val="center"/>
                </w:tcPr>
                <w:p w14:paraId="06E1C344">
                  <w:pPr>
                    <w:pStyle w:val="24"/>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回用水量</w:t>
                  </w:r>
                </w:p>
              </w:tc>
              <w:tc>
                <w:tcPr>
                  <w:tcW w:w="1292" w:type="dxa"/>
                  <w:gridSpan w:val="2"/>
                  <w:tcBorders>
                    <w:tl2br w:val="nil"/>
                    <w:tr2bl w:val="nil"/>
                  </w:tcBorders>
                  <w:noWrap w:val="0"/>
                  <w:vAlign w:val="center"/>
                </w:tcPr>
                <w:p w14:paraId="2E3E2685">
                  <w:pPr>
                    <w:pStyle w:val="24"/>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损耗量</w:t>
                  </w:r>
                </w:p>
              </w:tc>
              <w:tc>
                <w:tcPr>
                  <w:tcW w:w="1316" w:type="dxa"/>
                  <w:gridSpan w:val="2"/>
                  <w:tcBorders>
                    <w:tl2br w:val="nil"/>
                    <w:tr2bl w:val="nil"/>
                  </w:tcBorders>
                  <w:noWrap w:val="0"/>
                  <w:vAlign w:val="center"/>
                </w:tcPr>
                <w:p w14:paraId="77A631EE">
                  <w:pPr>
                    <w:pStyle w:val="24"/>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排放量</w:t>
                  </w:r>
                </w:p>
              </w:tc>
              <w:tc>
                <w:tcPr>
                  <w:tcW w:w="877" w:type="dxa"/>
                  <w:vMerge w:val="restart"/>
                  <w:tcBorders>
                    <w:tl2br w:val="nil"/>
                    <w:tr2bl w:val="nil"/>
                  </w:tcBorders>
                  <w:noWrap w:val="0"/>
                  <w:vAlign w:val="center"/>
                </w:tcPr>
                <w:p w14:paraId="2D50C0A9">
                  <w:pPr>
                    <w:pStyle w:val="24"/>
                    <w:jc w:val="center"/>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排水</w:t>
                  </w:r>
                </w:p>
                <w:p w14:paraId="3ACA96A7">
                  <w:pPr>
                    <w:pStyle w:val="24"/>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去向</w:t>
                  </w:r>
                </w:p>
              </w:tc>
            </w:tr>
            <w:tr w14:paraId="18345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913" w:type="dxa"/>
                  <w:vMerge w:val="continue"/>
                  <w:tcBorders>
                    <w:tl2br w:val="nil"/>
                    <w:tr2bl w:val="nil"/>
                  </w:tcBorders>
                  <w:noWrap w:val="0"/>
                  <w:vAlign w:val="center"/>
                </w:tcPr>
                <w:p w14:paraId="6238E01F">
                  <w:pPr>
                    <w:pStyle w:val="24"/>
                    <w:jc w:val="center"/>
                    <w:rPr>
                      <w:rFonts w:hint="default" w:ascii="Times New Roman" w:hAnsi="Times New Roman" w:cs="Times New Roman"/>
                      <w:color w:val="auto"/>
                      <w:sz w:val="21"/>
                      <w:szCs w:val="21"/>
                      <w:highlight w:val="none"/>
                      <w:vertAlign w:val="baseline"/>
                    </w:rPr>
                  </w:pPr>
                </w:p>
              </w:tc>
              <w:tc>
                <w:tcPr>
                  <w:tcW w:w="898" w:type="dxa"/>
                  <w:vMerge w:val="continue"/>
                  <w:tcBorders>
                    <w:tl2br w:val="nil"/>
                    <w:tr2bl w:val="nil"/>
                  </w:tcBorders>
                  <w:noWrap w:val="0"/>
                  <w:vAlign w:val="center"/>
                </w:tcPr>
                <w:p w14:paraId="4D8D1B4F">
                  <w:pPr>
                    <w:pStyle w:val="24"/>
                    <w:jc w:val="center"/>
                    <w:rPr>
                      <w:rFonts w:hint="default" w:ascii="Times New Roman" w:hAnsi="Times New Roman" w:cs="Times New Roman"/>
                      <w:color w:val="auto"/>
                      <w:sz w:val="21"/>
                      <w:szCs w:val="21"/>
                      <w:highlight w:val="none"/>
                      <w:vertAlign w:val="baseline"/>
                    </w:rPr>
                  </w:pPr>
                </w:p>
              </w:tc>
              <w:tc>
                <w:tcPr>
                  <w:tcW w:w="727" w:type="dxa"/>
                  <w:tcBorders>
                    <w:tl2br w:val="nil"/>
                    <w:tr2bl w:val="nil"/>
                  </w:tcBorders>
                  <w:noWrap w:val="0"/>
                  <w:vAlign w:val="center"/>
                </w:tcPr>
                <w:p w14:paraId="286C4A42">
                  <w:pPr>
                    <w:pStyle w:val="24"/>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m</w:t>
                  </w:r>
                  <w:r>
                    <w:rPr>
                      <w:rFonts w:hint="default" w:ascii="Times New Roman" w:hAnsi="Times New Roman" w:cs="Times New Roman"/>
                      <w:b/>
                      <w:bCs/>
                      <w:color w:val="auto"/>
                      <w:sz w:val="21"/>
                      <w:szCs w:val="21"/>
                      <w:highlight w:val="none"/>
                      <w:vertAlign w:val="superscript"/>
                      <w:lang w:val="en-US" w:eastAsia="zh-CN"/>
                    </w:rPr>
                    <w:t>3</w:t>
                  </w:r>
                  <w:r>
                    <w:rPr>
                      <w:rFonts w:hint="default" w:ascii="Times New Roman" w:hAnsi="Times New Roman" w:cs="Times New Roman"/>
                      <w:b/>
                      <w:bCs/>
                      <w:color w:val="auto"/>
                      <w:sz w:val="21"/>
                      <w:szCs w:val="21"/>
                      <w:highlight w:val="none"/>
                      <w:vertAlign w:val="baseline"/>
                      <w:lang w:val="en-US" w:eastAsia="zh-CN"/>
                    </w:rPr>
                    <w:t>/d</w:t>
                  </w:r>
                </w:p>
              </w:tc>
              <w:tc>
                <w:tcPr>
                  <w:tcW w:w="680" w:type="dxa"/>
                  <w:tcBorders>
                    <w:tl2br w:val="nil"/>
                    <w:tr2bl w:val="nil"/>
                  </w:tcBorders>
                  <w:noWrap w:val="0"/>
                  <w:vAlign w:val="center"/>
                </w:tcPr>
                <w:p w14:paraId="1A70D55E">
                  <w:pPr>
                    <w:pStyle w:val="24"/>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m</w:t>
                  </w:r>
                  <w:r>
                    <w:rPr>
                      <w:rFonts w:hint="default" w:ascii="Times New Roman" w:hAnsi="Times New Roman" w:cs="Times New Roman"/>
                      <w:b/>
                      <w:bCs/>
                      <w:color w:val="auto"/>
                      <w:sz w:val="21"/>
                      <w:szCs w:val="21"/>
                      <w:highlight w:val="none"/>
                      <w:vertAlign w:val="superscript"/>
                      <w:lang w:val="en-US" w:eastAsia="zh-CN"/>
                    </w:rPr>
                    <w:t>3</w:t>
                  </w:r>
                  <w:r>
                    <w:rPr>
                      <w:rFonts w:hint="default" w:ascii="Times New Roman" w:hAnsi="Times New Roman" w:cs="Times New Roman"/>
                      <w:b/>
                      <w:bCs/>
                      <w:color w:val="auto"/>
                      <w:sz w:val="21"/>
                      <w:szCs w:val="21"/>
                      <w:highlight w:val="none"/>
                      <w:vertAlign w:val="baseline"/>
                      <w:lang w:val="en-US" w:eastAsia="zh-CN"/>
                    </w:rPr>
                    <w:t>/a</w:t>
                  </w:r>
                </w:p>
              </w:tc>
              <w:tc>
                <w:tcPr>
                  <w:tcW w:w="646" w:type="dxa"/>
                  <w:tcBorders>
                    <w:tl2br w:val="nil"/>
                    <w:tr2bl w:val="nil"/>
                  </w:tcBorders>
                  <w:noWrap w:val="0"/>
                  <w:vAlign w:val="center"/>
                </w:tcPr>
                <w:p w14:paraId="705F0458">
                  <w:pPr>
                    <w:pStyle w:val="24"/>
                    <w:ind w:firstLine="0" w:firstLineChars="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cs="Times New Roman"/>
                      <w:b/>
                      <w:bCs/>
                      <w:color w:val="auto"/>
                      <w:sz w:val="21"/>
                      <w:szCs w:val="21"/>
                      <w:highlight w:val="none"/>
                      <w:vertAlign w:val="baseline"/>
                      <w:lang w:val="en-US" w:eastAsia="zh-CN"/>
                    </w:rPr>
                    <w:t>m</w:t>
                  </w:r>
                  <w:r>
                    <w:rPr>
                      <w:rFonts w:hint="default" w:ascii="Times New Roman" w:hAnsi="Times New Roman" w:cs="Times New Roman"/>
                      <w:b/>
                      <w:bCs/>
                      <w:color w:val="auto"/>
                      <w:sz w:val="21"/>
                      <w:szCs w:val="21"/>
                      <w:highlight w:val="none"/>
                      <w:vertAlign w:val="superscript"/>
                      <w:lang w:val="en-US" w:eastAsia="zh-CN"/>
                    </w:rPr>
                    <w:t>3</w:t>
                  </w:r>
                  <w:r>
                    <w:rPr>
                      <w:rFonts w:hint="default" w:ascii="Times New Roman" w:hAnsi="Times New Roman" w:cs="Times New Roman"/>
                      <w:b/>
                      <w:bCs/>
                      <w:color w:val="auto"/>
                      <w:sz w:val="21"/>
                      <w:szCs w:val="21"/>
                      <w:highlight w:val="none"/>
                      <w:vertAlign w:val="baseline"/>
                      <w:lang w:val="en-US" w:eastAsia="zh-CN"/>
                    </w:rPr>
                    <w:t>/d</w:t>
                  </w:r>
                </w:p>
              </w:tc>
              <w:tc>
                <w:tcPr>
                  <w:tcW w:w="658" w:type="dxa"/>
                  <w:tcBorders>
                    <w:tl2br w:val="nil"/>
                    <w:tr2bl w:val="nil"/>
                  </w:tcBorders>
                  <w:noWrap w:val="0"/>
                  <w:vAlign w:val="center"/>
                </w:tcPr>
                <w:p w14:paraId="4C419DAB">
                  <w:pPr>
                    <w:pStyle w:val="24"/>
                    <w:ind w:firstLine="0" w:firstLineChars="0"/>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m</w:t>
                  </w:r>
                  <w:r>
                    <w:rPr>
                      <w:rFonts w:hint="default" w:ascii="Times New Roman" w:hAnsi="Times New Roman" w:cs="Times New Roman"/>
                      <w:b/>
                      <w:bCs/>
                      <w:color w:val="auto"/>
                      <w:sz w:val="21"/>
                      <w:szCs w:val="21"/>
                      <w:highlight w:val="none"/>
                      <w:vertAlign w:val="superscript"/>
                      <w:lang w:val="en-US" w:eastAsia="zh-CN"/>
                    </w:rPr>
                    <w:t>3</w:t>
                  </w:r>
                  <w:r>
                    <w:rPr>
                      <w:rFonts w:hint="default" w:ascii="Times New Roman" w:hAnsi="Times New Roman" w:cs="Times New Roman"/>
                      <w:b/>
                      <w:bCs/>
                      <w:color w:val="auto"/>
                      <w:sz w:val="21"/>
                      <w:szCs w:val="21"/>
                      <w:highlight w:val="none"/>
                      <w:vertAlign w:val="baseline"/>
                      <w:lang w:val="en-US" w:eastAsia="zh-CN"/>
                    </w:rPr>
                    <w:t>/a</w:t>
                  </w:r>
                </w:p>
              </w:tc>
              <w:tc>
                <w:tcPr>
                  <w:tcW w:w="669" w:type="dxa"/>
                  <w:tcBorders>
                    <w:tl2br w:val="nil"/>
                    <w:tr2bl w:val="nil"/>
                  </w:tcBorders>
                  <w:shd w:val="clear" w:color="auto" w:fill="auto"/>
                  <w:noWrap w:val="0"/>
                  <w:vAlign w:val="center"/>
                </w:tcPr>
                <w:p w14:paraId="1F7BEC99">
                  <w:pPr>
                    <w:pStyle w:val="24"/>
                    <w:ind w:firstLine="0" w:firstLineChars="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cs="Times New Roman"/>
                      <w:b/>
                      <w:bCs/>
                      <w:color w:val="auto"/>
                      <w:sz w:val="21"/>
                      <w:szCs w:val="21"/>
                      <w:highlight w:val="none"/>
                      <w:vertAlign w:val="baseline"/>
                      <w:lang w:val="en-US" w:eastAsia="zh-CN"/>
                    </w:rPr>
                    <w:t>m</w:t>
                  </w:r>
                  <w:r>
                    <w:rPr>
                      <w:rFonts w:hint="default" w:ascii="Times New Roman" w:hAnsi="Times New Roman" w:cs="Times New Roman"/>
                      <w:b/>
                      <w:bCs/>
                      <w:color w:val="auto"/>
                      <w:sz w:val="21"/>
                      <w:szCs w:val="21"/>
                      <w:highlight w:val="none"/>
                      <w:vertAlign w:val="superscript"/>
                      <w:lang w:val="en-US" w:eastAsia="zh-CN"/>
                    </w:rPr>
                    <w:t>3</w:t>
                  </w:r>
                  <w:r>
                    <w:rPr>
                      <w:rFonts w:hint="default" w:ascii="Times New Roman" w:hAnsi="Times New Roman" w:cs="Times New Roman"/>
                      <w:b/>
                      <w:bCs/>
                      <w:color w:val="auto"/>
                      <w:sz w:val="21"/>
                      <w:szCs w:val="21"/>
                      <w:highlight w:val="none"/>
                      <w:vertAlign w:val="baseline"/>
                      <w:lang w:val="en-US" w:eastAsia="zh-CN"/>
                    </w:rPr>
                    <w:t>/d</w:t>
                  </w:r>
                </w:p>
              </w:tc>
              <w:tc>
                <w:tcPr>
                  <w:tcW w:w="623" w:type="dxa"/>
                  <w:tcBorders>
                    <w:tl2br w:val="nil"/>
                    <w:tr2bl w:val="nil"/>
                  </w:tcBorders>
                  <w:noWrap w:val="0"/>
                  <w:vAlign w:val="center"/>
                </w:tcPr>
                <w:p w14:paraId="1783ABB6">
                  <w:pPr>
                    <w:pStyle w:val="24"/>
                    <w:ind w:firstLine="0" w:firstLineChars="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cs="Times New Roman"/>
                      <w:b/>
                      <w:bCs/>
                      <w:color w:val="auto"/>
                      <w:sz w:val="21"/>
                      <w:szCs w:val="21"/>
                      <w:highlight w:val="none"/>
                      <w:vertAlign w:val="baseline"/>
                      <w:lang w:val="en-US" w:eastAsia="zh-CN"/>
                    </w:rPr>
                    <w:t>m</w:t>
                  </w:r>
                  <w:r>
                    <w:rPr>
                      <w:rFonts w:hint="default" w:ascii="Times New Roman" w:hAnsi="Times New Roman" w:cs="Times New Roman"/>
                      <w:b/>
                      <w:bCs/>
                      <w:color w:val="auto"/>
                      <w:sz w:val="21"/>
                      <w:szCs w:val="21"/>
                      <w:highlight w:val="none"/>
                      <w:vertAlign w:val="superscript"/>
                      <w:lang w:val="en-US" w:eastAsia="zh-CN"/>
                    </w:rPr>
                    <w:t>3</w:t>
                  </w:r>
                  <w:r>
                    <w:rPr>
                      <w:rFonts w:hint="default" w:ascii="Times New Roman" w:hAnsi="Times New Roman" w:cs="Times New Roman"/>
                      <w:b/>
                      <w:bCs/>
                      <w:color w:val="auto"/>
                      <w:sz w:val="21"/>
                      <w:szCs w:val="21"/>
                      <w:highlight w:val="none"/>
                      <w:vertAlign w:val="baseline"/>
                      <w:lang w:val="en-US" w:eastAsia="zh-CN"/>
                    </w:rPr>
                    <w:t>/a</w:t>
                  </w:r>
                </w:p>
              </w:tc>
              <w:tc>
                <w:tcPr>
                  <w:tcW w:w="647" w:type="dxa"/>
                  <w:tcBorders>
                    <w:tl2br w:val="nil"/>
                    <w:tr2bl w:val="nil"/>
                  </w:tcBorders>
                  <w:shd w:val="clear" w:color="auto" w:fill="auto"/>
                  <w:noWrap w:val="0"/>
                  <w:vAlign w:val="center"/>
                </w:tcPr>
                <w:p w14:paraId="0FF8D267">
                  <w:pPr>
                    <w:pStyle w:val="24"/>
                    <w:ind w:firstLine="0" w:firstLineChars="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cs="Times New Roman"/>
                      <w:b/>
                      <w:bCs/>
                      <w:color w:val="auto"/>
                      <w:sz w:val="21"/>
                      <w:szCs w:val="21"/>
                      <w:highlight w:val="none"/>
                      <w:vertAlign w:val="baseline"/>
                      <w:lang w:val="en-US" w:eastAsia="zh-CN"/>
                    </w:rPr>
                    <w:t>m</w:t>
                  </w:r>
                  <w:r>
                    <w:rPr>
                      <w:rFonts w:hint="default" w:ascii="Times New Roman" w:hAnsi="Times New Roman" w:cs="Times New Roman"/>
                      <w:b/>
                      <w:bCs/>
                      <w:color w:val="auto"/>
                      <w:sz w:val="21"/>
                      <w:szCs w:val="21"/>
                      <w:highlight w:val="none"/>
                      <w:vertAlign w:val="superscript"/>
                      <w:lang w:val="en-US" w:eastAsia="zh-CN"/>
                    </w:rPr>
                    <w:t>3</w:t>
                  </w:r>
                  <w:r>
                    <w:rPr>
                      <w:rFonts w:hint="default" w:ascii="Times New Roman" w:hAnsi="Times New Roman" w:cs="Times New Roman"/>
                      <w:b/>
                      <w:bCs/>
                      <w:color w:val="auto"/>
                      <w:sz w:val="21"/>
                      <w:szCs w:val="21"/>
                      <w:highlight w:val="none"/>
                      <w:vertAlign w:val="baseline"/>
                      <w:lang w:val="en-US" w:eastAsia="zh-CN"/>
                    </w:rPr>
                    <w:t>/d</w:t>
                  </w:r>
                </w:p>
              </w:tc>
              <w:tc>
                <w:tcPr>
                  <w:tcW w:w="669" w:type="dxa"/>
                  <w:tcBorders>
                    <w:tl2br w:val="nil"/>
                    <w:tr2bl w:val="nil"/>
                  </w:tcBorders>
                  <w:shd w:val="clear" w:color="auto" w:fill="auto"/>
                  <w:noWrap w:val="0"/>
                  <w:vAlign w:val="center"/>
                </w:tcPr>
                <w:p w14:paraId="459EACFB">
                  <w:pPr>
                    <w:pStyle w:val="24"/>
                    <w:ind w:firstLine="0" w:firstLineChars="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cs="Times New Roman"/>
                      <w:b/>
                      <w:bCs/>
                      <w:color w:val="auto"/>
                      <w:sz w:val="21"/>
                      <w:szCs w:val="21"/>
                      <w:highlight w:val="none"/>
                      <w:vertAlign w:val="baseline"/>
                      <w:lang w:val="en-US" w:eastAsia="zh-CN"/>
                    </w:rPr>
                    <w:t>m</w:t>
                  </w:r>
                  <w:r>
                    <w:rPr>
                      <w:rFonts w:hint="default" w:ascii="Times New Roman" w:hAnsi="Times New Roman" w:cs="Times New Roman"/>
                      <w:b/>
                      <w:bCs/>
                      <w:color w:val="auto"/>
                      <w:sz w:val="21"/>
                      <w:szCs w:val="21"/>
                      <w:highlight w:val="none"/>
                      <w:vertAlign w:val="superscript"/>
                      <w:lang w:val="en-US" w:eastAsia="zh-CN"/>
                    </w:rPr>
                    <w:t>3</w:t>
                  </w:r>
                  <w:r>
                    <w:rPr>
                      <w:rFonts w:hint="default" w:ascii="Times New Roman" w:hAnsi="Times New Roman" w:cs="Times New Roman"/>
                      <w:b/>
                      <w:bCs/>
                      <w:color w:val="auto"/>
                      <w:sz w:val="21"/>
                      <w:szCs w:val="21"/>
                      <w:highlight w:val="none"/>
                      <w:vertAlign w:val="baseline"/>
                      <w:lang w:val="en-US" w:eastAsia="zh-CN"/>
                    </w:rPr>
                    <w:t>/a</w:t>
                  </w:r>
                </w:p>
              </w:tc>
              <w:tc>
                <w:tcPr>
                  <w:tcW w:w="877" w:type="dxa"/>
                  <w:vMerge w:val="continue"/>
                  <w:tcBorders>
                    <w:tl2br w:val="nil"/>
                    <w:tr2bl w:val="nil"/>
                  </w:tcBorders>
                  <w:noWrap w:val="0"/>
                  <w:vAlign w:val="center"/>
                </w:tcPr>
                <w:p w14:paraId="5BDD77CB">
                  <w:pPr>
                    <w:pStyle w:val="24"/>
                    <w:jc w:val="center"/>
                    <w:rPr>
                      <w:rFonts w:hint="default" w:ascii="Times New Roman" w:hAnsi="Times New Roman" w:cs="Times New Roman"/>
                      <w:color w:val="auto"/>
                      <w:sz w:val="21"/>
                      <w:szCs w:val="21"/>
                      <w:highlight w:val="none"/>
                      <w:vertAlign w:val="baseline"/>
                    </w:rPr>
                  </w:pPr>
                </w:p>
              </w:tc>
            </w:tr>
            <w:tr w14:paraId="2268D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3" w:type="dxa"/>
                  <w:tcBorders>
                    <w:tl2br w:val="nil"/>
                    <w:tr2bl w:val="nil"/>
                  </w:tcBorders>
                  <w:noWrap w:val="0"/>
                  <w:vAlign w:val="center"/>
                </w:tcPr>
                <w:p w14:paraId="301DE3B4">
                  <w:pPr>
                    <w:pStyle w:val="24"/>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车辆冲洗用水</w:t>
                  </w:r>
                </w:p>
              </w:tc>
              <w:tc>
                <w:tcPr>
                  <w:tcW w:w="898" w:type="dxa"/>
                  <w:tcBorders>
                    <w:tl2br w:val="nil"/>
                    <w:tr2bl w:val="nil"/>
                  </w:tcBorders>
                  <w:noWrap w:val="0"/>
                  <w:vAlign w:val="center"/>
                </w:tcPr>
                <w:p w14:paraId="1485A85A">
                  <w:pPr>
                    <w:pStyle w:val="24"/>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pacing w:val="3"/>
                      <w:sz w:val="21"/>
                      <w:szCs w:val="21"/>
                      <w:highlight w:val="none"/>
                      <w:lang w:val="en-US" w:eastAsia="zh-CN"/>
                    </w:rPr>
                    <w:t>55</w:t>
                  </w:r>
                  <w:r>
                    <w:rPr>
                      <w:rFonts w:hint="eastAsia" w:ascii="Times New Roman" w:hAnsi="Times New Roman" w:eastAsia="宋体" w:cs="Times New Roman"/>
                      <w:color w:val="auto"/>
                      <w:spacing w:val="3"/>
                      <w:sz w:val="21"/>
                      <w:szCs w:val="21"/>
                      <w:highlight w:val="none"/>
                      <w:lang w:val="en-US" w:eastAsia="zh-CN"/>
                    </w:rPr>
                    <w:t>L/辆•次</w:t>
                  </w:r>
                </w:p>
              </w:tc>
              <w:tc>
                <w:tcPr>
                  <w:tcW w:w="727" w:type="dxa"/>
                  <w:tcBorders>
                    <w:tl2br w:val="nil"/>
                    <w:tr2bl w:val="nil"/>
                  </w:tcBorders>
                  <w:noWrap w:val="0"/>
                  <w:vAlign w:val="center"/>
                </w:tcPr>
                <w:p w14:paraId="4EF394E0">
                  <w:pPr>
                    <w:pStyle w:val="24"/>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0.98</w:t>
                  </w:r>
                </w:p>
              </w:tc>
              <w:tc>
                <w:tcPr>
                  <w:tcW w:w="680" w:type="dxa"/>
                  <w:tcBorders>
                    <w:tl2br w:val="nil"/>
                    <w:tr2bl w:val="nil"/>
                  </w:tcBorders>
                  <w:noWrap w:val="0"/>
                  <w:vAlign w:val="center"/>
                </w:tcPr>
                <w:p w14:paraId="140E0B63">
                  <w:pPr>
                    <w:pStyle w:val="24"/>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196</w:t>
                  </w:r>
                </w:p>
              </w:tc>
              <w:tc>
                <w:tcPr>
                  <w:tcW w:w="646" w:type="dxa"/>
                  <w:tcBorders>
                    <w:tl2br w:val="nil"/>
                    <w:tr2bl w:val="nil"/>
                  </w:tcBorders>
                  <w:noWrap w:val="0"/>
                  <w:vAlign w:val="center"/>
                </w:tcPr>
                <w:p w14:paraId="39BD29F7">
                  <w:pPr>
                    <w:pStyle w:val="24"/>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3.92</w:t>
                  </w:r>
                </w:p>
              </w:tc>
              <w:tc>
                <w:tcPr>
                  <w:tcW w:w="658" w:type="dxa"/>
                  <w:tcBorders>
                    <w:tl2br w:val="nil"/>
                    <w:tr2bl w:val="nil"/>
                  </w:tcBorders>
                  <w:noWrap w:val="0"/>
                  <w:vAlign w:val="center"/>
                </w:tcPr>
                <w:p w14:paraId="653E9053">
                  <w:pPr>
                    <w:pStyle w:val="24"/>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784</w:t>
                  </w:r>
                </w:p>
              </w:tc>
              <w:tc>
                <w:tcPr>
                  <w:tcW w:w="669" w:type="dxa"/>
                  <w:tcBorders>
                    <w:tl2br w:val="nil"/>
                    <w:tr2bl w:val="nil"/>
                  </w:tcBorders>
                  <w:noWrap w:val="0"/>
                  <w:vAlign w:val="center"/>
                </w:tcPr>
                <w:p w14:paraId="002A292C">
                  <w:pPr>
                    <w:pStyle w:val="24"/>
                    <w:ind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0.98</w:t>
                  </w:r>
                </w:p>
              </w:tc>
              <w:tc>
                <w:tcPr>
                  <w:tcW w:w="623" w:type="dxa"/>
                  <w:tcBorders>
                    <w:tl2br w:val="nil"/>
                    <w:tr2bl w:val="nil"/>
                  </w:tcBorders>
                  <w:noWrap w:val="0"/>
                  <w:vAlign w:val="center"/>
                </w:tcPr>
                <w:p w14:paraId="7400521C">
                  <w:pPr>
                    <w:pStyle w:val="24"/>
                    <w:ind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196</w:t>
                  </w:r>
                </w:p>
              </w:tc>
              <w:tc>
                <w:tcPr>
                  <w:tcW w:w="647" w:type="dxa"/>
                  <w:tcBorders>
                    <w:tl2br w:val="nil"/>
                    <w:tr2bl w:val="nil"/>
                  </w:tcBorders>
                  <w:noWrap w:val="0"/>
                  <w:vAlign w:val="center"/>
                </w:tcPr>
                <w:p w14:paraId="473345B6">
                  <w:pPr>
                    <w:pStyle w:val="24"/>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w:t>
                  </w:r>
                </w:p>
              </w:tc>
              <w:tc>
                <w:tcPr>
                  <w:tcW w:w="669" w:type="dxa"/>
                  <w:tcBorders>
                    <w:tl2br w:val="nil"/>
                    <w:tr2bl w:val="nil"/>
                  </w:tcBorders>
                  <w:noWrap w:val="0"/>
                  <w:vAlign w:val="center"/>
                </w:tcPr>
                <w:p w14:paraId="3805CDE1">
                  <w:pPr>
                    <w:pStyle w:val="24"/>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w:t>
                  </w:r>
                </w:p>
              </w:tc>
              <w:tc>
                <w:tcPr>
                  <w:tcW w:w="877" w:type="dxa"/>
                  <w:tcBorders>
                    <w:tl2br w:val="nil"/>
                    <w:tr2bl w:val="nil"/>
                  </w:tcBorders>
                  <w:noWrap w:val="0"/>
                  <w:vAlign w:val="center"/>
                </w:tcPr>
                <w:p w14:paraId="5CA65678">
                  <w:pPr>
                    <w:pStyle w:val="24"/>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回用于洗车，不外排</w:t>
                  </w:r>
                </w:p>
              </w:tc>
            </w:tr>
            <w:tr w14:paraId="407DF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1" w:type="dxa"/>
                  <w:gridSpan w:val="2"/>
                  <w:tcBorders>
                    <w:tl2br w:val="nil"/>
                    <w:tr2bl w:val="nil"/>
                  </w:tcBorders>
                  <w:noWrap w:val="0"/>
                  <w:vAlign w:val="center"/>
                </w:tcPr>
                <w:p w14:paraId="1C498751">
                  <w:pPr>
                    <w:pStyle w:val="24"/>
                    <w:ind w:firstLine="0" w:firstLineChars="0"/>
                    <w:jc w:val="center"/>
                    <w:rPr>
                      <w:rFonts w:hint="default" w:eastAsia="宋体" w:cs="Times New Roman"/>
                      <w:color w:val="auto"/>
                      <w:spacing w:val="3"/>
                      <w:sz w:val="21"/>
                      <w:szCs w:val="21"/>
                      <w:highlight w:val="none"/>
                      <w:lang w:val="en-US" w:eastAsia="zh-CN"/>
                    </w:rPr>
                  </w:pPr>
                  <w:r>
                    <w:rPr>
                      <w:rFonts w:hint="eastAsia" w:eastAsia="宋体" w:cs="Times New Roman"/>
                      <w:color w:val="auto"/>
                      <w:spacing w:val="3"/>
                      <w:sz w:val="21"/>
                      <w:szCs w:val="21"/>
                      <w:highlight w:val="none"/>
                      <w:lang w:val="en-US" w:eastAsia="zh-CN"/>
                    </w:rPr>
                    <w:t>合计</w:t>
                  </w:r>
                </w:p>
              </w:tc>
              <w:tc>
                <w:tcPr>
                  <w:tcW w:w="727" w:type="dxa"/>
                  <w:tcBorders>
                    <w:tl2br w:val="nil"/>
                    <w:tr2bl w:val="nil"/>
                  </w:tcBorders>
                  <w:noWrap w:val="0"/>
                  <w:vAlign w:val="center"/>
                </w:tcPr>
                <w:p w14:paraId="3A9D3016">
                  <w:pPr>
                    <w:pStyle w:val="24"/>
                    <w:ind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0.98</w:t>
                  </w:r>
                </w:p>
              </w:tc>
              <w:tc>
                <w:tcPr>
                  <w:tcW w:w="680" w:type="dxa"/>
                  <w:tcBorders>
                    <w:tl2br w:val="nil"/>
                    <w:tr2bl w:val="nil"/>
                  </w:tcBorders>
                  <w:noWrap w:val="0"/>
                  <w:vAlign w:val="center"/>
                </w:tcPr>
                <w:p w14:paraId="32D29819">
                  <w:pPr>
                    <w:pStyle w:val="24"/>
                    <w:ind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196</w:t>
                  </w:r>
                </w:p>
              </w:tc>
              <w:tc>
                <w:tcPr>
                  <w:tcW w:w="646" w:type="dxa"/>
                  <w:tcBorders>
                    <w:tl2br w:val="nil"/>
                    <w:tr2bl w:val="nil"/>
                  </w:tcBorders>
                  <w:shd w:val="clear" w:color="auto" w:fill="auto"/>
                  <w:noWrap w:val="0"/>
                  <w:vAlign w:val="center"/>
                </w:tcPr>
                <w:p w14:paraId="112A6E1E">
                  <w:pPr>
                    <w:pStyle w:val="24"/>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3.92</w:t>
                  </w:r>
                </w:p>
              </w:tc>
              <w:tc>
                <w:tcPr>
                  <w:tcW w:w="658" w:type="dxa"/>
                  <w:tcBorders>
                    <w:tl2br w:val="nil"/>
                    <w:tr2bl w:val="nil"/>
                  </w:tcBorders>
                  <w:shd w:val="clear" w:color="auto" w:fill="auto"/>
                  <w:noWrap w:val="0"/>
                  <w:vAlign w:val="center"/>
                </w:tcPr>
                <w:p w14:paraId="10B1A9F8">
                  <w:pPr>
                    <w:pStyle w:val="24"/>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784</w:t>
                  </w:r>
                </w:p>
              </w:tc>
              <w:tc>
                <w:tcPr>
                  <w:tcW w:w="669" w:type="dxa"/>
                  <w:tcBorders>
                    <w:tl2br w:val="nil"/>
                    <w:tr2bl w:val="nil"/>
                  </w:tcBorders>
                  <w:noWrap w:val="0"/>
                  <w:vAlign w:val="center"/>
                </w:tcPr>
                <w:p w14:paraId="63479B1F">
                  <w:pPr>
                    <w:pStyle w:val="24"/>
                    <w:ind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0.98</w:t>
                  </w:r>
                </w:p>
              </w:tc>
              <w:tc>
                <w:tcPr>
                  <w:tcW w:w="623" w:type="dxa"/>
                  <w:tcBorders>
                    <w:tl2br w:val="nil"/>
                    <w:tr2bl w:val="nil"/>
                  </w:tcBorders>
                  <w:noWrap w:val="0"/>
                  <w:vAlign w:val="center"/>
                </w:tcPr>
                <w:p w14:paraId="29F2EF86">
                  <w:pPr>
                    <w:pStyle w:val="24"/>
                    <w:ind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196</w:t>
                  </w:r>
                </w:p>
              </w:tc>
              <w:tc>
                <w:tcPr>
                  <w:tcW w:w="647" w:type="dxa"/>
                  <w:tcBorders>
                    <w:tl2br w:val="nil"/>
                    <w:tr2bl w:val="nil"/>
                  </w:tcBorders>
                  <w:noWrap w:val="0"/>
                  <w:vAlign w:val="center"/>
                </w:tcPr>
                <w:p w14:paraId="5D624F67">
                  <w:pPr>
                    <w:pStyle w:val="24"/>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w:t>
                  </w:r>
                </w:p>
              </w:tc>
              <w:tc>
                <w:tcPr>
                  <w:tcW w:w="669" w:type="dxa"/>
                  <w:tcBorders>
                    <w:tl2br w:val="nil"/>
                    <w:tr2bl w:val="nil"/>
                  </w:tcBorders>
                  <w:noWrap w:val="0"/>
                  <w:vAlign w:val="center"/>
                </w:tcPr>
                <w:p w14:paraId="7D29A8B3">
                  <w:pPr>
                    <w:pStyle w:val="24"/>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w:t>
                  </w:r>
                </w:p>
              </w:tc>
              <w:tc>
                <w:tcPr>
                  <w:tcW w:w="877" w:type="dxa"/>
                  <w:tcBorders>
                    <w:tl2br w:val="nil"/>
                    <w:tr2bl w:val="nil"/>
                  </w:tcBorders>
                  <w:noWrap w:val="0"/>
                  <w:vAlign w:val="center"/>
                </w:tcPr>
                <w:p w14:paraId="13F8241B">
                  <w:pPr>
                    <w:pStyle w:val="24"/>
                    <w:jc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bl>
          <w:p w14:paraId="129A6EF5">
            <w:pPr>
              <w:pStyle w:val="27"/>
              <w:spacing w:line="360" w:lineRule="auto"/>
              <w:ind w:right="86" w:firstLine="480" w:firstLineChars="200"/>
              <w:rPr>
                <w:color w:val="auto"/>
                <w:sz w:val="24"/>
                <w:highlight w:val="none"/>
                <w:lang w:val="en-US"/>
              </w:rPr>
            </w:pPr>
            <w:r>
              <w:rPr>
                <w:color w:val="auto"/>
                <w:sz w:val="24"/>
                <w:highlight w:val="none"/>
                <w:lang w:val="en-US"/>
              </w:rPr>
              <w:t>项目水平衡图见图</w:t>
            </w:r>
            <w:r>
              <w:rPr>
                <w:rFonts w:hint="default" w:ascii="Times New Roman" w:hAnsi="Times New Roman" w:cs="Times New Roman"/>
                <w:color w:val="auto"/>
                <w:sz w:val="24"/>
                <w:highlight w:val="none"/>
                <w:lang w:val="en-US"/>
              </w:rPr>
              <w:t>2-1</w:t>
            </w:r>
            <w:r>
              <w:rPr>
                <w:color w:val="auto"/>
                <w:sz w:val="24"/>
                <w:highlight w:val="none"/>
                <w:lang w:val="en-US"/>
              </w:rPr>
              <w:t>。</w:t>
            </w:r>
          </w:p>
          <w:p w14:paraId="6CF29F57">
            <w:pPr>
              <w:pStyle w:val="27"/>
              <w:keepNext w:val="0"/>
              <w:keepLines w:val="0"/>
              <w:pageBreakBefore w:val="0"/>
              <w:widowControl w:val="0"/>
              <w:kinsoku/>
              <w:wordWrap/>
              <w:overflowPunct/>
              <w:topLinePunct w:val="0"/>
              <w:autoSpaceDE/>
              <w:autoSpaceDN/>
              <w:bidi w:val="0"/>
              <w:adjustRightInd/>
              <w:snapToGrid w:val="0"/>
              <w:spacing w:line="240" w:lineRule="auto"/>
              <w:ind w:right="0" w:firstLine="0" w:firstLineChars="0"/>
              <w:jc w:val="center"/>
              <w:textAlignment w:val="auto"/>
              <w:rPr>
                <w:color w:val="auto"/>
                <w:sz w:val="24"/>
                <w:highlight w:val="none"/>
                <w:lang w:val="en-US"/>
              </w:rPr>
            </w:pPr>
            <w:r>
              <w:rPr>
                <w:color w:val="auto"/>
                <w:highlight w:val="none"/>
              </w:rPr>
              <w:drawing>
                <wp:inline distT="0" distB="0" distL="114300" distR="114300">
                  <wp:extent cx="4237990" cy="1487805"/>
                  <wp:effectExtent l="0" t="0" r="10160" b="17145"/>
                  <wp:docPr id="44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 name="图片 4"/>
                          <pic:cNvPicPr>
                            <a:picLocks noChangeAspect="1"/>
                          </pic:cNvPicPr>
                        </pic:nvPicPr>
                        <pic:blipFill>
                          <a:blip r:embed="rId8"/>
                          <a:stretch>
                            <a:fillRect/>
                          </a:stretch>
                        </pic:blipFill>
                        <pic:spPr>
                          <a:xfrm>
                            <a:off x="0" y="0"/>
                            <a:ext cx="4237990" cy="1487805"/>
                          </a:xfrm>
                          <a:prstGeom prst="rect">
                            <a:avLst/>
                          </a:prstGeom>
                          <a:noFill/>
                          <a:ln>
                            <a:noFill/>
                          </a:ln>
                        </pic:spPr>
                      </pic:pic>
                    </a:graphicData>
                  </a:graphic>
                </wp:inline>
              </w:drawing>
            </w:r>
          </w:p>
          <w:p w14:paraId="50CA77FA">
            <w:pPr>
              <w:keepNext w:val="0"/>
              <w:keepLines w:val="0"/>
              <w:pageBreakBefore w:val="0"/>
              <w:widowControl/>
              <w:kinsoku/>
              <w:wordWrap/>
              <w:overflowPunct/>
              <w:topLinePunct w:val="0"/>
              <w:autoSpaceDE/>
              <w:autoSpaceDN/>
              <w:bidi w:val="0"/>
              <w:adjustRightInd/>
              <w:snapToGrid w:val="0"/>
              <w:ind w:firstLine="316" w:firstLineChars="150"/>
              <w:jc w:val="center"/>
              <w:textAlignment w:val="auto"/>
              <w:rPr>
                <w:rFonts w:hint="eastAsia" w:eastAsiaTheme="minorEastAsia"/>
                <w:b/>
                <w:color w:val="auto"/>
                <w:kern w:val="0"/>
                <w:szCs w:val="21"/>
                <w:highlight w:val="none"/>
                <w:lang w:val="en-US" w:eastAsia="zh-CN"/>
              </w:rPr>
            </w:pPr>
            <w:r>
              <w:rPr>
                <w:rFonts w:eastAsiaTheme="minorEastAsia"/>
                <w:b/>
                <w:color w:val="auto"/>
                <w:kern w:val="0"/>
                <w:szCs w:val="21"/>
                <w:highlight w:val="none"/>
              </w:rPr>
              <w:t>图2-1  项目水平衡图</w:t>
            </w:r>
            <w:r>
              <w:rPr>
                <w:rFonts w:hint="eastAsia" w:eastAsiaTheme="minorEastAsia"/>
                <w:b/>
                <w:color w:val="auto"/>
                <w:kern w:val="0"/>
                <w:szCs w:val="21"/>
                <w:highlight w:val="none"/>
                <w:lang w:val="en-US" w:eastAsia="zh-CN"/>
              </w:rPr>
              <w:t xml:space="preserve">  </w:t>
            </w:r>
            <w:r>
              <w:rPr>
                <w:rFonts w:eastAsiaTheme="minorEastAsia"/>
                <w:b/>
                <w:color w:val="auto"/>
                <w:kern w:val="0"/>
                <w:szCs w:val="21"/>
                <w:highlight w:val="none"/>
              </w:rPr>
              <w:t>单位</w:t>
            </w:r>
            <w:r>
              <w:rPr>
                <w:rFonts w:hint="eastAsia" w:eastAsiaTheme="minorEastAsia"/>
                <w:b/>
                <w:color w:val="auto"/>
                <w:kern w:val="0"/>
                <w:szCs w:val="21"/>
                <w:highlight w:val="none"/>
              </w:rPr>
              <w:t>t</w:t>
            </w:r>
            <w:r>
              <w:rPr>
                <w:rFonts w:eastAsiaTheme="minorEastAsia"/>
                <w:b/>
                <w:color w:val="auto"/>
                <w:kern w:val="0"/>
                <w:szCs w:val="21"/>
                <w:highlight w:val="none"/>
              </w:rPr>
              <w:t>/</w:t>
            </w:r>
            <w:r>
              <w:rPr>
                <w:rFonts w:hint="eastAsia" w:eastAsiaTheme="minorEastAsia"/>
                <w:b/>
                <w:color w:val="auto"/>
                <w:kern w:val="0"/>
                <w:szCs w:val="21"/>
                <w:highlight w:val="none"/>
                <w:lang w:val="en-US" w:eastAsia="zh-CN"/>
              </w:rPr>
              <w:t>d</w:t>
            </w:r>
          </w:p>
          <w:p w14:paraId="6FD322B5">
            <w:pPr>
              <w:pStyle w:val="27"/>
              <w:spacing w:line="360" w:lineRule="auto"/>
              <w:ind w:right="86" w:firstLine="480" w:firstLineChars="200"/>
              <w:rPr>
                <w:rFonts w:ascii="Times New Roman" w:hAnsi="Times New Roman" w:cs="Times New Roman" w:eastAsiaTheme="minorEastAsia"/>
                <w:color w:val="auto"/>
                <w:sz w:val="24"/>
                <w:highlight w:val="none"/>
                <w:lang w:val="en-US"/>
              </w:rPr>
            </w:pPr>
            <w:r>
              <w:rPr>
                <w:rFonts w:ascii="Times New Roman" w:hAnsi="Times New Roman" w:cs="Times New Roman" w:eastAsiaTheme="minorEastAsia"/>
                <w:color w:val="auto"/>
                <w:sz w:val="24"/>
                <w:highlight w:val="none"/>
                <w:lang w:val="en-US"/>
              </w:rPr>
              <w:t>（3）用电</w:t>
            </w:r>
          </w:p>
          <w:p w14:paraId="6838439B">
            <w:pPr>
              <w:pStyle w:val="27"/>
              <w:spacing w:line="360" w:lineRule="auto"/>
              <w:ind w:right="86" w:firstLine="480" w:firstLineChars="200"/>
              <w:rPr>
                <w:rFonts w:ascii="Times New Roman" w:hAnsi="Times New Roman" w:cs="Times New Roman" w:eastAsiaTheme="minorEastAsia"/>
                <w:color w:val="auto"/>
                <w:sz w:val="24"/>
                <w:highlight w:val="none"/>
                <w:lang w:val="en-US"/>
              </w:rPr>
            </w:pPr>
            <w:r>
              <w:rPr>
                <w:rFonts w:ascii="Times New Roman" w:hAnsi="Times New Roman" w:cs="Times New Roman" w:eastAsiaTheme="minorEastAsia"/>
                <w:color w:val="auto"/>
                <w:sz w:val="24"/>
                <w:highlight w:val="none"/>
                <w:lang w:val="en-US"/>
              </w:rPr>
              <w:t>本项目用电量约为</w:t>
            </w:r>
            <w:r>
              <w:rPr>
                <w:rFonts w:hint="eastAsia" w:ascii="Times New Roman" w:hAnsi="Times New Roman" w:cs="Times New Roman" w:eastAsiaTheme="minorEastAsia"/>
                <w:color w:val="auto"/>
                <w:sz w:val="24"/>
                <w:highlight w:val="none"/>
                <w:lang w:val="en-US" w:eastAsia="zh-CN"/>
              </w:rPr>
              <w:t>270</w:t>
            </w:r>
            <w:r>
              <w:rPr>
                <w:rFonts w:ascii="Times New Roman" w:hAnsi="Times New Roman" w:cs="Times New Roman" w:eastAsiaTheme="minorEastAsia"/>
                <w:color w:val="auto"/>
                <w:sz w:val="24"/>
                <w:highlight w:val="none"/>
                <w:lang w:val="en-US"/>
              </w:rPr>
              <w:t>万KWh/a，由市政供电电网统一供应。</w:t>
            </w:r>
          </w:p>
          <w:p w14:paraId="02EBE067">
            <w:pPr>
              <w:pStyle w:val="8"/>
              <w:ind w:firstLine="0" w:firstLineChars="0"/>
              <w:rPr>
                <w:rFonts w:eastAsiaTheme="minorEastAsia"/>
                <w:b/>
                <w:color w:val="auto"/>
                <w:sz w:val="24"/>
                <w:highlight w:val="none"/>
                <w:lang w:bidi="zh-CN"/>
              </w:rPr>
            </w:pPr>
            <w:r>
              <w:rPr>
                <w:rFonts w:eastAsiaTheme="minorEastAsia"/>
                <w:b/>
                <w:color w:val="auto"/>
                <w:sz w:val="24"/>
                <w:highlight w:val="none"/>
                <w:lang w:bidi="zh-CN"/>
              </w:rPr>
              <w:t>2.</w:t>
            </w:r>
            <w:r>
              <w:rPr>
                <w:rFonts w:hint="eastAsia" w:eastAsiaTheme="minorEastAsia"/>
                <w:b/>
                <w:color w:val="auto"/>
                <w:sz w:val="24"/>
                <w:highlight w:val="none"/>
                <w:lang w:val="en-US" w:bidi="zh-CN"/>
              </w:rPr>
              <w:t>9</w:t>
            </w:r>
            <w:r>
              <w:rPr>
                <w:rFonts w:eastAsiaTheme="minorEastAsia"/>
                <w:b/>
                <w:color w:val="auto"/>
                <w:sz w:val="24"/>
                <w:highlight w:val="none"/>
                <w:lang w:bidi="zh-CN"/>
              </w:rPr>
              <w:t xml:space="preserve"> 总平面布置</w:t>
            </w:r>
          </w:p>
          <w:p w14:paraId="46823D10">
            <w:pPr>
              <w:pStyle w:val="27"/>
              <w:spacing w:line="360" w:lineRule="auto"/>
              <w:ind w:right="86" w:firstLine="480" w:firstLineChars="200"/>
              <w:rPr>
                <w:rFonts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本项目</w:t>
            </w:r>
            <w:r>
              <w:rPr>
                <w:rFonts w:hint="eastAsia" w:ascii="Times New Roman" w:hAnsi="Times New Roman" w:cs="Times New Roman" w:eastAsiaTheme="minorEastAsia"/>
                <w:color w:val="auto"/>
                <w:sz w:val="24"/>
                <w:highlight w:val="none"/>
                <w:lang w:val="en-US" w:eastAsia="zh-CN"/>
              </w:rPr>
              <w:t>在金隅冀东凤翔环保科技有限公司厂区内利用现有水泥包装厂房，在厂房内部建设一条干混砂浆生产线。</w:t>
            </w:r>
            <w:r>
              <w:rPr>
                <w:rFonts w:ascii="Times New Roman" w:hAnsi="Times New Roman" w:cs="Times New Roman" w:eastAsiaTheme="minorEastAsia"/>
                <w:color w:val="auto"/>
                <w:sz w:val="24"/>
                <w:highlight w:val="none"/>
                <w:lang w:val="en-US"/>
              </w:rPr>
              <w:t>项目</w:t>
            </w:r>
            <w:r>
              <w:rPr>
                <w:rFonts w:hint="eastAsia" w:ascii="Times New Roman" w:hAnsi="Times New Roman" w:cs="Times New Roman" w:eastAsiaTheme="minorEastAsia"/>
                <w:color w:val="auto"/>
                <w:sz w:val="24"/>
                <w:highlight w:val="none"/>
                <w:lang w:val="en-US" w:eastAsia="zh-CN"/>
              </w:rPr>
              <w:t>原有生产和办公分区布置，</w:t>
            </w:r>
            <w:r>
              <w:rPr>
                <w:rFonts w:ascii="Times New Roman" w:hAnsi="Times New Roman" w:cs="Times New Roman" w:eastAsiaTheme="minorEastAsia"/>
                <w:color w:val="auto"/>
                <w:sz w:val="24"/>
                <w:highlight w:val="none"/>
                <w:lang w:val="en-US"/>
              </w:rPr>
              <w:t>平面布置</w:t>
            </w:r>
            <w:r>
              <w:rPr>
                <w:rFonts w:hint="eastAsia" w:ascii="Times New Roman" w:hAnsi="Times New Roman" w:cs="Times New Roman" w:eastAsiaTheme="minorEastAsia"/>
                <w:color w:val="auto"/>
                <w:sz w:val="24"/>
                <w:highlight w:val="none"/>
                <w:lang w:val="en-US" w:eastAsia="zh-CN"/>
              </w:rPr>
              <w:t>简单明了</w:t>
            </w:r>
            <w:r>
              <w:rPr>
                <w:rFonts w:ascii="Times New Roman" w:hAnsi="Times New Roman" w:cs="Times New Roman" w:eastAsiaTheme="minorEastAsia"/>
                <w:color w:val="auto"/>
                <w:sz w:val="24"/>
                <w:highlight w:val="none"/>
                <w:lang w:val="en-US"/>
              </w:rPr>
              <w:t>，避免内部相互干扰，生产区布局紧凑，减少物料的输送距离。设计中充分考虑了工艺流程顺畅，</w:t>
            </w:r>
            <w:r>
              <w:rPr>
                <w:rFonts w:hint="default" w:eastAsia="宋体"/>
                <w:color w:val="auto"/>
                <w:sz w:val="24"/>
                <w:szCs w:val="24"/>
                <w:highlight w:val="none"/>
                <w:shd w:val="clear" w:color="auto" w:fill="FFFFFF"/>
              </w:rPr>
              <w:t>满足施工安装、生产运输、设备检修、环境卫生和消防等要求。</w:t>
            </w:r>
            <w:r>
              <w:rPr>
                <w:rFonts w:hint="eastAsia"/>
                <w:color w:val="auto"/>
                <w:sz w:val="24"/>
                <w:szCs w:val="24"/>
                <w:highlight w:val="none"/>
                <w:shd w:val="clear" w:color="auto" w:fill="FFFFFF"/>
                <w:lang w:val="en-US" w:eastAsia="zh-CN"/>
              </w:rPr>
              <w:t>本项目厂区</w:t>
            </w:r>
            <w:r>
              <w:rPr>
                <w:rFonts w:hint="eastAsia" w:eastAsia="宋体"/>
                <w:color w:val="auto"/>
                <w:sz w:val="24"/>
                <w:highlight w:val="none"/>
                <w:lang w:val="en-US" w:eastAsia="zh-CN"/>
              </w:rPr>
              <w:t>总平面布置图见附图</w:t>
            </w:r>
            <w:r>
              <w:rPr>
                <w:rFonts w:hint="eastAsia"/>
                <w:color w:val="auto"/>
                <w:sz w:val="24"/>
                <w:highlight w:val="none"/>
                <w:lang w:val="en-US" w:eastAsia="zh-CN"/>
              </w:rPr>
              <w:t>四，本项目总平面布置图见附图五</w:t>
            </w:r>
            <w:r>
              <w:rPr>
                <w:rFonts w:hint="eastAsia" w:eastAsia="宋体"/>
                <w:color w:val="auto"/>
                <w:sz w:val="24"/>
                <w:highlight w:val="none"/>
                <w:lang w:val="en-US" w:eastAsia="zh-CN"/>
              </w:rPr>
              <w:t>。</w:t>
            </w:r>
          </w:p>
        </w:tc>
      </w:tr>
      <w:tr w14:paraId="330D91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9" w:type="dxa"/>
            <w:tcBorders>
              <w:top w:val="single" w:color="auto" w:sz="12" w:space="0"/>
              <w:left w:val="single" w:color="auto" w:sz="12" w:space="0"/>
            </w:tcBorders>
            <w:noWrap/>
            <w:vAlign w:val="center"/>
          </w:tcPr>
          <w:p w14:paraId="0DFAE839">
            <w:pPr>
              <w:pStyle w:val="17"/>
              <w:adjustRightInd w:val="0"/>
              <w:snapToGrid w:val="0"/>
              <w:spacing w:before="0" w:beforeAutospacing="0" w:after="0" w:afterAutospacing="0"/>
              <w:jc w:val="center"/>
              <w:rPr>
                <w:rFonts w:ascii="Times New Roman" w:hAnsi="Times New Roman" w:eastAsiaTheme="minorEastAsia"/>
                <w:color w:val="auto"/>
                <w:sz w:val="21"/>
                <w:szCs w:val="21"/>
                <w:highlight w:val="none"/>
              </w:rPr>
            </w:pPr>
            <w:r>
              <w:rPr>
                <w:rFonts w:ascii="Times New Roman" w:hAnsi="Times New Roman" w:eastAsiaTheme="minorEastAsia"/>
                <w:color w:val="auto"/>
                <w:szCs w:val="24"/>
                <w:highlight w:val="none"/>
              </w:rPr>
              <w:t>工艺流程和产排污环节</w:t>
            </w:r>
          </w:p>
        </w:tc>
        <w:tc>
          <w:tcPr>
            <w:tcW w:w="8302" w:type="dxa"/>
            <w:tcBorders>
              <w:top w:val="single" w:color="auto" w:sz="12" w:space="0"/>
              <w:right w:val="single" w:color="auto" w:sz="12" w:space="0"/>
            </w:tcBorders>
            <w:noWrap/>
          </w:tcPr>
          <w:p w14:paraId="7C8ED977">
            <w:pPr>
              <w:pStyle w:val="15"/>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left"/>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一、施工工艺流程</w:t>
            </w:r>
            <w:r>
              <w:rPr>
                <w:rFonts w:ascii="Times New Roman" w:hAnsi="Times New Roman" w:cs="Times New Roman" w:eastAsiaTheme="minorEastAsia"/>
                <w:b/>
                <w:bCs/>
                <w:color w:val="auto"/>
                <w:sz w:val="24"/>
                <w:highlight w:val="none"/>
                <w:lang w:val="en-US"/>
              </w:rPr>
              <w:t>及产污环节</w:t>
            </w:r>
          </w:p>
          <w:p w14:paraId="1028DC61">
            <w:pPr>
              <w:pStyle w:val="15"/>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本项目利用现有水泥包装厂房，对包装发运进行改造</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拆除5-7车道装车机，将7车道的自动装车机及收尘器移到2车道，将包装二层四条皮带缩短，水泥袋装在1-4车道发运，拆除6、7车道部分厂房，建设一条干混砂浆生产线。</w:t>
            </w:r>
          </w:p>
          <w:p w14:paraId="595EBB9F">
            <w:pPr>
              <w:pStyle w:val="15"/>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在施工过程中，对周边环境的影响主要为施工扬尘、施工废水和生活污水、施工噪声、施工弃渣及生活垃圾等。施工工艺流程及产污环节分析见下图</w:t>
            </w:r>
            <w:r>
              <w:rPr>
                <w:rFonts w:hint="eastAsia" w:cs="Times New Roman"/>
                <w:color w:val="auto"/>
                <w:sz w:val="24"/>
                <w:szCs w:val="24"/>
                <w:highlight w:val="none"/>
                <w:lang w:val="en-US" w:eastAsia="zh-CN"/>
              </w:rPr>
              <w:t>。</w:t>
            </w:r>
          </w:p>
          <w:p w14:paraId="7A4F9AB7">
            <w:pPr>
              <w:jc w:val="center"/>
              <w:rPr>
                <w:rFonts w:hint="default"/>
                <w:color w:val="auto"/>
                <w:highlight w:val="none"/>
              </w:rPr>
            </w:pPr>
            <w:r>
              <w:rPr>
                <w:color w:val="auto"/>
                <w:highlight w:val="none"/>
              </w:rPr>
              <w:drawing>
                <wp:inline distT="0" distB="0" distL="114300" distR="114300">
                  <wp:extent cx="4004945" cy="1742440"/>
                  <wp:effectExtent l="0" t="0" r="14605" b="10160"/>
                  <wp:docPr id="44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 name="图片 2"/>
                          <pic:cNvPicPr>
                            <a:picLocks noChangeAspect="1"/>
                          </pic:cNvPicPr>
                        </pic:nvPicPr>
                        <pic:blipFill>
                          <a:blip r:embed="rId9"/>
                          <a:stretch>
                            <a:fillRect/>
                          </a:stretch>
                        </pic:blipFill>
                        <pic:spPr>
                          <a:xfrm>
                            <a:off x="0" y="0"/>
                            <a:ext cx="4004945" cy="1742440"/>
                          </a:xfrm>
                          <a:prstGeom prst="rect">
                            <a:avLst/>
                          </a:prstGeom>
                          <a:noFill/>
                          <a:ln>
                            <a:noFill/>
                          </a:ln>
                        </pic:spPr>
                      </pic:pic>
                    </a:graphicData>
                  </a:graphic>
                </wp:inline>
              </w:drawing>
            </w:r>
          </w:p>
          <w:p w14:paraId="7F8FBFAE">
            <w:pPr>
              <w:pStyle w:val="1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rPr>
                <w:rFonts w:hint="default" w:ascii="Times New Roman" w:hAnsi="Times New Roman" w:cs="Times New Roman"/>
                <w:b/>
                <w:bCs/>
                <w:color w:val="auto"/>
                <w:highlight w:val="none"/>
                <w:lang w:val="en-US"/>
              </w:rPr>
            </w:pPr>
            <w:r>
              <w:rPr>
                <w:rFonts w:hint="default" w:ascii="Times New Roman" w:hAnsi="Times New Roman" w:cs="Times New Roman"/>
                <w:b/>
                <w:bCs/>
                <w:color w:val="auto"/>
                <w:highlight w:val="none"/>
                <w:lang w:val="en-US" w:eastAsia="zh-CN"/>
              </w:rPr>
              <w:t>图2-</w:t>
            </w:r>
            <w:r>
              <w:rPr>
                <w:rFonts w:hint="eastAsia" w:cs="Times New Roman"/>
                <w:b/>
                <w:bCs/>
                <w:color w:val="auto"/>
                <w:highlight w:val="none"/>
                <w:lang w:val="en-US" w:eastAsia="zh-CN"/>
              </w:rPr>
              <w:t>2</w:t>
            </w:r>
            <w:r>
              <w:rPr>
                <w:rFonts w:hint="eastAsia" w:ascii="Times New Roman" w:hAnsi="Times New Roman" w:cs="Times New Roman"/>
                <w:b/>
                <w:bCs/>
                <w:color w:val="auto"/>
                <w:highlight w:val="none"/>
                <w:lang w:val="en-US" w:eastAsia="zh-CN"/>
              </w:rPr>
              <w:t xml:space="preserve"> </w:t>
            </w:r>
            <w:r>
              <w:rPr>
                <w:rFonts w:hint="eastAsia" w:cs="Times New Roman"/>
                <w:b/>
                <w:bCs/>
                <w:color w:val="auto"/>
                <w:highlight w:val="none"/>
                <w:lang w:val="en-US" w:eastAsia="zh-CN"/>
              </w:rPr>
              <w:t>施工工序</w:t>
            </w:r>
            <w:r>
              <w:rPr>
                <w:rFonts w:hint="default" w:ascii="Times New Roman" w:hAnsi="Times New Roman" w:cs="Times New Roman"/>
                <w:b/>
                <w:bCs/>
                <w:color w:val="auto"/>
                <w:highlight w:val="none"/>
                <w:lang w:val="en-US" w:eastAsia="zh-CN"/>
              </w:rPr>
              <w:t>及产排污环节图</w:t>
            </w:r>
          </w:p>
          <w:p w14:paraId="6F42B91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 xml:space="preserve">13  </w:t>
            </w:r>
            <w:r>
              <w:rPr>
                <w:rFonts w:hint="eastAsia" w:ascii="Times New Roman" w:hAnsi="Times New Roman" w:cs="Times New Roman"/>
                <w:b/>
                <w:bCs/>
                <w:color w:val="auto"/>
                <w:sz w:val="21"/>
                <w:szCs w:val="21"/>
                <w:highlight w:val="none"/>
                <w:lang w:val="en-US" w:eastAsia="zh-CN"/>
              </w:rPr>
              <w:t>施工期主要污染源及影响一览表</w:t>
            </w:r>
          </w:p>
          <w:tbl>
            <w:tblPr>
              <w:tblStyle w:val="20"/>
              <w:tblW w:w="79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620"/>
              <w:gridCol w:w="3028"/>
              <w:gridCol w:w="2166"/>
            </w:tblGrid>
            <w:tr w14:paraId="75C1E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84" w:type="dxa"/>
                  <w:tcBorders>
                    <w:tl2br w:val="nil"/>
                    <w:tr2bl w:val="nil"/>
                  </w:tcBorders>
                  <w:vAlign w:val="center"/>
                </w:tcPr>
                <w:p w14:paraId="72587C9E">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类别</w:t>
                  </w:r>
                </w:p>
              </w:tc>
              <w:tc>
                <w:tcPr>
                  <w:tcW w:w="1620" w:type="dxa"/>
                  <w:tcBorders>
                    <w:tl2br w:val="nil"/>
                    <w:tr2bl w:val="nil"/>
                  </w:tcBorders>
                  <w:vAlign w:val="center"/>
                </w:tcPr>
                <w:p w14:paraId="31465C4F">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名称</w:t>
                  </w:r>
                </w:p>
              </w:tc>
              <w:tc>
                <w:tcPr>
                  <w:tcW w:w="3028" w:type="dxa"/>
                  <w:tcBorders>
                    <w:tl2br w:val="nil"/>
                    <w:tr2bl w:val="nil"/>
                  </w:tcBorders>
                  <w:vAlign w:val="center"/>
                </w:tcPr>
                <w:p w14:paraId="3EEAB23A">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产污环节</w:t>
                  </w:r>
                </w:p>
              </w:tc>
              <w:tc>
                <w:tcPr>
                  <w:tcW w:w="2166" w:type="dxa"/>
                  <w:tcBorders>
                    <w:tl2br w:val="nil"/>
                    <w:tr2bl w:val="nil"/>
                  </w:tcBorders>
                  <w:vAlign w:val="center"/>
                </w:tcPr>
                <w:p w14:paraId="69948BBE">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污染物名称</w:t>
                  </w:r>
                </w:p>
              </w:tc>
            </w:tr>
            <w:tr w14:paraId="659BD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184" w:type="dxa"/>
                  <w:tcBorders>
                    <w:tl2br w:val="nil"/>
                    <w:tr2bl w:val="nil"/>
                  </w:tcBorders>
                  <w:vAlign w:val="center"/>
                </w:tcPr>
                <w:p w14:paraId="3C352718">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废气</w:t>
                  </w:r>
                </w:p>
              </w:tc>
              <w:tc>
                <w:tcPr>
                  <w:tcW w:w="1620" w:type="dxa"/>
                  <w:tcBorders>
                    <w:tl2br w:val="nil"/>
                    <w:tr2bl w:val="nil"/>
                  </w:tcBorders>
                  <w:vAlign w:val="center"/>
                </w:tcPr>
                <w:p w14:paraId="65BDB765">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主体工程建设</w:t>
                  </w:r>
                </w:p>
              </w:tc>
              <w:tc>
                <w:tcPr>
                  <w:tcW w:w="3028" w:type="dxa"/>
                  <w:tcBorders>
                    <w:tl2br w:val="nil"/>
                    <w:tr2bl w:val="nil"/>
                  </w:tcBorders>
                  <w:vAlign w:val="center"/>
                </w:tcPr>
                <w:p w14:paraId="0C5EF260">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墙体加固</w:t>
                  </w:r>
                </w:p>
              </w:tc>
              <w:tc>
                <w:tcPr>
                  <w:tcW w:w="2166" w:type="dxa"/>
                  <w:tcBorders>
                    <w:tl2br w:val="nil"/>
                    <w:tr2bl w:val="nil"/>
                  </w:tcBorders>
                  <w:vAlign w:val="center"/>
                </w:tcPr>
                <w:p w14:paraId="5C08A335">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粉尘</w:t>
                  </w:r>
                </w:p>
              </w:tc>
            </w:tr>
            <w:tr w14:paraId="02A09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184" w:type="dxa"/>
                  <w:vMerge w:val="restart"/>
                  <w:tcBorders>
                    <w:tl2br w:val="nil"/>
                    <w:tr2bl w:val="nil"/>
                  </w:tcBorders>
                  <w:vAlign w:val="center"/>
                </w:tcPr>
                <w:p w14:paraId="5C33A3D2">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废水</w:t>
                  </w:r>
                </w:p>
              </w:tc>
              <w:tc>
                <w:tcPr>
                  <w:tcW w:w="1620" w:type="dxa"/>
                  <w:tcBorders>
                    <w:tl2br w:val="nil"/>
                    <w:tr2bl w:val="nil"/>
                  </w:tcBorders>
                  <w:vAlign w:val="center"/>
                </w:tcPr>
                <w:p w14:paraId="4785B315">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生活污水</w:t>
                  </w:r>
                </w:p>
              </w:tc>
              <w:tc>
                <w:tcPr>
                  <w:tcW w:w="3028" w:type="dxa"/>
                  <w:tcBorders>
                    <w:tl2br w:val="nil"/>
                    <w:tr2bl w:val="nil"/>
                  </w:tcBorders>
                  <w:vAlign w:val="center"/>
                </w:tcPr>
                <w:p w14:paraId="111E6C70">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施工人员生活</w:t>
                  </w:r>
                </w:p>
              </w:tc>
              <w:tc>
                <w:tcPr>
                  <w:tcW w:w="2166" w:type="dxa"/>
                  <w:tcBorders>
                    <w:tl2br w:val="nil"/>
                    <w:tr2bl w:val="nil"/>
                  </w:tcBorders>
                  <w:vAlign w:val="center"/>
                </w:tcPr>
                <w:p w14:paraId="76170FD9">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COD、NH</w:t>
                  </w:r>
                  <w:r>
                    <w:rPr>
                      <w:rFonts w:hint="eastAsia" w:ascii="Times New Roman" w:hAnsi="Times New Roman" w:cs="Times New Roman"/>
                      <w:b w:val="0"/>
                      <w:bCs w:val="0"/>
                      <w:color w:val="auto"/>
                      <w:sz w:val="21"/>
                      <w:szCs w:val="21"/>
                      <w:highlight w:val="none"/>
                      <w:vertAlign w:val="subscript"/>
                      <w:lang w:val="en-US" w:eastAsia="zh-CN"/>
                    </w:rPr>
                    <w:t>3</w:t>
                  </w:r>
                  <w:r>
                    <w:rPr>
                      <w:rFonts w:hint="eastAsia" w:ascii="Times New Roman" w:hAnsi="Times New Roman" w:cs="Times New Roman"/>
                      <w:b w:val="0"/>
                      <w:bCs w:val="0"/>
                      <w:color w:val="auto"/>
                      <w:sz w:val="21"/>
                      <w:szCs w:val="21"/>
                      <w:highlight w:val="none"/>
                      <w:vertAlign w:val="baseline"/>
                      <w:lang w:val="en-US" w:eastAsia="zh-CN"/>
                    </w:rPr>
                    <w:t>-N等</w:t>
                  </w:r>
                </w:p>
              </w:tc>
            </w:tr>
            <w:tr w14:paraId="17AB1D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184" w:type="dxa"/>
                  <w:vMerge w:val="continue"/>
                  <w:tcBorders>
                    <w:tl2br w:val="nil"/>
                    <w:tr2bl w:val="nil"/>
                  </w:tcBorders>
                  <w:vAlign w:val="center"/>
                </w:tcPr>
                <w:p w14:paraId="543AD2AF">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eastAsia" w:ascii="Times New Roman" w:hAnsi="Times New Roman" w:cs="Times New Roman"/>
                      <w:b w:val="0"/>
                      <w:bCs w:val="0"/>
                      <w:color w:val="auto"/>
                      <w:sz w:val="21"/>
                      <w:szCs w:val="21"/>
                      <w:highlight w:val="none"/>
                      <w:vertAlign w:val="baseline"/>
                      <w:lang w:val="en-US" w:eastAsia="zh-CN"/>
                    </w:rPr>
                  </w:pPr>
                </w:p>
              </w:tc>
              <w:tc>
                <w:tcPr>
                  <w:tcW w:w="1620" w:type="dxa"/>
                  <w:tcBorders>
                    <w:tl2br w:val="nil"/>
                    <w:tr2bl w:val="nil"/>
                  </w:tcBorders>
                  <w:vAlign w:val="center"/>
                </w:tcPr>
                <w:p w14:paraId="7110C758">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生产废水</w:t>
                  </w:r>
                </w:p>
              </w:tc>
              <w:tc>
                <w:tcPr>
                  <w:tcW w:w="3028" w:type="dxa"/>
                  <w:tcBorders>
                    <w:tl2br w:val="nil"/>
                    <w:tr2bl w:val="nil"/>
                  </w:tcBorders>
                  <w:vAlign w:val="center"/>
                </w:tcPr>
                <w:p w14:paraId="5CEEC7D9">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车辆冲洗废水</w:t>
                  </w:r>
                </w:p>
              </w:tc>
              <w:tc>
                <w:tcPr>
                  <w:tcW w:w="2166" w:type="dxa"/>
                  <w:tcBorders>
                    <w:tl2br w:val="nil"/>
                    <w:tr2bl w:val="nil"/>
                  </w:tcBorders>
                  <w:vAlign w:val="center"/>
                </w:tcPr>
                <w:p w14:paraId="3282CACA">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SS</w:t>
                  </w:r>
                </w:p>
              </w:tc>
            </w:tr>
            <w:tr w14:paraId="3B2F29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84" w:type="dxa"/>
                  <w:tcBorders>
                    <w:tl2br w:val="nil"/>
                    <w:tr2bl w:val="nil"/>
                  </w:tcBorders>
                  <w:vAlign w:val="center"/>
                </w:tcPr>
                <w:p w14:paraId="72B6744B">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噪声</w:t>
                  </w:r>
                </w:p>
              </w:tc>
              <w:tc>
                <w:tcPr>
                  <w:tcW w:w="1620" w:type="dxa"/>
                  <w:tcBorders>
                    <w:tl2br w:val="nil"/>
                    <w:tr2bl w:val="nil"/>
                  </w:tcBorders>
                  <w:vAlign w:val="center"/>
                </w:tcPr>
                <w:p w14:paraId="1B55B7F4">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施工设备</w:t>
                  </w:r>
                </w:p>
              </w:tc>
              <w:tc>
                <w:tcPr>
                  <w:tcW w:w="3028" w:type="dxa"/>
                  <w:tcBorders>
                    <w:tl2br w:val="nil"/>
                    <w:tr2bl w:val="nil"/>
                  </w:tcBorders>
                  <w:vAlign w:val="center"/>
                </w:tcPr>
                <w:p w14:paraId="2DFABE82">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基础开挖、设备安装、调试</w:t>
                  </w:r>
                </w:p>
              </w:tc>
              <w:tc>
                <w:tcPr>
                  <w:tcW w:w="2166" w:type="dxa"/>
                  <w:tcBorders>
                    <w:tl2br w:val="nil"/>
                    <w:tr2bl w:val="nil"/>
                  </w:tcBorders>
                  <w:vAlign w:val="center"/>
                </w:tcPr>
                <w:p w14:paraId="3557A6E0">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噪声</w:t>
                  </w:r>
                </w:p>
              </w:tc>
            </w:tr>
            <w:tr w14:paraId="1DEC3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184" w:type="dxa"/>
                  <w:vMerge w:val="restart"/>
                  <w:tcBorders>
                    <w:tl2br w:val="nil"/>
                    <w:tr2bl w:val="nil"/>
                  </w:tcBorders>
                  <w:vAlign w:val="center"/>
                </w:tcPr>
                <w:p w14:paraId="34454452">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固废</w:t>
                  </w:r>
                </w:p>
              </w:tc>
              <w:tc>
                <w:tcPr>
                  <w:tcW w:w="1620" w:type="dxa"/>
                  <w:tcBorders>
                    <w:tl2br w:val="nil"/>
                    <w:tr2bl w:val="nil"/>
                  </w:tcBorders>
                  <w:vAlign w:val="center"/>
                </w:tcPr>
                <w:p w14:paraId="2D4B317B">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生活垃圾</w:t>
                  </w:r>
                </w:p>
              </w:tc>
              <w:tc>
                <w:tcPr>
                  <w:tcW w:w="3028" w:type="dxa"/>
                  <w:tcBorders>
                    <w:tl2br w:val="nil"/>
                    <w:tr2bl w:val="nil"/>
                  </w:tcBorders>
                  <w:vAlign w:val="center"/>
                </w:tcPr>
                <w:p w14:paraId="46217BC3">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施工人员生活</w:t>
                  </w:r>
                </w:p>
              </w:tc>
              <w:tc>
                <w:tcPr>
                  <w:tcW w:w="2166" w:type="dxa"/>
                  <w:tcBorders>
                    <w:tl2br w:val="nil"/>
                    <w:tr2bl w:val="nil"/>
                  </w:tcBorders>
                  <w:vAlign w:val="center"/>
                </w:tcPr>
                <w:p w14:paraId="61C89B55">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生活垃圾</w:t>
                  </w:r>
                </w:p>
              </w:tc>
            </w:tr>
            <w:tr w14:paraId="39DD2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84" w:type="dxa"/>
                  <w:vMerge w:val="continue"/>
                  <w:tcBorders>
                    <w:tl2br w:val="nil"/>
                    <w:tr2bl w:val="nil"/>
                  </w:tcBorders>
                  <w:vAlign w:val="center"/>
                </w:tcPr>
                <w:p w14:paraId="35165BBF">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9"/>
                    <w:rPr>
                      <w:rFonts w:hint="default" w:ascii="Times New Roman" w:hAnsi="Times New Roman" w:cs="Times New Roman"/>
                      <w:b w:val="0"/>
                      <w:bCs w:val="0"/>
                      <w:color w:val="auto"/>
                      <w:sz w:val="21"/>
                      <w:szCs w:val="21"/>
                      <w:highlight w:val="none"/>
                      <w:vertAlign w:val="baseline"/>
                      <w:lang w:val="en-US" w:eastAsia="zh-CN"/>
                    </w:rPr>
                  </w:pPr>
                </w:p>
              </w:tc>
              <w:tc>
                <w:tcPr>
                  <w:tcW w:w="1620" w:type="dxa"/>
                  <w:tcBorders>
                    <w:tl2br w:val="nil"/>
                    <w:tr2bl w:val="nil"/>
                  </w:tcBorders>
                  <w:vAlign w:val="center"/>
                </w:tcPr>
                <w:p w14:paraId="41447DD3">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建筑固体废料</w:t>
                  </w:r>
                </w:p>
              </w:tc>
              <w:tc>
                <w:tcPr>
                  <w:tcW w:w="3028" w:type="dxa"/>
                  <w:tcBorders>
                    <w:tl2br w:val="nil"/>
                    <w:tr2bl w:val="nil"/>
                  </w:tcBorders>
                  <w:vAlign w:val="center"/>
                </w:tcPr>
                <w:p w14:paraId="1DF7C47F">
                  <w:pPr>
                    <w:pStyle w:val="5"/>
                    <w:keepNext w:val="0"/>
                    <w:keepLines w:val="0"/>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基础工程</w:t>
                  </w:r>
                </w:p>
              </w:tc>
              <w:tc>
                <w:tcPr>
                  <w:tcW w:w="2166" w:type="dxa"/>
                  <w:tcBorders>
                    <w:tl2br w:val="nil"/>
                    <w:tr2bl w:val="nil"/>
                  </w:tcBorders>
                  <w:vAlign w:val="center"/>
                </w:tcPr>
                <w:p w14:paraId="38A41CB8">
                  <w:pPr>
                    <w:pStyle w:val="5"/>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废弃材料</w:t>
                  </w:r>
                </w:p>
              </w:tc>
            </w:tr>
          </w:tbl>
          <w:p w14:paraId="62846901">
            <w:pPr>
              <w:pStyle w:val="27"/>
              <w:spacing w:before="2" w:line="360" w:lineRule="auto"/>
              <w:rPr>
                <w:rFonts w:eastAsiaTheme="minorEastAsia"/>
                <w:color w:val="auto"/>
                <w:sz w:val="24"/>
                <w:highlight w:val="none"/>
              </w:rPr>
            </w:pPr>
            <w:r>
              <w:rPr>
                <w:rFonts w:ascii="Times New Roman" w:hAnsi="Times New Roman" w:cs="Times New Roman" w:eastAsiaTheme="minorEastAsia"/>
                <w:b/>
                <w:bCs/>
                <w:color w:val="auto"/>
                <w:sz w:val="24"/>
                <w:highlight w:val="none"/>
                <w:lang w:val="en-US"/>
              </w:rPr>
              <w:t>二、运营期工艺流程及产污环节</w:t>
            </w:r>
          </w:p>
          <w:p w14:paraId="30CF8838">
            <w:pPr>
              <w:numPr>
                <w:ilvl w:val="0"/>
                <w:numId w:val="0"/>
              </w:numPr>
              <w:spacing w:line="360" w:lineRule="auto"/>
              <w:ind w:firstLine="480" w:firstLineChars="200"/>
              <w:rPr>
                <w:rFonts w:hint="default" w:eastAsia="宋体"/>
                <w:color w:val="auto"/>
                <w:kern w:val="0"/>
                <w:sz w:val="24"/>
                <w:highlight w:val="none"/>
              </w:rPr>
            </w:pPr>
            <w:r>
              <w:rPr>
                <w:rFonts w:hint="eastAsia" w:eastAsiaTheme="minorEastAsia"/>
                <w:b w:val="0"/>
                <w:bCs/>
                <w:color w:val="auto"/>
                <w:sz w:val="24"/>
                <w:highlight w:val="none"/>
                <w:lang w:val="en-US" w:eastAsia="zh-CN"/>
              </w:rPr>
              <w:t>1.本项干混砂浆</w:t>
            </w:r>
            <w:r>
              <w:rPr>
                <w:rFonts w:hint="default" w:eastAsia="宋体"/>
                <w:color w:val="auto"/>
                <w:kern w:val="0"/>
                <w:sz w:val="24"/>
                <w:highlight w:val="none"/>
              </w:rPr>
              <w:t>生产工艺</w:t>
            </w:r>
            <w:r>
              <w:rPr>
                <w:rFonts w:hint="eastAsia" w:eastAsia="宋体"/>
                <w:color w:val="auto"/>
                <w:kern w:val="0"/>
                <w:sz w:val="24"/>
                <w:highlight w:val="none"/>
                <w:lang w:val="en-US" w:eastAsia="zh-CN"/>
              </w:rPr>
              <w:t>流程</w:t>
            </w:r>
            <w:r>
              <w:rPr>
                <w:rFonts w:hint="default" w:eastAsia="宋体"/>
                <w:color w:val="auto"/>
                <w:kern w:val="0"/>
                <w:sz w:val="24"/>
                <w:highlight w:val="none"/>
              </w:rPr>
              <w:t>及产</w:t>
            </w:r>
            <w:r>
              <w:rPr>
                <w:rFonts w:hint="eastAsia" w:eastAsia="宋体"/>
                <w:color w:val="auto"/>
                <w:kern w:val="0"/>
                <w:sz w:val="24"/>
                <w:highlight w:val="none"/>
                <w:lang w:val="en-US" w:eastAsia="zh-CN"/>
              </w:rPr>
              <w:t>排</w:t>
            </w:r>
            <w:r>
              <w:rPr>
                <w:rFonts w:hint="default" w:eastAsia="宋体"/>
                <w:color w:val="auto"/>
                <w:kern w:val="0"/>
                <w:sz w:val="24"/>
                <w:highlight w:val="none"/>
              </w:rPr>
              <w:t>污环节见</w:t>
            </w:r>
            <w:r>
              <w:rPr>
                <w:rFonts w:hint="eastAsia" w:eastAsia="宋体"/>
                <w:color w:val="auto"/>
                <w:kern w:val="0"/>
                <w:sz w:val="24"/>
                <w:highlight w:val="none"/>
                <w:lang w:eastAsia="zh-CN"/>
              </w:rPr>
              <w:t>下</w:t>
            </w:r>
            <w:r>
              <w:rPr>
                <w:rFonts w:hint="default" w:eastAsia="宋体"/>
                <w:color w:val="auto"/>
                <w:kern w:val="0"/>
                <w:sz w:val="24"/>
                <w:highlight w:val="none"/>
              </w:rPr>
              <w:t>图</w:t>
            </w:r>
            <w:r>
              <w:rPr>
                <w:rFonts w:hint="eastAsia" w:eastAsia="宋体"/>
                <w:color w:val="auto"/>
                <w:kern w:val="0"/>
                <w:sz w:val="24"/>
                <w:highlight w:val="none"/>
                <w:lang w:val="en-US" w:eastAsia="zh-CN"/>
              </w:rPr>
              <w:t>2-</w:t>
            </w:r>
            <w:r>
              <w:rPr>
                <w:rFonts w:hint="eastAsia"/>
                <w:color w:val="auto"/>
                <w:kern w:val="0"/>
                <w:sz w:val="24"/>
                <w:highlight w:val="none"/>
                <w:lang w:val="en-US" w:eastAsia="zh-CN"/>
              </w:rPr>
              <w:t>3</w:t>
            </w:r>
            <w:r>
              <w:rPr>
                <w:rFonts w:hint="default" w:eastAsia="宋体"/>
                <w:color w:val="auto"/>
                <w:kern w:val="0"/>
                <w:sz w:val="24"/>
                <w:highlight w:val="none"/>
              </w:rPr>
              <w:t>。</w:t>
            </w:r>
          </w:p>
          <w:p w14:paraId="1A945CD3">
            <w:pPr>
              <w:pStyle w:val="2"/>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color w:val="auto"/>
                <w:highlight w:val="none"/>
                <w:lang w:eastAsia="zh-CN"/>
              </w:rPr>
            </w:pPr>
            <w:r>
              <w:rPr>
                <w:color w:val="auto"/>
                <w:highlight w:val="none"/>
              </w:rPr>
              <w:drawing>
                <wp:inline distT="0" distB="0" distL="114300" distR="114300">
                  <wp:extent cx="4065905" cy="2874010"/>
                  <wp:effectExtent l="0" t="0" r="10795" b="2540"/>
                  <wp:docPr id="44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 name="图片 8"/>
                          <pic:cNvPicPr>
                            <a:picLocks noChangeAspect="1"/>
                          </pic:cNvPicPr>
                        </pic:nvPicPr>
                        <pic:blipFill>
                          <a:blip r:embed="rId10"/>
                          <a:stretch>
                            <a:fillRect/>
                          </a:stretch>
                        </pic:blipFill>
                        <pic:spPr>
                          <a:xfrm>
                            <a:off x="0" y="0"/>
                            <a:ext cx="4065905" cy="2874010"/>
                          </a:xfrm>
                          <a:prstGeom prst="rect">
                            <a:avLst/>
                          </a:prstGeom>
                          <a:noFill/>
                          <a:ln>
                            <a:noFill/>
                          </a:ln>
                        </pic:spPr>
                      </pic:pic>
                    </a:graphicData>
                  </a:graphic>
                </wp:inline>
              </w:drawing>
            </w:r>
          </w:p>
          <w:p w14:paraId="47D37BA7">
            <w:pPr>
              <w:pStyle w:val="27"/>
              <w:keepNext w:val="0"/>
              <w:keepLines w:val="0"/>
              <w:pageBreakBefore w:val="0"/>
              <w:widowControl w:val="0"/>
              <w:kinsoku/>
              <w:wordWrap/>
              <w:overflowPunct/>
              <w:topLinePunct w:val="0"/>
              <w:autoSpaceDE/>
              <w:autoSpaceDN/>
              <w:bidi w:val="0"/>
              <w:adjustRightInd/>
              <w:snapToGrid w:val="0"/>
              <w:spacing w:line="240" w:lineRule="auto"/>
              <w:ind w:right="86"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rPr>
              <w:t xml:space="preserve">图2-3  </w:t>
            </w:r>
            <w:r>
              <w:rPr>
                <w:rFonts w:hint="default" w:ascii="Times New Roman" w:hAnsi="Times New Roman" w:eastAsia="宋体" w:cs="Times New Roman"/>
                <w:b/>
                <w:bCs/>
                <w:color w:val="auto"/>
                <w:sz w:val="21"/>
                <w:szCs w:val="21"/>
                <w:highlight w:val="none"/>
                <w:lang w:val="en-US" w:eastAsia="zh-CN"/>
              </w:rPr>
              <w:t>项目</w:t>
            </w:r>
            <w:r>
              <w:rPr>
                <w:rFonts w:hint="eastAsia" w:ascii="Times New Roman" w:hAnsi="Times New Roman" w:cs="Times New Roman"/>
                <w:b/>
                <w:bCs/>
                <w:color w:val="auto"/>
                <w:sz w:val="21"/>
                <w:szCs w:val="21"/>
                <w:highlight w:val="none"/>
                <w:lang w:val="en-US" w:eastAsia="zh-CN"/>
              </w:rPr>
              <w:t>干混砂浆</w:t>
            </w:r>
            <w:r>
              <w:rPr>
                <w:rFonts w:hint="default" w:ascii="Times New Roman" w:hAnsi="Times New Roman" w:eastAsia="宋体" w:cs="Times New Roman"/>
                <w:b/>
                <w:bCs/>
                <w:color w:val="auto"/>
                <w:sz w:val="21"/>
                <w:szCs w:val="21"/>
                <w:highlight w:val="none"/>
                <w:lang w:val="en-US"/>
              </w:rPr>
              <w:t>生产工艺</w:t>
            </w:r>
            <w:r>
              <w:rPr>
                <w:rFonts w:hint="default" w:ascii="Times New Roman" w:hAnsi="Times New Roman" w:eastAsia="宋体" w:cs="Times New Roman"/>
                <w:b/>
                <w:bCs/>
                <w:color w:val="auto"/>
                <w:sz w:val="21"/>
                <w:szCs w:val="21"/>
                <w:highlight w:val="none"/>
                <w:lang w:val="en-US" w:eastAsia="zh-CN"/>
              </w:rPr>
              <w:t>流程及产污环节图</w:t>
            </w:r>
          </w:p>
          <w:p w14:paraId="5ED7789D">
            <w:pPr>
              <w:keepNext w:val="0"/>
              <w:keepLines w:val="0"/>
              <w:pageBreakBefore w:val="0"/>
              <w:widowControl/>
              <w:kinsoku/>
              <w:wordWrap/>
              <w:overflowPunct/>
              <w:topLinePunct w:val="0"/>
              <w:autoSpaceDE/>
              <w:autoSpaceDN/>
              <w:bidi w:val="0"/>
              <w:adjustRightInd/>
              <w:snapToGrid w:val="0"/>
              <w:spacing w:line="360" w:lineRule="auto"/>
              <w:ind w:firstLine="482" w:firstLineChars="200"/>
              <w:jc w:val="left"/>
              <w:textAlignment w:val="auto"/>
              <w:rPr>
                <w:rFonts w:hint="eastAsia" w:ascii="Times New Roman" w:hAnsi="Times New Roman" w:cs="Times New Roman" w:eastAsiaTheme="minorEastAsia"/>
                <w:b/>
                <w:bCs/>
                <w:color w:val="auto"/>
                <w:sz w:val="24"/>
                <w:highlight w:val="none"/>
                <w:lang w:val="en-US" w:eastAsia="zh-CN"/>
              </w:rPr>
            </w:pPr>
            <w:r>
              <w:rPr>
                <w:rFonts w:hint="eastAsia" w:ascii="Times New Roman" w:hAnsi="Times New Roman" w:cs="Times New Roman" w:eastAsiaTheme="minorEastAsia"/>
                <w:b/>
                <w:bCs/>
                <w:color w:val="auto"/>
                <w:sz w:val="24"/>
                <w:highlight w:val="none"/>
                <w:lang w:val="en-US" w:eastAsia="zh-CN"/>
              </w:rPr>
              <w:t>工艺流程简述：</w:t>
            </w:r>
          </w:p>
          <w:p w14:paraId="3E58EC35">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①筛分、</w:t>
            </w:r>
            <w:r>
              <w:rPr>
                <w:rFonts w:hint="eastAsia" w:cs="Times New Roman" w:eastAsiaTheme="minorEastAsia"/>
                <w:color w:val="auto"/>
                <w:sz w:val="24"/>
                <w:highlight w:val="none"/>
                <w:lang w:val="en-US" w:eastAsia="zh-CN"/>
              </w:rPr>
              <w:t>汽车</w:t>
            </w:r>
            <w:r>
              <w:rPr>
                <w:rFonts w:hint="default" w:ascii="Times New Roman" w:hAnsi="Times New Roman" w:cs="Times New Roman" w:eastAsiaTheme="minorEastAsia"/>
                <w:color w:val="auto"/>
                <w:sz w:val="24"/>
                <w:highlight w:val="none"/>
                <w:lang w:val="en-US" w:eastAsia="zh-CN"/>
              </w:rPr>
              <w:t>输送、原料储存</w:t>
            </w:r>
          </w:p>
          <w:p w14:paraId="0F12191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本项目机制砂来自</w:t>
            </w:r>
            <w:r>
              <w:rPr>
                <w:rFonts w:hint="eastAsia" w:cs="Times New Roman" w:eastAsiaTheme="minorEastAsia"/>
                <w:color w:val="auto"/>
                <w:sz w:val="24"/>
                <w:highlight w:val="none"/>
                <w:lang w:val="en-US" w:eastAsia="zh-CN"/>
              </w:rPr>
              <w:t>厂区自建的机制砂生产系统。在制砂楼旁边安装一台概率筛，机制砂经过拉链机喂料，进入概率筛，根据不同产品对级配的不同要求，筛分出0-2.36mm的砂子，通过拉链机及斗提，输送到干砂储存罐中储存，用于生产干混砂浆，2.36-4.75mm的砂子继续回到机制砂系统制砂</w:t>
            </w:r>
            <w:r>
              <w:rPr>
                <w:rFonts w:hint="default" w:ascii="Times New Roman" w:hAnsi="Times New Roman" w:cs="Times New Roman" w:eastAsiaTheme="minorEastAsia"/>
                <w:color w:val="auto"/>
                <w:sz w:val="24"/>
                <w:highlight w:val="none"/>
                <w:lang w:val="en-US" w:eastAsia="zh-CN"/>
              </w:rPr>
              <w:t>。因此，此过程会</w:t>
            </w:r>
            <w:r>
              <w:rPr>
                <w:rFonts w:hint="eastAsia" w:cs="Times New Roman" w:eastAsiaTheme="minorEastAsia"/>
                <w:color w:val="auto"/>
                <w:sz w:val="24"/>
                <w:highlight w:val="none"/>
                <w:lang w:val="en-US" w:eastAsia="zh-CN"/>
              </w:rPr>
              <w:t>产生筛分</w:t>
            </w:r>
            <w:r>
              <w:rPr>
                <w:rFonts w:hint="default" w:ascii="Times New Roman" w:hAnsi="Times New Roman" w:cs="Times New Roman" w:eastAsiaTheme="minorEastAsia"/>
                <w:color w:val="auto"/>
                <w:sz w:val="24"/>
                <w:highlight w:val="none"/>
                <w:lang w:val="en-US" w:eastAsia="zh-CN"/>
              </w:rPr>
              <w:t>粉尘、</w:t>
            </w:r>
            <w:r>
              <w:rPr>
                <w:rFonts w:hint="eastAsia" w:cs="Times New Roman" w:eastAsiaTheme="minorEastAsia"/>
                <w:color w:val="auto"/>
                <w:sz w:val="24"/>
                <w:highlight w:val="none"/>
                <w:lang w:val="en-US" w:eastAsia="zh-CN"/>
              </w:rPr>
              <w:t>输送粉尘、</w:t>
            </w:r>
            <w:r>
              <w:rPr>
                <w:rFonts w:hint="default" w:ascii="Times New Roman" w:hAnsi="Times New Roman" w:cs="Times New Roman" w:eastAsiaTheme="minorEastAsia"/>
                <w:color w:val="auto"/>
                <w:sz w:val="24"/>
                <w:highlight w:val="none"/>
                <w:lang w:val="en-US" w:eastAsia="zh-CN"/>
              </w:rPr>
              <w:t>汽车运输扬尘、储存仓呼吸粉尘和噪声。</w:t>
            </w:r>
          </w:p>
          <w:p w14:paraId="1D77E00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②原料上料储存</w:t>
            </w:r>
          </w:p>
          <w:p w14:paraId="2D940C6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散装水泥通过商混搅拌站的气体输送泵，从散装水泥输送到粉料罐贮存备用。石粉由密闭罐车从机制砂石粉仓倒运至干混砂浆车间，矿粉和粉煤灰由密闭罐车运至厂内，采用密闭管道通过气力输送至粉料罐贮存备用。外加剂经由货梯运送至外加剂投料层后由人工拆袋投入外加剂储存罐内</w:t>
            </w:r>
            <w:r>
              <w:rPr>
                <w:rFonts w:hint="eastAsia" w:cs="Times New Roman" w:eastAsiaTheme="minorEastAsia"/>
                <w:color w:val="auto"/>
                <w:sz w:val="24"/>
                <w:highlight w:val="none"/>
                <w:lang w:val="en-US" w:eastAsia="zh-CN"/>
              </w:rPr>
              <w:t>。</w:t>
            </w:r>
            <w:r>
              <w:rPr>
                <w:rFonts w:hint="default" w:ascii="Times New Roman" w:hAnsi="Times New Roman" w:cs="Times New Roman" w:eastAsiaTheme="minorEastAsia"/>
                <w:color w:val="auto"/>
                <w:sz w:val="24"/>
                <w:highlight w:val="none"/>
                <w:lang w:val="en-US" w:eastAsia="zh-CN"/>
              </w:rPr>
              <w:t>此过程会</w:t>
            </w:r>
            <w:r>
              <w:rPr>
                <w:rFonts w:hint="eastAsia" w:cs="Times New Roman" w:eastAsiaTheme="minorEastAsia"/>
                <w:color w:val="auto"/>
                <w:sz w:val="24"/>
                <w:highlight w:val="none"/>
                <w:lang w:val="en-US" w:eastAsia="zh-CN"/>
              </w:rPr>
              <w:t>产生</w:t>
            </w:r>
            <w:r>
              <w:rPr>
                <w:rFonts w:hint="default" w:ascii="Times New Roman" w:hAnsi="Times New Roman" w:cs="Times New Roman" w:eastAsiaTheme="minorEastAsia"/>
                <w:color w:val="auto"/>
                <w:sz w:val="24"/>
                <w:highlight w:val="none"/>
                <w:lang w:val="en-US" w:eastAsia="zh-CN"/>
              </w:rPr>
              <w:t>汽车运输扬尘、储存仓呼吸粉尘和噪声</w:t>
            </w:r>
            <w:r>
              <w:rPr>
                <w:rFonts w:hint="eastAsia" w:cs="Times New Roman" w:eastAsiaTheme="minorEastAsia"/>
                <w:color w:val="auto"/>
                <w:sz w:val="24"/>
                <w:highlight w:val="none"/>
                <w:lang w:val="en-US" w:eastAsia="zh-CN"/>
              </w:rPr>
              <w:t>。</w:t>
            </w:r>
          </w:p>
          <w:p w14:paraId="32DF7D15">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③</w:t>
            </w:r>
            <w:r>
              <w:rPr>
                <w:rFonts w:hint="default" w:ascii="Times New Roman" w:hAnsi="Times New Roman" w:cs="Times New Roman" w:eastAsiaTheme="minorEastAsia"/>
                <w:color w:val="auto"/>
                <w:sz w:val="24"/>
                <w:highlight w:val="none"/>
                <w:lang w:val="en-US" w:eastAsia="zh-CN"/>
              </w:rPr>
              <w:t>配料计量</w:t>
            </w:r>
          </w:p>
          <w:p w14:paraId="15B248CD">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原料砂计量采用双行程气动插板阀+气动蝶阀控制给料、粉料计量采用变频螺旋输送给料、外加剂计量采用微量精确给料变频螺旋输送给料。在电脑预设程序的控制下，根据砂浆原料配比的要求，把筒仓中的砂、水泥、粉煤灰、外加剂等原料导入计量秤内，实现原料精确计量。此过程密闭，不产生废气，但会产生设备噪声。</w:t>
            </w:r>
          </w:p>
          <w:p w14:paraId="17E935C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④</w:t>
            </w:r>
            <w:r>
              <w:rPr>
                <w:rFonts w:hint="default" w:ascii="Times New Roman" w:hAnsi="Times New Roman" w:cs="Times New Roman" w:eastAsiaTheme="minorEastAsia"/>
                <w:color w:val="auto"/>
                <w:sz w:val="24"/>
                <w:highlight w:val="none"/>
                <w:lang w:val="en-US" w:eastAsia="zh-CN"/>
              </w:rPr>
              <w:t>搅拌混合</w:t>
            </w:r>
          </w:p>
          <w:p w14:paraId="00FEDB61">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计量好后的砂、水泥、粉煤灰和外加剂，通过控制秤下的卸料蝶阀将计量料</w:t>
            </w:r>
            <w:r>
              <w:rPr>
                <w:rFonts w:hint="eastAsia" w:cs="Times New Roman" w:eastAsiaTheme="minorEastAsia"/>
                <w:color w:val="auto"/>
                <w:sz w:val="24"/>
                <w:highlight w:val="none"/>
                <w:lang w:val="en-US" w:eastAsia="zh-CN"/>
              </w:rPr>
              <w:t>卸入</w:t>
            </w:r>
            <w:r>
              <w:rPr>
                <w:rFonts w:hint="default" w:ascii="Times New Roman" w:hAnsi="Times New Roman" w:cs="Times New Roman" w:eastAsiaTheme="minorEastAsia"/>
                <w:color w:val="auto"/>
                <w:sz w:val="24"/>
                <w:highlight w:val="none"/>
                <w:lang w:val="en-US" w:eastAsia="zh-CN"/>
              </w:rPr>
              <w:t>搅拌主机</w:t>
            </w:r>
            <w:r>
              <w:rPr>
                <w:rFonts w:hint="eastAsia"/>
                <w:lang w:eastAsia="zh-CN"/>
              </w:rPr>
              <w:t>，</w:t>
            </w:r>
            <w:r>
              <w:rPr>
                <w:rFonts w:hint="default" w:ascii="Times New Roman" w:hAnsi="Times New Roman" w:cs="Times New Roman" w:eastAsiaTheme="minorEastAsia"/>
                <w:color w:val="auto"/>
                <w:sz w:val="24"/>
                <w:highlight w:val="none"/>
                <w:lang w:val="en-US" w:eastAsia="zh-CN"/>
              </w:rPr>
              <w:t>按照给定的搅拌工艺进行搅拌混合，在达到预设的混合时间后搅拌主机自行打开主机卸料门</w:t>
            </w:r>
            <w:r>
              <w:rPr>
                <w:rFonts w:hint="eastAsia"/>
                <w:lang w:eastAsia="zh-CN"/>
              </w:rPr>
              <w:t>，</w:t>
            </w:r>
            <w:r>
              <w:rPr>
                <w:rFonts w:hint="default" w:ascii="Times New Roman" w:hAnsi="Times New Roman" w:cs="Times New Roman" w:eastAsiaTheme="minorEastAsia"/>
                <w:color w:val="auto"/>
                <w:sz w:val="24"/>
                <w:highlight w:val="none"/>
                <w:lang w:val="en-US" w:eastAsia="zh-CN"/>
              </w:rPr>
              <w:t>将混合后的成品料卸入到主机卸料斗内。此过程会产生搅拌粉尘和</w:t>
            </w:r>
            <w:r>
              <w:rPr>
                <w:rFonts w:hint="eastAsia" w:cs="Times New Roman" w:eastAsiaTheme="minorEastAsia"/>
                <w:color w:val="auto"/>
                <w:sz w:val="24"/>
                <w:highlight w:val="none"/>
                <w:lang w:val="en-US" w:eastAsia="zh-CN"/>
              </w:rPr>
              <w:t>噪声。</w:t>
            </w:r>
          </w:p>
          <w:p w14:paraId="5E0BB62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eastAsiaTheme="minorEastAsia"/>
                <w:color w:val="auto"/>
                <w:sz w:val="24"/>
                <w:highlight w:val="none"/>
                <w:lang w:val="en-US" w:eastAsia="zh-CN"/>
              </w:rPr>
            </w:pPr>
            <w:r>
              <w:rPr>
                <w:rFonts w:hint="eastAsia" w:cs="Times New Roman" w:eastAsiaTheme="minorEastAsia"/>
                <w:color w:val="auto"/>
                <w:sz w:val="24"/>
                <w:highlight w:val="none"/>
                <w:lang w:val="en-US" w:eastAsia="zh-CN"/>
              </w:rPr>
              <w:t>⑤</w:t>
            </w:r>
            <w:r>
              <w:rPr>
                <w:rFonts w:hint="default" w:ascii="Times New Roman" w:hAnsi="Times New Roman" w:cs="Times New Roman" w:eastAsiaTheme="minorEastAsia"/>
                <w:color w:val="auto"/>
                <w:sz w:val="24"/>
                <w:highlight w:val="none"/>
                <w:lang w:val="en-US" w:eastAsia="zh-CN"/>
              </w:rPr>
              <w:t>成品散装</w:t>
            </w:r>
            <w:r>
              <w:rPr>
                <w:rFonts w:hint="eastAsia" w:cs="Times New Roman" w:eastAsiaTheme="minorEastAsia"/>
                <w:color w:val="auto"/>
                <w:sz w:val="24"/>
                <w:highlight w:val="none"/>
                <w:lang w:val="en-US" w:eastAsia="zh-CN"/>
              </w:rPr>
              <w:t>及袋装</w:t>
            </w:r>
          </w:p>
          <w:p w14:paraId="2CE5AEBC">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主机卸料斗通过叶轮给料器及分料阀可选择直接输送到散装头后直接进入散装罐车运输；也可选择输送到成品斗提机，成品斗提将成品砂浆提升进入成品储仓；也可选择输送到包装缓冲仓，经下料装置进入包装机，包装后经接包机、顺包机进入码包系统。此过程会产生一定的散装粉尘</w:t>
            </w:r>
            <w:r>
              <w:rPr>
                <w:rFonts w:hint="eastAsia" w:cs="Times New Roman" w:eastAsiaTheme="minorEastAsia"/>
                <w:color w:val="auto"/>
                <w:sz w:val="24"/>
                <w:highlight w:val="none"/>
                <w:lang w:val="en-US" w:eastAsia="zh-CN"/>
              </w:rPr>
              <w:t>、袋装粉尘</w:t>
            </w:r>
            <w:r>
              <w:rPr>
                <w:rFonts w:hint="default" w:ascii="Times New Roman" w:hAnsi="Times New Roman" w:cs="Times New Roman" w:eastAsiaTheme="minorEastAsia"/>
                <w:color w:val="auto"/>
                <w:sz w:val="24"/>
                <w:highlight w:val="none"/>
                <w:lang w:val="en-US" w:eastAsia="zh-CN"/>
              </w:rPr>
              <w:t>和噪声。</w:t>
            </w:r>
          </w:p>
          <w:p w14:paraId="5F41397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⑤码包及覆膜系统</w:t>
            </w:r>
          </w:p>
          <w:p w14:paraId="102C526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袋装干混砂浆经过输送进入码包系统（立柱式码垛机），码包完成后，通过托盘输送机，输送到冷拉伸套膜机进行覆膜，覆膜完成的成品通过叉车运输到仓库中等待发运。</w:t>
            </w:r>
            <w:r>
              <w:rPr>
                <w:rFonts w:hint="eastAsia" w:cs="Times New Roman" w:eastAsiaTheme="minorEastAsia"/>
                <w:color w:val="auto"/>
                <w:sz w:val="24"/>
                <w:highlight w:val="none"/>
                <w:lang w:val="en-US" w:eastAsia="zh-CN"/>
              </w:rPr>
              <w:t>此过程会产生固废</w:t>
            </w:r>
            <w:r>
              <w:rPr>
                <w:rFonts w:hint="default" w:ascii="Times New Roman" w:hAnsi="Times New Roman" w:cs="Times New Roman" w:eastAsiaTheme="minorEastAsia"/>
                <w:color w:val="auto"/>
                <w:sz w:val="24"/>
                <w:highlight w:val="none"/>
                <w:lang w:val="en-US" w:eastAsia="zh-CN"/>
              </w:rPr>
              <w:t>和噪声。</w:t>
            </w:r>
          </w:p>
          <w:p w14:paraId="6C6A85D6">
            <w:pPr>
              <w:pStyle w:val="15"/>
              <w:keepNext w:val="0"/>
              <w:keepLines w:val="0"/>
              <w:pageBreakBefore w:val="0"/>
              <w:kinsoku/>
              <w:wordWrap/>
              <w:overflowPunct/>
              <w:topLinePunct w:val="0"/>
              <w:autoSpaceDE/>
              <w:autoSpaceDN/>
              <w:bidi w:val="0"/>
              <w:adjustRightInd/>
              <w:snapToGrid w:val="0"/>
              <w:spacing w:line="360" w:lineRule="auto"/>
              <w:ind w:left="0" w:leftChars="0" w:right="0" w:firstLine="480" w:firstLineChars="200"/>
              <w:textAlignment w:val="auto"/>
              <w:rPr>
                <w:rFonts w:eastAsiaTheme="minorEastAsia"/>
                <w:b/>
                <w:bCs/>
                <w:color w:val="auto"/>
                <w:sz w:val="24"/>
                <w:highlight w:val="none"/>
              </w:rPr>
            </w:pPr>
            <w:r>
              <w:rPr>
                <w:rFonts w:eastAsiaTheme="minorEastAsia"/>
                <w:color w:val="auto"/>
                <w:sz w:val="24"/>
                <w:highlight w:val="none"/>
              </w:rPr>
              <w:t>2</w:t>
            </w:r>
            <w:r>
              <w:rPr>
                <w:rFonts w:hint="eastAsia" w:eastAsiaTheme="minorEastAsia"/>
                <w:color w:val="auto"/>
                <w:sz w:val="24"/>
                <w:highlight w:val="none"/>
                <w:lang w:val="en-US" w:eastAsia="zh-CN"/>
              </w:rPr>
              <w:t>.</w:t>
            </w:r>
            <w:r>
              <w:rPr>
                <w:rFonts w:eastAsiaTheme="minorEastAsia"/>
                <w:color w:val="auto"/>
                <w:sz w:val="24"/>
                <w:highlight w:val="none"/>
              </w:rPr>
              <w:t>运营期主要污染工序及污染因子识别</w:t>
            </w:r>
          </w:p>
          <w:p w14:paraId="3B757F16">
            <w:pPr>
              <w:pStyle w:val="27"/>
              <w:keepNext w:val="0"/>
              <w:keepLines w:val="0"/>
              <w:pageBreakBefore w:val="0"/>
              <w:kinsoku/>
              <w:wordWrap/>
              <w:overflowPunct/>
              <w:topLinePunct w:val="0"/>
              <w:autoSpaceDE/>
              <w:autoSpaceDN/>
              <w:bidi w:val="0"/>
              <w:adjustRightInd/>
              <w:snapToGrid w:val="0"/>
              <w:spacing w:line="360" w:lineRule="auto"/>
              <w:ind w:right="0" w:firstLine="480" w:firstLineChars="200"/>
              <w:textAlignment w:val="auto"/>
              <w:rPr>
                <w:rFonts w:ascii="Times New Roman" w:hAnsi="Times New Roman" w:cs="Times New Roman" w:eastAsiaTheme="minorEastAsia"/>
                <w:color w:val="auto"/>
                <w:sz w:val="24"/>
                <w:highlight w:val="none"/>
                <w:lang w:val="en-US"/>
              </w:rPr>
            </w:pPr>
            <w:r>
              <w:rPr>
                <w:rFonts w:ascii="Times New Roman" w:hAnsi="Times New Roman" w:cs="Times New Roman" w:eastAsiaTheme="minorEastAsia"/>
                <w:color w:val="auto"/>
                <w:sz w:val="24"/>
                <w:highlight w:val="none"/>
                <w:lang w:val="en-US"/>
              </w:rPr>
              <w:t>本项目运营期主要污染工序及污染因子见表2-</w:t>
            </w:r>
            <w:r>
              <w:rPr>
                <w:rFonts w:hint="eastAsia" w:ascii="Times New Roman" w:hAnsi="Times New Roman" w:cs="Times New Roman" w:eastAsiaTheme="minorEastAsia"/>
                <w:color w:val="auto"/>
                <w:sz w:val="24"/>
                <w:highlight w:val="none"/>
                <w:lang w:val="en-US" w:eastAsia="zh-CN"/>
              </w:rPr>
              <w:t>14</w:t>
            </w:r>
            <w:r>
              <w:rPr>
                <w:rFonts w:ascii="Times New Roman" w:hAnsi="Times New Roman" w:cs="Times New Roman" w:eastAsiaTheme="minorEastAsia"/>
                <w:color w:val="auto"/>
                <w:sz w:val="24"/>
                <w:highlight w:val="none"/>
                <w:lang w:val="en-US"/>
              </w:rPr>
              <w:t>。</w:t>
            </w:r>
          </w:p>
          <w:p w14:paraId="70A2CB46">
            <w:pPr>
              <w:pStyle w:val="15"/>
              <w:ind w:left="0" w:leftChars="0" w:firstLine="2319" w:firstLineChars="1100"/>
              <w:rPr>
                <w:rFonts w:hint="eastAsia" w:eastAsiaTheme="minorEastAsia"/>
                <w:b/>
                <w:color w:val="auto"/>
                <w:sz w:val="21"/>
                <w:szCs w:val="21"/>
                <w:highlight w:val="none"/>
                <w:lang w:val="en-US" w:eastAsia="zh-CN"/>
              </w:rPr>
            </w:pPr>
            <w:r>
              <w:rPr>
                <w:rFonts w:eastAsiaTheme="minorEastAsia"/>
                <w:b/>
                <w:bCs/>
                <w:color w:val="auto"/>
                <w:sz w:val="21"/>
                <w:szCs w:val="21"/>
                <w:highlight w:val="none"/>
              </w:rPr>
              <w:t>表2-</w:t>
            </w:r>
            <w:r>
              <w:rPr>
                <w:rFonts w:hint="eastAsia" w:eastAsiaTheme="minorEastAsia"/>
                <w:b/>
                <w:bCs/>
                <w:color w:val="auto"/>
                <w:sz w:val="21"/>
                <w:szCs w:val="21"/>
                <w:highlight w:val="none"/>
                <w:lang w:val="en-US" w:eastAsia="zh-CN"/>
              </w:rPr>
              <w:t>14</w:t>
            </w:r>
            <w:r>
              <w:rPr>
                <w:rFonts w:eastAsiaTheme="minorEastAsia"/>
                <w:color w:val="auto"/>
                <w:sz w:val="21"/>
                <w:szCs w:val="21"/>
                <w:highlight w:val="none"/>
              </w:rPr>
              <w:t xml:space="preserve"> </w:t>
            </w:r>
            <w:r>
              <w:rPr>
                <w:rFonts w:hint="eastAsia" w:eastAsiaTheme="minorEastAsia"/>
                <w:color w:val="auto"/>
                <w:sz w:val="21"/>
                <w:szCs w:val="21"/>
                <w:highlight w:val="none"/>
                <w:lang w:val="en-US" w:eastAsia="zh-CN"/>
              </w:rPr>
              <w:t xml:space="preserve"> </w:t>
            </w:r>
            <w:r>
              <w:rPr>
                <w:rFonts w:eastAsiaTheme="minorEastAsia"/>
                <w:b/>
                <w:color w:val="auto"/>
                <w:sz w:val="21"/>
                <w:szCs w:val="21"/>
                <w:highlight w:val="none"/>
              </w:rPr>
              <w:t>主要污染工序及污染因子</w:t>
            </w:r>
            <w:r>
              <w:rPr>
                <w:rFonts w:hint="eastAsia" w:eastAsiaTheme="minorEastAsia"/>
                <w:b/>
                <w:color w:val="auto"/>
                <w:sz w:val="21"/>
                <w:szCs w:val="21"/>
                <w:highlight w:val="none"/>
                <w:lang w:val="en-US" w:eastAsia="zh-CN"/>
              </w:rPr>
              <w:t>一览表</w:t>
            </w:r>
          </w:p>
          <w:tbl>
            <w:tblPr>
              <w:tblStyle w:val="20"/>
              <w:tblW w:w="80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836"/>
              <w:gridCol w:w="1071"/>
              <w:gridCol w:w="2904"/>
              <w:gridCol w:w="2552"/>
            </w:tblGrid>
            <w:tr w14:paraId="1CF2EB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56504E7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b/>
                      <w:bCs/>
                      <w:color w:val="auto"/>
                      <w:szCs w:val="21"/>
                      <w:highlight w:val="none"/>
                    </w:rPr>
                  </w:pPr>
                  <w:r>
                    <w:rPr>
                      <w:rFonts w:eastAsiaTheme="minorEastAsia"/>
                      <w:b/>
                      <w:bCs/>
                      <w:color w:val="auto"/>
                      <w:szCs w:val="21"/>
                      <w:highlight w:val="none"/>
                    </w:rPr>
                    <w:t>时段</w:t>
                  </w:r>
                </w:p>
              </w:tc>
              <w:tc>
                <w:tcPr>
                  <w:tcW w:w="1907" w:type="dxa"/>
                  <w:gridSpan w:val="2"/>
                  <w:tcBorders>
                    <w:tl2br w:val="nil"/>
                    <w:tr2bl w:val="nil"/>
                  </w:tcBorders>
                  <w:vAlign w:val="center"/>
                </w:tcPr>
                <w:p w14:paraId="6B5ECEF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b/>
                      <w:bCs/>
                      <w:color w:val="auto"/>
                      <w:szCs w:val="21"/>
                      <w:highlight w:val="none"/>
                    </w:rPr>
                  </w:pPr>
                  <w:r>
                    <w:rPr>
                      <w:rFonts w:eastAsiaTheme="minorEastAsia"/>
                      <w:b/>
                      <w:bCs/>
                      <w:color w:val="auto"/>
                      <w:szCs w:val="21"/>
                      <w:highlight w:val="none"/>
                    </w:rPr>
                    <w:t>污染物</w:t>
                  </w:r>
                </w:p>
              </w:tc>
              <w:tc>
                <w:tcPr>
                  <w:tcW w:w="2904" w:type="dxa"/>
                  <w:tcBorders>
                    <w:tl2br w:val="nil"/>
                    <w:tr2bl w:val="nil"/>
                  </w:tcBorders>
                  <w:vAlign w:val="center"/>
                </w:tcPr>
                <w:p w14:paraId="02F1B59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b/>
                      <w:bCs/>
                      <w:color w:val="auto"/>
                      <w:szCs w:val="21"/>
                      <w:highlight w:val="none"/>
                    </w:rPr>
                  </w:pPr>
                  <w:r>
                    <w:rPr>
                      <w:rFonts w:eastAsiaTheme="minorEastAsia"/>
                      <w:b/>
                      <w:bCs/>
                      <w:color w:val="auto"/>
                      <w:szCs w:val="21"/>
                      <w:highlight w:val="none"/>
                    </w:rPr>
                    <w:t>污染物产生环节</w:t>
                  </w:r>
                </w:p>
              </w:tc>
              <w:tc>
                <w:tcPr>
                  <w:tcW w:w="2552" w:type="dxa"/>
                  <w:tcBorders>
                    <w:tl2br w:val="nil"/>
                    <w:tr2bl w:val="nil"/>
                  </w:tcBorders>
                  <w:vAlign w:val="center"/>
                </w:tcPr>
                <w:p w14:paraId="78112A0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b/>
                      <w:bCs/>
                      <w:color w:val="auto"/>
                      <w:szCs w:val="21"/>
                      <w:highlight w:val="none"/>
                    </w:rPr>
                  </w:pPr>
                  <w:r>
                    <w:rPr>
                      <w:rFonts w:eastAsiaTheme="minorEastAsia"/>
                      <w:b/>
                      <w:bCs/>
                      <w:color w:val="auto"/>
                      <w:szCs w:val="21"/>
                      <w:highlight w:val="none"/>
                    </w:rPr>
                    <w:t>污染因子</w:t>
                  </w:r>
                </w:p>
              </w:tc>
            </w:tr>
            <w:tr w14:paraId="6A845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restart"/>
                  <w:tcBorders>
                    <w:tl2br w:val="nil"/>
                    <w:tr2bl w:val="nil"/>
                  </w:tcBorders>
                  <w:vAlign w:val="center"/>
                </w:tcPr>
                <w:p w14:paraId="0728423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运营期</w:t>
                  </w:r>
                </w:p>
              </w:tc>
              <w:tc>
                <w:tcPr>
                  <w:tcW w:w="836" w:type="dxa"/>
                  <w:vMerge w:val="restart"/>
                  <w:tcBorders>
                    <w:tl2br w:val="nil"/>
                    <w:tr2bl w:val="nil"/>
                  </w:tcBorders>
                  <w:vAlign w:val="center"/>
                </w:tcPr>
                <w:p w14:paraId="2A7991C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废气</w:t>
                  </w:r>
                </w:p>
              </w:tc>
              <w:tc>
                <w:tcPr>
                  <w:tcW w:w="1071" w:type="dxa"/>
                  <w:vMerge w:val="restart"/>
                  <w:tcBorders>
                    <w:tl2br w:val="nil"/>
                    <w:tr2bl w:val="nil"/>
                  </w:tcBorders>
                  <w:vAlign w:val="center"/>
                </w:tcPr>
                <w:p w14:paraId="0102D4D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干混砂浆</w:t>
                  </w:r>
                </w:p>
              </w:tc>
              <w:tc>
                <w:tcPr>
                  <w:tcW w:w="2904" w:type="dxa"/>
                  <w:tcBorders>
                    <w:tl2br w:val="nil"/>
                    <w:tr2bl w:val="nil"/>
                  </w:tcBorders>
                  <w:vAlign w:val="center"/>
                </w:tcPr>
                <w:p w14:paraId="4A1D611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机制砂筛分</w:t>
                  </w:r>
                </w:p>
              </w:tc>
              <w:tc>
                <w:tcPr>
                  <w:tcW w:w="2552" w:type="dxa"/>
                  <w:tcBorders>
                    <w:tl2br w:val="nil"/>
                    <w:tr2bl w:val="nil"/>
                  </w:tcBorders>
                  <w:vAlign w:val="center"/>
                </w:tcPr>
                <w:p w14:paraId="10BFBA4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颗粒物</w:t>
                  </w:r>
                </w:p>
              </w:tc>
            </w:tr>
            <w:tr w14:paraId="6A5F3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745D0AA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836" w:type="dxa"/>
                  <w:vMerge w:val="continue"/>
                  <w:tcBorders>
                    <w:tl2br w:val="nil"/>
                    <w:tr2bl w:val="nil"/>
                  </w:tcBorders>
                  <w:vAlign w:val="center"/>
                </w:tcPr>
                <w:p w14:paraId="3FDD63B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1071" w:type="dxa"/>
                  <w:vMerge w:val="continue"/>
                  <w:tcBorders>
                    <w:tl2br w:val="nil"/>
                    <w:tr2bl w:val="nil"/>
                  </w:tcBorders>
                  <w:vAlign w:val="center"/>
                </w:tcPr>
                <w:p w14:paraId="3D84C74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2904" w:type="dxa"/>
                  <w:tcBorders>
                    <w:tl2br w:val="nil"/>
                    <w:tr2bl w:val="nil"/>
                  </w:tcBorders>
                  <w:vAlign w:val="center"/>
                </w:tcPr>
                <w:p w14:paraId="6333976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汽车运输</w:t>
                  </w:r>
                </w:p>
              </w:tc>
              <w:tc>
                <w:tcPr>
                  <w:tcW w:w="2552" w:type="dxa"/>
                  <w:tcBorders>
                    <w:tl2br w:val="nil"/>
                    <w:tr2bl w:val="nil"/>
                  </w:tcBorders>
                  <w:vAlign w:val="center"/>
                </w:tcPr>
                <w:p w14:paraId="1AA1A49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颗粒物</w:t>
                  </w:r>
                </w:p>
              </w:tc>
            </w:tr>
            <w:tr w14:paraId="25103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3AE5CBF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836" w:type="dxa"/>
                  <w:vMerge w:val="continue"/>
                  <w:tcBorders>
                    <w:tl2br w:val="nil"/>
                    <w:tr2bl w:val="nil"/>
                  </w:tcBorders>
                  <w:vAlign w:val="center"/>
                </w:tcPr>
                <w:p w14:paraId="2797562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1071" w:type="dxa"/>
                  <w:vMerge w:val="continue"/>
                  <w:tcBorders>
                    <w:tl2br w:val="nil"/>
                    <w:tr2bl w:val="nil"/>
                  </w:tcBorders>
                  <w:vAlign w:val="center"/>
                </w:tcPr>
                <w:p w14:paraId="62C2DEE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2904" w:type="dxa"/>
                  <w:tcBorders>
                    <w:tl2br w:val="nil"/>
                    <w:tr2bl w:val="nil"/>
                  </w:tcBorders>
                  <w:vAlign w:val="center"/>
                </w:tcPr>
                <w:p w14:paraId="592E792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原料储存</w:t>
                  </w:r>
                </w:p>
              </w:tc>
              <w:tc>
                <w:tcPr>
                  <w:tcW w:w="2552" w:type="dxa"/>
                  <w:tcBorders>
                    <w:tl2br w:val="nil"/>
                    <w:tr2bl w:val="nil"/>
                  </w:tcBorders>
                  <w:vAlign w:val="center"/>
                </w:tcPr>
                <w:p w14:paraId="77CC5E9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颗粒物</w:t>
                  </w:r>
                </w:p>
              </w:tc>
            </w:tr>
            <w:tr w14:paraId="57B1A8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107AA17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836" w:type="dxa"/>
                  <w:vMerge w:val="continue"/>
                  <w:tcBorders>
                    <w:tl2br w:val="nil"/>
                    <w:tr2bl w:val="nil"/>
                  </w:tcBorders>
                  <w:vAlign w:val="center"/>
                </w:tcPr>
                <w:p w14:paraId="0645CFC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1071" w:type="dxa"/>
                  <w:vMerge w:val="continue"/>
                  <w:tcBorders>
                    <w:tl2br w:val="nil"/>
                    <w:tr2bl w:val="nil"/>
                  </w:tcBorders>
                  <w:vAlign w:val="center"/>
                </w:tcPr>
                <w:p w14:paraId="2E540F3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2904" w:type="dxa"/>
                  <w:tcBorders>
                    <w:tl2br w:val="nil"/>
                    <w:tr2bl w:val="nil"/>
                  </w:tcBorders>
                  <w:vAlign w:val="center"/>
                </w:tcPr>
                <w:p w14:paraId="5CD7D3C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搅拌</w:t>
                  </w:r>
                </w:p>
              </w:tc>
              <w:tc>
                <w:tcPr>
                  <w:tcW w:w="2552" w:type="dxa"/>
                  <w:tcBorders>
                    <w:tl2br w:val="nil"/>
                    <w:tr2bl w:val="nil"/>
                  </w:tcBorders>
                  <w:vAlign w:val="center"/>
                </w:tcPr>
                <w:p w14:paraId="0A0295E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颗粒物</w:t>
                  </w:r>
                </w:p>
              </w:tc>
            </w:tr>
            <w:tr w14:paraId="6A5DCA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4E0D82F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836" w:type="dxa"/>
                  <w:vMerge w:val="continue"/>
                  <w:tcBorders>
                    <w:tl2br w:val="nil"/>
                    <w:tr2bl w:val="nil"/>
                  </w:tcBorders>
                  <w:vAlign w:val="center"/>
                </w:tcPr>
                <w:p w14:paraId="0562F0F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1071" w:type="dxa"/>
                  <w:vMerge w:val="continue"/>
                  <w:tcBorders>
                    <w:tl2br w:val="nil"/>
                    <w:tr2bl w:val="nil"/>
                  </w:tcBorders>
                  <w:vAlign w:val="center"/>
                </w:tcPr>
                <w:p w14:paraId="5221B73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2904" w:type="dxa"/>
                  <w:tcBorders>
                    <w:tl2br w:val="nil"/>
                    <w:tr2bl w:val="nil"/>
                  </w:tcBorders>
                  <w:vAlign w:val="center"/>
                </w:tcPr>
                <w:p w14:paraId="3FE5AB6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外加剂投料</w:t>
                  </w:r>
                </w:p>
              </w:tc>
              <w:tc>
                <w:tcPr>
                  <w:tcW w:w="2552" w:type="dxa"/>
                  <w:tcBorders>
                    <w:tl2br w:val="nil"/>
                    <w:tr2bl w:val="nil"/>
                  </w:tcBorders>
                  <w:vAlign w:val="center"/>
                </w:tcPr>
                <w:p w14:paraId="41F3FB1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颗粒物</w:t>
                  </w:r>
                </w:p>
              </w:tc>
            </w:tr>
            <w:tr w14:paraId="37413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114EAA9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836" w:type="dxa"/>
                  <w:vMerge w:val="continue"/>
                  <w:tcBorders>
                    <w:tl2br w:val="nil"/>
                    <w:tr2bl w:val="nil"/>
                  </w:tcBorders>
                  <w:vAlign w:val="center"/>
                </w:tcPr>
                <w:p w14:paraId="0366A7D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1071" w:type="dxa"/>
                  <w:vMerge w:val="continue"/>
                  <w:tcBorders>
                    <w:tl2br w:val="nil"/>
                    <w:tr2bl w:val="nil"/>
                  </w:tcBorders>
                  <w:vAlign w:val="center"/>
                </w:tcPr>
                <w:p w14:paraId="291FF21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2904" w:type="dxa"/>
                  <w:tcBorders>
                    <w:tl2br w:val="nil"/>
                    <w:tr2bl w:val="nil"/>
                  </w:tcBorders>
                  <w:vAlign w:val="center"/>
                </w:tcPr>
                <w:p w14:paraId="7CD8791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成品散装</w:t>
                  </w:r>
                </w:p>
              </w:tc>
              <w:tc>
                <w:tcPr>
                  <w:tcW w:w="2552" w:type="dxa"/>
                  <w:tcBorders>
                    <w:tl2br w:val="nil"/>
                    <w:tr2bl w:val="nil"/>
                  </w:tcBorders>
                  <w:vAlign w:val="center"/>
                </w:tcPr>
                <w:p w14:paraId="743123E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颗粒物</w:t>
                  </w:r>
                </w:p>
              </w:tc>
            </w:tr>
            <w:tr w14:paraId="4B607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2973389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836" w:type="dxa"/>
                  <w:vMerge w:val="continue"/>
                  <w:tcBorders>
                    <w:tl2br w:val="nil"/>
                    <w:tr2bl w:val="nil"/>
                  </w:tcBorders>
                  <w:vAlign w:val="center"/>
                </w:tcPr>
                <w:p w14:paraId="2DDC2C8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1071" w:type="dxa"/>
                  <w:vMerge w:val="continue"/>
                  <w:tcBorders>
                    <w:tl2br w:val="nil"/>
                    <w:tr2bl w:val="nil"/>
                  </w:tcBorders>
                  <w:vAlign w:val="center"/>
                </w:tcPr>
                <w:p w14:paraId="606FF42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2904" w:type="dxa"/>
                  <w:tcBorders>
                    <w:tl2br w:val="nil"/>
                    <w:tr2bl w:val="nil"/>
                  </w:tcBorders>
                  <w:vAlign w:val="center"/>
                </w:tcPr>
                <w:p w14:paraId="6666C08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成品包装</w:t>
                  </w:r>
                </w:p>
              </w:tc>
              <w:tc>
                <w:tcPr>
                  <w:tcW w:w="2552" w:type="dxa"/>
                  <w:tcBorders>
                    <w:tl2br w:val="nil"/>
                    <w:tr2bl w:val="nil"/>
                  </w:tcBorders>
                  <w:vAlign w:val="center"/>
                </w:tcPr>
                <w:p w14:paraId="56EDD9A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颗粒物</w:t>
                  </w:r>
                </w:p>
              </w:tc>
            </w:tr>
            <w:tr w14:paraId="70E210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40CBE81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1907" w:type="dxa"/>
                  <w:gridSpan w:val="2"/>
                  <w:tcBorders>
                    <w:tl2br w:val="nil"/>
                    <w:tr2bl w:val="nil"/>
                  </w:tcBorders>
                  <w:vAlign w:val="center"/>
                </w:tcPr>
                <w:p w14:paraId="20A9A6A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废水</w:t>
                  </w:r>
                </w:p>
              </w:tc>
              <w:tc>
                <w:tcPr>
                  <w:tcW w:w="2904" w:type="dxa"/>
                  <w:tcBorders>
                    <w:tl2br w:val="nil"/>
                    <w:tr2bl w:val="nil"/>
                  </w:tcBorders>
                  <w:vAlign w:val="center"/>
                </w:tcPr>
                <w:p w14:paraId="2ED0C0C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车辆冲洗废水</w:t>
                  </w:r>
                </w:p>
              </w:tc>
              <w:tc>
                <w:tcPr>
                  <w:tcW w:w="2552" w:type="dxa"/>
                  <w:tcBorders>
                    <w:tl2br w:val="nil"/>
                    <w:tr2bl w:val="nil"/>
                  </w:tcBorders>
                  <w:vAlign w:val="center"/>
                </w:tcPr>
                <w:p w14:paraId="0D4284E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SS</w:t>
                  </w:r>
                </w:p>
              </w:tc>
            </w:tr>
            <w:tr w14:paraId="2CBF4B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24A3690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1907" w:type="dxa"/>
                  <w:gridSpan w:val="2"/>
                  <w:tcBorders>
                    <w:tl2br w:val="nil"/>
                    <w:tr2bl w:val="nil"/>
                  </w:tcBorders>
                  <w:vAlign w:val="center"/>
                </w:tcPr>
                <w:p w14:paraId="1DAA8FE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eastAsiaTheme="minorEastAsia"/>
                      <w:color w:val="auto"/>
                      <w:szCs w:val="21"/>
                      <w:highlight w:val="none"/>
                    </w:rPr>
                    <w:t>噪声</w:t>
                  </w:r>
                </w:p>
              </w:tc>
              <w:tc>
                <w:tcPr>
                  <w:tcW w:w="2904" w:type="dxa"/>
                  <w:tcBorders>
                    <w:tl2br w:val="nil"/>
                    <w:tr2bl w:val="nil"/>
                  </w:tcBorders>
                  <w:vAlign w:val="center"/>
                </w:tcPr>
                <w:p w14:paraId="21A9116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eastAsiaTheme="minorEastAsia"/>
                      <w:color w:val="auto"/>
                      <w:szCs w:val="21"/>
                      <w:highlight w:val="none"/>
                    </w:rPr>
                    <w:t>设备运行</w:t>
                  </w:r>
                </w:p>
              </w:tc>
              <w:tc>
                <w:tcPr>
                  <w:tcW w:w="2552" w:type="dxa"/>
                  <w:tcBorders>
                    <w:tl2br w:val="nil"/>
                    <w:tr2bl w:val="nil"/>
                  </w:tcBorders>
                  <w:vAlign w:val="center"/>
                </w:tcPr>
                <w:p w14:paraId="15F4033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等效连续A声级</w:t>
                  </w:r>
                </w:p>
              </w:tc>
            </w:tr>
            <w:tr w14:paraId="5E5352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6FCCF09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1907" w:type="dxa"/>
                  <w:gridSpan w:val="2"/>
                  <w:vMerge w:val="restart"/>
                  <w:tcBorders>
                    <w:tl2br w:val="nil"/>
                    <w:tr2bl w:val="nil"/>
                  </w:tcBorders>
                  <w:vAlign w:val="center"/>
                </w:tcPr>
                <w:p w14:paraId="6C81B12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一般</w:t>
                  </w:r>
                  <w:r>
                    <w:rPr>
                      <w:rFonts w:hint="eastAsia" w:eastAsiaTheme="minorEastAsia"/>
                      <w:color w:val="auto"/>
                      <w:szCs w:val="21"/>
                      <w:highlight w:val="none"/>
                      <w:lang w:val="en-US" w:eastAsia="zh-CN"/>
                    </w:rPr>
                    <w:t>工业</w:t>
                  </w:r>
                  <w:r>
                    <w:rPr>
                      <w:rFonts w:eastAsiaTheme="minorEastAsia"/>
                      <w:color w:val="auto"/>
                      <w:szCs w:val="21"/>
                      <w:highlight w:val="none"/>
                    </w:rPr>
                    <w:t>固体废物</w:t>
                  </w:r>
                </w:p>
              </w:tc>
              <w:tc>
                <w:tcPr>
                  <w:tcW w:w="2904" w:type="dxa"/>
                  <w:tcBorders>
                    <w:tl2br w:val="nil"/>
                    <w:tr2bl w:val="nil"/>
                  </w:tcBorders>
                  <w:vAlign w:val="center"/>
                </w:tcPr>
                <w:p w14:paraId="777B688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除尘器</w:t>
                  </w:r>
                </w:p>
              </w:tc>
              <w:tc>
                <w:tcPr>
                  <w:tcW w:w="2552" w:type="dxa"/>
                  <w:tcBorders>
                    <w:tl2br w:val="nil"/>
                    <w:tr2bl w:val="nil"/>
                  </w:tcBorders>
                  <w:vAlign w:val="center"/>
                </w:tcPr>
                <w:p w14:paraId="3BCFDB0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除尘器收集粉尘</w:t>
                  </w:r>
                </w:p>
              </w:tc>
            </w:tr>
            <w:tr w14:paraId="606B55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5BFC816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1907" w:type="dxa"/>
                  <w:gridSpan w:val="2"/>
                  <w:vMerge w:val="continue"/>
                  <w:tcBorders>
                    <w:tl2br w:val="nil"/>
                    <w:tr2bl w:val="nil"/>
                  </w:tcBorders>
                  <w:vAlign w:val="center"/>
                </w:tcPr>
                <w:p w14:paraId="4ACBA40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2904" w:type="dxa"/>
                  <w:tcBorders>
                    <w:tl2br w:val="nil"/>
                    <w:tr2bl w:val="nil"/>
                  </w:tcBorders>
                  <w:vAlign w:val="center"/>
                </w:tcPr>
                <w:p w14:paraId="21E4B5A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包装</w:t>
                  </w:r>
                </w:p>
              </w:tc>
              <w:tc>
                <w:tcPr>
                  <w:tcW w:w="2552" w:type="dxa"/>
                  <w:tcBorders>
                    <w:tl2br w:val="nil"/>
                    <w:tr2bl w:val="nil"/>
                  </w:tcBorders>
                  <w:vAlign w:val="center"/>
                </w:tcPr>
                <w:p w14:paraId="296F40B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废包装袋</w:t>
                  </w:r>
                </w:p>
              </w:tc>
            </w:tr>
            <w:tr w14:paraId="37DFC8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316F283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1907" w:type="dxa"/>
                  <w:gridSpan w:val="2"/>
                  <w:vMerge w:val="continue"/>
                  <w:tcBorders>
                    <w:tl2br w:val="nil"/>
                    <w:tr2bl w:val="nil"/>
                  </w:tcBorders>
                  <w:vAlign w:val="center"/>
                </w:tcPr>
                <w:p w14:paraId="7649545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2904" w:type="dxa"/>
                  <w:tcBorders>
                    <w:tl2br w:val="nil"/>
                    <w:tr2bl w:val="nil"/>
                  </w:tcBorders>
                  <w:vAlign w:val="center"/>
                </w:tcPr>
                <w:p w14:paraId="0BCD988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覆膜</w:t>
                  </w:r>
                </w:p>
              </w:tc>
              <w:tc>
                <w:tcPr>
                  <w:tcW w:w="2552" w:type="dxa"/>
                  <w:tcBorders>
                    <w:tl2br w:val="nil"/>
                    <w:tr2bl w:val="nil"/>
                  </w:tcBorders>
                  <w:vAlign w:val="center"/>
                </w:tcPr>
                <w:p w14:paraId="28EE821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废塑料膜</w:t>
                  </w:r>
                </w:p>
              </w:tc>
            </w:tr>
            <w:tr w14:paraId="1C26D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2BABDFA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1907" w:type="dxa"/>
                  <w:gridSpan w:val="2"/>
                  <w:vMerge w:val="continue"/>
                  <w:tcBorders>
                    <w:tl2br w:val="nil"/>
                    <w:tr2bl w:val="nil"/>
                  </w:tcBorders>
                  <w:vAlign w:val="center"/>
                </w:tcPr>
                <w:p w14:paraId="0D4C4E4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2904" w:type="dxa"/>
                  <w:tcBorders>
                    <w:tl2br w:val="nil"/>
                    <w:tr2bl w:val="nil"/>
                  </w:tcBorders>
                  <w:vAlign w:val="center"/>
                </w:tcPr>
                <w:p w14:paraId="62EF989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洗车台</w:t>
                  </w:r>
                </w:p>
              </w:tc>
              <w:tc>
                <w:tcPr>
                  <w:tcW w:w="2552" w:type="dxa"/>
                  <w:tcBorders>
                    <w:tl2br w:val="nil"/>
                    <w:tr2bl w:val="nil"/>
                  </w:tcBorders>
                  <w:vAlign w:val="center"/>
                </w:tcPr>
                <w:p w14:paraId="09862EC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沉渣</w:t>
                  </w:r>
                </w:p>
              </w:tc>
            </w:tr>
            <w:tr w14:paraId="7459F5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5E85525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1907" w:type="dxa"/>
                  <w:gridSpan w:val="2"/>
                  <w:vMerge w:val="continue"/>
                  <w:tcBorders>
                    <w:tl2br w:val="nil"/>
                    <w:tr2bl w:val="nil"/>
                  </w:tcBorders>
                  <w:vAlign w:val="center"/>
                </w:tcPr>
                <w:p w14:paraId="15F4DFB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2904" w:type="dxa"/>
                  <w:tcBorders>
                    <w:tl2br w:val="nil"/>
                    <w:tr2bl w:val="nil"/>
                  </w:tcBorders>
                  <w:vAlign w:val="center"/>
                </w:tcPr>
                <w:p w14:paraId="17361F1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地面清扫</w:t>
                  </w:r>
                </w:p>
              </w:tc>
              <w:tc>
                <w:tcPr>
                  <w:tcW w:w="2552" w:type="dxa"/>
                  <w:tcBorders>
                    <w:tl2br w:val="nil"/>
                    <w:tr2bl w:val="nil"/>
                  </w:tcBorders>
                  <w:vAlign w:val="center"/>
                </w:tcPr>
                <w:p w14:paraId="26BDC49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清扫粉尘</w:t>
                  </w:r>
                </w:p>
              </w:tc>
            </w:tr>
            <w:tr w14:paraId="40443D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277F381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1907" w:type="dxa"/>
                  <w:gridSpan w:val="2"/>
                  <w:vMerge w:val="restart"/>
                  <w:tcBorders>
                    <w:tl2br w:val="nil"/>
                    <w:tr2bl w:val="nil"/>
                  </w:tcBorders>
                  <w:vAlign w:val="center"/>
                </w:tcPr>
                <w:p w14:paraId="67C9ED7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危险废物</w:t>
                  </w:r>
                </w:p>
              </w:tc>
              <w:tc>
                <w:tcPr>
                  <w:tcW w:w="2904" w:type="dxa"/>
                  <w:vMerge w:val="restart"/>
                  <w:tcBorders>
                    <w:tl2br w:val="nil"/>
                    <w:tr2bl w:val="nil"/>
                  </w:tcBorders>
                  <w:vAlign w:val="center"/>
                </w:tcPr>
                <w:p w14:paraId="079FD69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设备维护保养</w:t>
                  </w:r>
                </w:p>
              </w:tc>
              <w:tc>
                <w:tcPr>
                  <w:tcW w:w="2552" w:type="dxa"/>
                  <w:tcBorders>
                    <w:tl2br w:val="nil"/>
                    <w:tr2bl w:val="nil"/>
                  </w:tcBorders>
                  <w:vAlign w:val="center"/>
                </w:tcPr>
                <w:p w14:paraId="4EFF241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废</w:t>
                  </w:r>
                  <w:r>
                    <w:rPr>
                      <w:rFonts w:hint="eastAsia" w:eastAsiaTheme="minorEastAsia"/>
                      <w:color w:val="auto"/>
                      <w:szCs w:val="21"/>
                      <w:highlight w:val="none"/>
                    </w:rPr>
                    <w:t>润滑油</w:t>
                  </w:r>
                  <w:r>
                    <w:rPr>
                      <w:rFonts w:hint="eastAsia" w:eastAsiaTheme="minorEastAsia"/>
                      <w:color w:val="auto"/>
                      <w:szCs w:val="21"/>
                      <w:highlight w:val="none"/>
                      <w:lang w:eastAsia="zh-CN"/>
                    </w:rPr>
                    <w:t>、</w:t>
                  </w:r>
                </w:p>
              </w:tc>
            </w:tr>
            <w:tr w14:paraId="008F1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tcBorders>
                    <w:tl2br w:val="nil"/>
                    <w:tr2bl w:val="nil"/>
                  </w:tcBorders>
                  <w:vAlign w:val="center"/>
                </w:tcPr>
                <w:p w14:paraId="65CE9EC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1907" w:type="dxa"/>
                  <w:gridSpan w:val="2"/>
                  <w:vMerge w:val="continue"/>
                  <w:tcBorders>
                    <w:tl2br w:val="nil"/>
                    <w:tr2bl w:val="nil"/>
                  </w:tcBorders>
                  <w:vAlign w:val="center"/>
                </w:tcPr>
                <w:p w14:paraId="4C5AE56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p>
              </w:tc>
              <w:tc>
                <w:tcPr>
                  <w:tcW w:w="2904" w:type="dxa"/>
                  <w:vMerge w:val="continue"/>
                  <w:tcBorders>
                    <w:tl2br w:val="nil"/>
                    <w:tr2bl w:val="nil"/>
                  </w:tcBorders>
                  <w:vAlign w:val="center"/>
                </w:tcPr>
                <w:p w14:paraId="2F65B0A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p>
              </w:tc>
              <w:tc>
                <w:tcPr>
                  <w:tcW w:w="2552" w:type="dxa"/>
                  <w:tcBorders>
                    <w:tl2br w:val="nil"/>
                    <w:tr2bl w:val="nil"/>
                  </w:tcBorders>
                  <w:vAlign w:val="center"/>
                </w:tcPr>
                <w:p w14:paraId="632A6D0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含油抹布、手套</w:t>
                  </w:r>
                </w:p>
              </w:tc>
            </w:tr>
          </w:tbl>
          <w:p w14:paraId="720D9B36">
            <w:pPr>
              <w:pStyle w:val="15"/>
              <w:spacing w:line="360" w:lineRule="auto"/>
              <w:ind w:left="0" w:leftChars="0" w:firstLine="0" w:firstLineChars="0"/>
              <w:rPr>
                <w:rFonts w:eastAsiaTheme="minorEastAsia"/>
                <w:color w:val="auto"/>
                <w:highlight w:val="none"/>
              </w:rPr>
            </w:pPr>
          </w:p>
        </w:tc>
      </w:tr>
      <w:tr w14:paraId="06DA6D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9" w:type="dxa"/>
            <w:tcBorders>
              <w:left w:val="single" w:color="auto" w:sz="12" w:space="0"/>
              <w:bottom w:val="single" w:color="auto" w:sz="12" w:space="0"/>
            </w:tcBorders>
            <w:noWrap/>
            <w:vAlign w:val="center"/>
          </w:tcPr>
          <w:p w14:paraId="095545A2">
            <w:pPr>
              <w:pStyle w:val="17"/>
              <w:adjustRightInd w:val="0"/>
              <w:snapToGrid w:val="0"/>
              <w:spacing w:before="0" w:beforeAutospacing="0" w:after="0" w:afterAutospacing="0"/>
              <w:jc w:val="center"/>
              <w:rPr>
                <w:rFonts w:ascii="Times New Roman" w:hAnsi="Times New Roman" w:eastAsiaTheme="minorEastAsia"/>
                <w:color w:val="auto"/>
                <w:sz w:val="21"/>
                <w:szCs w:val="21"/>
                <w:highlight w:val="none"/>
              </w:rPr>
            </w:pPr>
            <w:r>
              <w:rPr>
                <w:rFonts w:ascii="Times New Roman" w:hAnsi="Times New Roman" w:eastAsiaTheme="minorEastAsia"/>
                <w:bCs/>
                <w:color w:val="auto"/>
                <w:kern w:val="2"/>
                <w:szCs w:val="24"/>
                <w:highlight w:val="none"/>
              </w:rPr>
              <w:t>与项目有关的原有环境污染问题</w:t>
            </w:r>
          </w:p>
        </w:tc>
        <w:tc>
          <w:tcPr>
            <w:tcW w:w="8302" w:type="dxa"/>
            <w:tcBorders>
              <w:bottom w:val="single" w:color="auto" w:sz="12" w:space="0"/>
              <w:right w:val="single" w:color="auto" w:sz="12" w:space="0"/>
            </w:tcBorders>
            <w:noWrap/>
            <w:vAlign w:val="center"/>
          </w:tcPr>
          <w:p w14:paraId="52CACE85">
            <w:pPr>
              <w:pStyle w:val="27"/>
              <w:spacing w:line="360" w:lineRule="auto"/>
              <w:ind w:right="86" w:firstLine="480" w:firstLineChars="200"/>
              <w:rPr>
                <w:rFonts w:ascii="Times New Roman" w:hAnsi="Times New Roman" w:cs="Times New Roman" w:eastAsiaTheme="minorEastAsia"/>
                <w:color w:val="auto"/>
                <w:sz w:val="24"/>
                <w:highlight w:val="none"/>
                <w:lang w:val="en-US"/>
              </w:rPr>
            </w:pPr>
            <w:r>
              <w:rPr>
                <w:rFonts w:hint="eastAsia" w:ascii="Times New Roman" w:hAnsi="Times New Roman" w:cs="Times New Roman" w:eastAsiaTheme="minorEastAsia"/>
                <w:color w:val="auto"/>
                <w:sz w:val="24"/>
                <w:highlight w:val="none"/>
                <w:lang w:val="en-US"/>
              </w:rPr>
              <w:t>金隅冀东凤翔环保科技有限公司</w:t>
            </w:r>
            <w:r>
              <w:rPr>
                <w:rFonts w:hint="eastAsia" w:ascii="Times New Roman" w:hAnsi="Times New Roman" w:cs="Times New Roman" w:eastAsiaTheme="minorEastAsia"/>
                <w:color w:val="auto"/>
                <w:sz w:val="24"/>
                <w:highlight w:val="none"/>
                <w:lang w:val="en-US" w:eastAsia="zh-CN"/>
              </w:rPr>
              <w:t>现</w:t>
            </w:r>
            <w:r>
              <w:rPr>
                <w:rFonts w:hint="eastAsia" w:ascii="Times New Roman" w:hAnsi="Times New Roman" w:cs="Times New Roman" w:eastAsiaTheme="minorEastAsia"/>
                <w:color w:val="auto"/>
                <w:sz w:val="24"/>
                <w:highlight w:val="none"/>
                <w:lang w:val="en-US"/>
              </w:rPr>
              <w:t>拥有一条日产4500t熟料生产线和200万吨水泥粉磨系统，并配套建设9MW纯低温余热发电站、骨料生产系统及利用水泥窑协同处置100000t/a危废处置系统；烧成系统采用CB18×51型高效篦冷机+Φ4.8x72m回转窑配套五级双系列悬浮预热器；水泥系统采用两套Φ1.6m×1.4m辊压机+Φ4.2m×13m水泥联合粉磨系统。</w:t>
            </w:r>
          </w:p>
          <w:p w14:paraId="16CE3A0B">
            <w:pPr>
              <w:pStyle w:val="27"/>
              <w:spacing w:line="360" w:lineRule="auto"/>
              <w:ind w:right="86" w:firstLine="482" w:firstLineChars="200"/>
              <w:rPr>
                <w:rFonts w:hint="default" w:ascii="Times New Roman" w:hAnsi="Times New Roman" w:cs="Times New Roman" w:eastAsiaTheme="minorEastAsia"/>
                <w:b/>
                <w:bCs/>
                <w:color w:val="auto"/>
                <w:sz w:val="24"/>
                <w:highlight w:val="none"/>
                <w:lang w:val="en-US" w:eastAsia="zh-CN"/>
              </w:rPr>
            </w:pPr>
            <w:r>
              <w:rPr>
                <w:rFonts w:hint="eastAsia" w:ascii="Times New Roman" w:hAnsi="Times New Roman" w:cs="Times New Roman" w:eastAsiaTheme="minorEastAsia"/>
                <w:b/>
                <w:bCs/>
                <w:color w:val="auto"/>
                <w:sz w:val="24"/>
                <w:highlight w:val="none"/>
                <w:lang w:val="en-US" w:eastAsia="zh-CN"/>
              </w:rPr>
              <w:t>1.建设历程及环保手续履行情况</w:t>
            </w:r>
          </w:p>
          <w:p w14:paraId="7D54AE31">
            <w:pPr>
              <w:pStyle w:val="27"/>
              <w:spacing w:line="360" w:lineRule="auto"/>
              <w:ind w:right="86" w:firstLine="480" w:firstLineChars="200"/>
              <w:rPr>
                <w:rFonts w:ascii="Times New Roman" w:hAnsi="Times New Roman" w:cs="Times New Roman" w:eastAsiaTheme="minorEastAsia"/>
                <w:color w:val="auto"/>
                <w:sz w:val="24"/>
                <w:highlight w:val="none"/>
                <w:lang w:val="en-US"/>
              </w:rPr>
            </w:pPr>
            <w:r>
              <w:rPr>
                <w:rFonts w:hint="eastAsia" w:ascii="Times New Roman" w:hAnsi="Times New Roman" w:cs="Times New Roman" w:eastAsiaTheme="minorEastAsia"/>
                <w:color w:val="auto"/>
                <w:sz w:val="24"/>
                <w:highlight w:val="none"/>
                <w:lang w:val="en-US"/>
              </w:rPr>
              <w:t>金隅冀东凤翔环保科技有限公司现有工程及在建工程环保手续履行情况见表</w:t>
            </w:r>
            <w:r>
              <w:rPr>
                <w:rFonts w:hint="eastAsia" w:ascii="Times New Roman" w:hAnsi="Times New Roman" w:cs="Times New Roman" w:eastAsiaTheme="minorEastAsia"/>
                <w:color w:val="auto"/>
                <w:sz w:val="24"/>
                <w:highlight w:val="none"/>
                <w:lang w:val="en-US" w:eastAsia="zh-CN"/>
              </w:rPr>
              <w:t>2-13</w:t>
            </w:r>
            <w:r>
              <w:rPr>
                <w:rFonts w:hint="eastAsia" w:ascii="Times New Roman" w:hAnsi="Times New Roman" w:cs="Times New Roman" w:eastAsiaTheme="minorEastAsia"/>
                <w:color w:val="auto"/>
                <w:sz w:val="24"/>
                <w:highlight w:val="none"/>
                <w:lang w:val="en-US"/>
              </w:rPr>
              <w:t>。</w:t>
            </w:r>
          </w:p>
          <w:p w14:paraId="69568F55">
            <w:pPr>
              <w:pStyle w:val="27"/>
              <w:spacing w:line="240" w:lineRule="auto"/>
              <w:ind w:right="86" w:firstLine="422" w:firstLineChars="200"/>
              <w:jc w:val="center"/>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表2-13  现有工程及在建工程环保手续履行情况</w:t>
            </w:r>
          </w:p>
          <w:tbl>
            <w:tblPr>
              <w:tblStyle w:val="20"/>
              <w:tblW w:w="80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8"/>
              <w:gridCol w:w="2289"/>
              <w:gridCol w:w="1323"/>
              <w:gridCol w:w="1324"/>
              <w:gridCol w:w="1324"/>
              <w:gridCol w:w="1324"/>
            </w:tblGrid>
            <w:tr w14:paraId="1F101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vMerge w:val="restart"/>
                  <w:tcBorders>
                    <w:tl2br w:val="nil"/>
                    <w:tr2bl w:val="nil"/>
                  </w:tcBorders>
                  <w:vAlign w:val="center"/>
                </w:tcPr>
                <w:p w14:paraId="49F917A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序号</w:t>
                  </w:r>
                </w:p>
              </w:tc>
              <w:tc>
                <w:tcPr>
                  <w:tcW w:w="2289" w:type="dxa"/>
                  <w:vMerge w:val="restart"/>
                  <w:tcBorders>
                    <w:tl2br w:val="nil"/>
                    <w:tr2bl w:val="nil"/>
                  </w:tcBorders>
                  <w:vAlign w:val="center"/>
                </w:tcPr>
                <w:p w14:paraId="0DCDFA8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项目名称</w:t>
                  </w:r>
                </w:p>
              </w:tc>
              <w:tc>
                <w:tcPr>
                  <w:tcW w:w="2647" w:type="dxa"/>
                  <w:gridSpan w:val="2"/>
                  <w:tcBorders>
                    <w:tl2br w:val="nil"/>
                    <w:tr2bl w:val="nil"/>
                  </w:tcBorders>
                  <w:vAlign w:val="center"/>
                </w:tcPr>
                <w:p w14:paraId="22C9E84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环境影响评价</w:t>
                  </w:r>
                </w:p>
              </w:tc>
              <w:tc>
                <w:tcPr>
                  <w:tcW w:w="2648" w:type="dxa"/>
                  <w:gridSpan w:val="2"/>
                  <w:tcBorders>
                    <w:tl2br w:val="nil"/>
                    <w:tr2bl w:val="nil"/>
                  </w:tcBorders>
                  <w:vAlign w:val="center"/>
                </w:tcPr>
                <w:p w14:paraId="6C4A65E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竣工环境保护验收</w:t>
                  </w:r>
                </w:p>
              </w:tc>
            </w:tr>
            <w:tr w14:paraId="333311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vMerge w:val="continue"/>
                  <w:tcBorders>
                    <w:tl2br w:val="nil"/>
                    <w:tr2bl w:val="nil"/>
                  </w:tcBorders>
                  <w:vAlign w:val="center"/>
                </w:tcPr>
                <w:p w14:paraId="0AB89B4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p>
              </w:tc>
              <w:tc>
                <w:tcPr>
                  <w:tcW w:w="2289" w:type="dxa"/>
                  <w:vMerge w:val="continue"/>
                  <w:tcBorders>
                    <w:tl2br w:val="nil"/>
                    <w:tr2bl w:val="nil"/>
                  </w:tcBorders>
                  <w:vAlign w:val="center"/>
                </w:tcPr>
                <w:p w14:paraId="0DE4608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p>
              </w:tc>
              <w:tc>
                <w:tcPr>
                  <w:tcW w:w="1323" w:type="dxa"/>
                  <w:tcBorders>
                    <w:tl2br w:val="nil"/>
                    <w:tr2bl w:val="nil"/>
                  </w:tcBorders>
                  <w:vAlign w:val="center"/>
                </w:tcPr>
                <w:p w14:paraId="758749E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审批单位</w:t>
                  </w:r>
                </w:p>
              </w:tc>
              <w:tc>
                <w:tcPr>
                  <w:tcW w:w="1324" w:type="dxa"/>
                  <w:tcBorders>
                    <w:tl2br w:val="nil"/>
                    <w:tr2bl w:val="nil"/>
                  </w:tcBorders>
                  <w:vAlign w:val="center"/>
                </w:tcPr>
                <w:p w14:paraId="785C95A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批准文号</w:t>
                  </w:r>
                </w:p>
              </w:tc>
              <w:tc>
                <w:tcPr>
                  <w:tcW w:w="1324" w:type="dxa"/>
                  <w:tcBorders>
                    <w:tl2br w:val="nil"/>
                    <w:tr2bl w:val="nil"/>
                  </w:tcBorders>
                  <w:vAlign w:val="center"/>
                </w:tcPr>
                <w:p w14:paraId="53F81AB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审批单位</w:t>
                  </w:r>
                </w:p>
              </w:tc>
              <w:tc>
                <w:tcPr>
                  <w:tcW w:w="1324" w:type="dxa"/>
                  <w:tcBorders>
                    <w:tl2br w:val="nil"/>
                    <w:tr2bl w:val="nil"/>
                  </w:tcBorders>
                  <w:vAlign w:val="center"/>
                </w:tcPr>
                <w:p w14:paraId="0178061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批准文号</w:t>
                  </w:r>
                </w:p>
              </w:tc>
            </w:tr>
            <w:tr w14:paraId="4BE92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2FCD1A6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1</w:t>
                  </w:r>
                </w:p>
              </w:tc>
              <w:tc>
                <w:tcPr>
                  <w:tcW w:w="2289" w:type="dxa"/>
                  <w:tcBorders>
                    <w:tl2br w:val="nil"/>
                    <w:tr2bl w:val="nil"/>
                  </w:tcBorders>
                  <w:vAlign w:val="center"/>
                </w:tcPr>
                <w:p w14:paraId="4A31197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陕西天柱水泥制造有限责任公司资源综合利用4500t/d水泥熟料生产线工程</w:t>
                  </w:r>
                </w:p>
              </w:tc>
              <w:tc>
                <w:tcPr>
                  <w:tcW w:w="1323" w:type="dxa"/>
                  <w:tcBorders>
                    <w:tl2br w:val="nil"/>
                    <w:tr2bl w:val="nil"/>
                  </w:tcBorders>
                  <w:vAlign w:val="center"/>
                </w:tcPr>
                <w:p w14:paraId="5F79809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原陕西省环境保护厅</w:t>
                  </w:r>
                </w:p>
              </w:tc>
              <w:tc>
                <w:tcPr>
                  <w:tcW w:w="1324" w:type="dxa"/>
                  <w:tcBorders>
                    <w:tl2br w:val="nil"/>
                    <w:tr2bl w:val="nil"/>
                  </w:tcBorders>
                  <w:vAlign w:val="center"/>
                </w:tcPr>
                <w:p w14:paraId="533F3A8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陕环批复</w:t>
                  </w:r>
                </w:p>
                <w:p w14:paraId="216929C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〔2007〕867</w:t>
                  </w:r>
                </w:p>
                <w:p w14:paraId="3591175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号</w:t>
                  </w:r>
                </w:p>
              </w:tc>
              <w:tc>
                <w:tcPr>
                  <w:tcW w:w="1324" w:type="dxa"/>
                  <w:tcBorders>
                    <w:tl2br w:val="nil"/>
                    <w:tr2bl w:val="nil"/>
                  </w:tcBorders>
                  <w:vAlign w:val="center"/>
                </w:tcPr>
                <w:p w14:paraId="289A8A7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原陕西省环境保护厅</w:t>
                  </w:r>
                </w:p>
              </w:tc>
              <w:tc>
                <w:tcPr>
                  <w:tcW w:w="1324" w:type="dxa"/>
                  <w:tcBorders>
                    <w:tl2br w:val="nil"/>
                    <w:tr2bl w:val="nil"/>
                  </w:tcBorders>
                  <w:vAlign w:val="center"/>
                </w:tcPr>
                <w:p w14:paraId="6673826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陕环批复〔2015〕106号</w:t>
                  </w:r>
                </w:p>
              </w:tc>
            </w:tr>
            <w:tr w14:paraId="7CAF6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38C2CC7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2</w:t>
                  </w:r>
                </w:p>
              </w:tc>
              <w:tc>
                <w:tcPr>
                  <w:tcW w:w="2289" w:type="dxa"/>
                  <w:tcBorders>
                    <w:tl2br w:val="nil"/>
                    <w:tr2bl w:val="nil"/>
                  </w:tcBorders>
                  <w:vAlign w:val="center"/>
                </w:tcPr>
                <w:p w14:paraId="5881476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冀东水泥凤翔有限责任公司4500t/d新型干法水泥熟料生产线石灰石矿山建设项目（200</w:t>
                  </w:r>
                  <w:r>
                    <w:rPr>
                      <w:rFonts w:hint="default" w:ascii="Arial" w:hAnsi="Arial" w:cs="Arial" w:eastAsiaTheme="minorEastAsia"/>
                      <w:color w:val="auto"/>
                      <w:szCs w:val="21"/>
                      <w:highlight w:val="none"/>
                      <w:lang w:val="en-US" w:eastAsia="zh-CN"/>
                    </w:rPr>
                    <w:t>×</w:t>
                  </w:r>
                  <w:r>
                    <w:rPr>
                      <w:rFonts w:hint="eastAsia" w:eastAsiaTheme="minorEastAsia"/>
                      <w:color w:val="auto"/>
                      <w:szCs w:val="21"/>
                      <w:highlight w:val="none"/>
                      <w:lang w:val="en-US" w:eastAsia="zh-CN"/>
                    </w:rPr>
                    <w:t>10</w:t>
                  </w:r>
                  <w:r>
                    <w:rPr>
                      <w:rFonts w:hint="eastAsia" w:eastAsiaTheme="minorEastAsia"/>
                      <w:color w:val="auto"/>
                      <w:szCs w:val="21"/>
                      <w:highlight w:val="none"/>
                      <w:vertAlign w:val="superscript"/>
                      <w:lang w:val="en-US" w:eastAsia="zh-CN"/>
                    </w:rPr>
                    <w:t>4</w:t>
                  </w:r>
                  <w:r>
                    <w:rPr>
                      <w:rFonts w:hint="eastAsia" w:eastAsiaTheme="minorEastAsia"/>
                      <w:color w:val="auto"/>
                      <w:szCs w:val="21"/>
                      <w:highlight w:val="none"/>
                      <w:lang w:val="en-US" w:eastAsia="zh-CN"/>
                    </w:rPr>
                    <w:t>t/a）</w:t>
                  </w:r>
                </w:p>
              </w:tc>
              <w:tc>
                <w:tcPr>
                  <w:tcW w:w="1323" w:type="dxa"/>
                  <w:tcBorders>
                    <w:tl2br w:val="nil"/>
                    <w:tr2bl w:val="nil"/>
                  </w:tcBorders>
                  <w:vAlign w:val="center"/>
                </w:tcPr>
                <w:p w14:paraId="01E120B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原陕西省环境保护厅</w:t>
                  </w:r>
                </w:p>
              </w:tc>
              <w:tc>
                <w:tcPr>
                  <w:tcW w:w="1324" w:type="dxa"/>
                  <w:tcBorders>
                    <w:tl2br w:val="nil"/>
                    <w:tr2bl w:val="nil"/>
                  </w:tcBorders>
                  <w:vAlign w:val="center"/>
                </w:tcPr>
                <w:p w14:paraId="698DA3C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陕环批复〔2010〕386</w:t>
                  </w:r>
                </w:p>
                <w:p w14:paraId="51B0705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号</w:t>
                  </w:r>
                </w:p>
              </w:tc>
              <w:tc>
                <w:tcPr>
                  <w:tcW w:w="1324" w:type="dxa"/>
                  <w:tcBorders>
                    <w:tl2br w:val="nil"/>
                    <w:tr2bl w:val="nil"/>
                  </w:tcBorders>
                  <w:vAlign w:val="center"/>
                </w:tcPr>
                <w:p w14:paraId="1269E19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原陕西省环境保护厅</w:t>
                  </w:r>
                </w:p>
              </w:tc>
              <w:tc>
                <w:tcPr>
                  <w:tcW w:w="1324" w:type="dxa"/>
                  <w:tcBorders>
                    <w:tl2br w:val="nil"/>
                    <w:tr2bl w:val="nil"/>
                  </w:tcBorders>
                  <w:vAlign w:val="center"/>
                </w:tcPr>
                <w:p w14:paraId="679DF89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陕环批复〔2016〕51号</w:t>
                  </w:r>
                </w:p>
              </w:tc>
            </w:tr>
            <w:tr w14:paraId="403E3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4FFAE5A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3</w:t>
                  </w:r>
                </w:p>
              </w:tc>
              <w:tc>
                <w:tcPr>
                  <w:tcW w:w="2289" w:type="dxa"/>
                  <w:tcBorders>
                    <w:tl2br w:val="nil"/>
                    <w:tr2bl w:val="nil"/>
                  </w:tcBorders>
                  <w:vAlign w:val="center"/>
                </w:tcPr>
                <w:p w14:paraId="09524B6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冀东水泥凤翔有限责任公司水泥熟料生产线SNCR烟气脱硝项目</w:t>
                  </w:r>
                </w:p>
              </w:tc>
              <w:tc>
                <w:tcPr>
                  <w:tcW w:w="1323" w:type="dxa"/>
                  <w:tcBorders>
                    <w:tl2br w:val="nil"/>
                    <w:tr2bl w:val="nil"/>
                  </w:tcBorders>
                  <w:shd w:val="clear" w:color="auto" w:fill="auto"/>
                  <w:vAlign w:val="center"/>
                </w:tcPr>
                <w:p w14:paraId="485A7BA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w:t>
                  </w:r>
                </w:p>
              </w:tc>
              <w:tc>
                <w:tcPr>
                  <w:tcW w:w="1324" w:type="dxa"/>
                  <w:tcBorders>
                    <w:tl2br w:val="nil"/>
                    <w:tr2bl w:val="nil"/>
                  </w:tcBorders>
                  <w:shd w:val="clear" w:color="auto" w:fill="auto"/>
                  <w:vAlign w:val="center"/>
                </w:tcPr>
                <w:p w14:paraId="1A2BE92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w:t>
                  </w:r>
                </w:p>
              </w:tc>
              <w:tc>
                <w:tcPr>
                  <w:tcW w:w="1324" w:type="dxa"/>
                  <w:tcBorders>
                    <w:tl2br w:val="nil"/>
                    <w:tr2bl w:val="nil"/>
                  </w:tcBorders>
                  <w:vAlign w:val="center"/>
                </w:tcPr>
                <w:p w14:paraId="3B3734E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宝鸡市环保局</w:t>
                  </w:r>
                </w:p>
              </w:tc>
              <w:tc>
                <w:tcPr>
                  <w:tcW w:w="1324" w:type="dxa"/>
                  <w:tcBorders>
                    <w:tl2br w:val="nil"/>
                    <w:tr2bl w:val="nil"/>
                  </w:tcBorders>
                  <w:vAlign w:val="center"/>
                </w:tcPr>
                <w:p w14:paraId="450C67A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宝市环函</w:t>
                  </w:r>
                </w:p>
                <w:p w14:paraId="2AB512A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〔2013〕273</w:t>
                  </w:r>
                </w:p>
                <w:p w14:paraId="45ACD5E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号</w:t>
                  </w:r>
                </w:p>
              </w:tc>
            </w:tr>
            <w:tr w14:paraId="21ADC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24A63BD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4</w:t>
                  </w:r>
                </w:p>
              </w:tc>
              <w:tc>
                <w:tcPr>
                  <w:tcW w:w="2289" w:type="dxa"/>
                  <w:tcBorders>
                    <w:tl2br w:val="nil"/>
                    <w:tr2bl w:val="nil"/>
                  </w:tcBorders>
                  <w:vAlign w:val="center"/>
                </w:tcPr>
                <w:p w14:paraId="1EF964F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冀东水泥凤翔有限责任公司利用水泥窑协同处置100000t/a危险废物项目</w:t>
                  </w:r>
                </w:p>
              </w:tc>
              <w:tc>
                <w:tcPr>
                  <w:tcW w:w="1323" w:type="dxa"/>
                  <w:tcBorders>
                    <w:tl2br w:val="nil"/>
                    <w:tr2bl w:val="nil"/>
                  </w:tcBorders>
                  <w:vAlign w:val="center"/>
                </w:tcPr>
                <w:p w14:paraId="1D28916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陕西省生态环境厅</w:t>
                  </w:r>
                </w:p>
              </w:tc>
              <w:tc>
                <w:tcPr>
                  <w:tcW w:w="1324" w:type="dxa"/>
                  <w:tcBorders>
                    <w:tl2br w:val="nil"/>
                    <w:tr2bl w:val="nil"/>
                  </w:tcBorders>
                  <w:vAlign w:val="center"/>
                </w:tcPr>
                <w:p w14:paraId="480F467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陕环评批复〔2019〕44</w:t>
                  </w:r>
                </w:p>
                <w:p w14:paraId="7E73ED2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号</w:t>
                  </w:r>
                </w:p>
              </w:tc>
              <w:tc>
                <w:tcPr>
                  <w:tcW w:w="2648" w:type="dxa"/>
                  <w:gridSpan w:val="2"/>
                  <w:tcBorders>
                    <w:tl2br w:val="nil"/>
                    <w:tr2bl w:val="nil"/>
                  </w:tcBorders>
                  <w:vAlign w:val="center"/>
                </w:tcPr>
                <w:p w14:paraId="0615617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2021年11月25日，企业</w:t>
                  </w:r>
                </w:p>
                <w:p w14:paraId="12E0EEC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组织并邀请专家进行了</w:t>
                  </w:r>
                </w:p>
                <w:p w14:paraId="1423A88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自主验收</w:t>
                  </w:r>
                </w:p>
              </w:tc>
            </w:tr>
            <w:tr w14:paraId="3067E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3A92DBD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5</w:t>
                  </w:r>
                </w:p>
              </w:tc>
              <w:tc>
                <w:tcPr>
                  <w:tcW w:w="2289" w:type="dxa"/>
                  <w:tcBorders>
                    <w:tl2br w:val="nil"/>
                    <w:tr2bl w:val="nil"/>
                  </w:tcBorders>
                  <w:vAlign w:val="center"/>
                </w:tcPr>
                <w:p w14:paraId="01BC760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辅料堆棚扩建项目</w:t>
                  </w:r>
                </w:p>
              </w:tc>
              <w:tc>
                <w:tcPr>
                  <w:tcW w:w="5295" w:type="dxa"/>
                  <w:gridSpan w:val="4"/>
                  <w:tcBorders>
                    <w:tl2br w:val="nil"/>
                    <w:tr2bl w:val="nil"/>
                  </w:tcBorders>
                  <w:vAlign w:val="center"/>
                </w:tcPr>
                <w:p w14:paraId="1B65076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环境影响登记表（备案号为201861032200000020）</w:t>
                  </w:r>
                </w:p>
              </w:tc>
            </w:tr>
            <w:tr w14:paraId="1DC25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753609D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6</w:t>
                  </w:r>
                </w:p>
              </w:tc>
              <w:tc>
                <w:tcPr>
                  <w:tcW w:w="2289" w:type="dxa"/>
                  <w:tcBorders>
                    <w:tl2br w:val="nil"/>
                    <w:tr2bl w:val="nil"/>
                  </w:tcBorders>
                  <w:vAlign w:val="center"/>
                </w:tcPr>
                <w:p w14:paraId="0DEFF63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金隅冀东凤翔环保科技有限公司资源综合利用项目</w:t>
                  </w:r>
                </w:p>
              </w:tc>
              <w:tc>
                <w:tcPr>
                  <w:tcW w:w="1323" w:type="dxa"/>
                  <w:tcBorders>
                    <w:tl2br w:val="nil"/>
                    <w:tr2bl w:val="nil"/>
                  </w:tcBorders>
                  <w:vAlign w:val="center"/>
                </w:tcPr>
                <w:p w14:paraId="1404765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陕西省生态环境厅</w:t>
                  </w:r>
                </w:p>
              </w:tc>
              <w:tc>
                <w:tcPr>
                  <w:tcW w:w="1324" w:type="dxa"/>
                  <w:tcBorders>
                    <w:tl2br w:val="nil"/>
                    <w:tr2bl w:val="nil"/>
                  </w:tcBorders>
                  <w:vAlign w:val="center"/>
                </w:tcPr>
                <w:p w14:paraId="4CF26FC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陕环评批复〔2023〕6号</w:t>
                  </w:r>
                </w:p>
              </w:tc>
              <w:tc>
                <w:tcPr>
                  <w:tcW w:w="2648" w:type="dxa"/>
                  <w:gridSpan w:val="2"/>
                  <w:tcBorders>
                    <w:tl2br w:val="nil"/>
                    <w:tr2bl w:val="nil"/>
                  </w:tcBorders>
                  <w:vAlign w:val="center"/>
                </w:tcPr>
                <w:p w14:paraId="7D3CFDB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环评已批复</w:t>
                  </w:r>
                </w:p>
              </w:tc>
            </w:tr>
            <w:tr w14:paraId="72718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23B38BD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7</w:t>
                  </w:r>
                </w:p>
              </w:tc>
              <w:tc>
                <w:tcPr>
                  <w:tcW w:w="2289" w:type="dxa"/>
                  <w:tcBorders>
                    <w:tl2br w:val="nil"/>
                    <w:tr2bl w:val="nil"/>
                  </w:tcBorders>
                  <w:vAlign w:val="center"/>
                </w:tcPr>
                <w:p w14:paraId="2089206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年产50万吨骨料项目</w:t>
                  </w:r>
                </w:p>
              </w:tc>
              <w:tc>
                <w:tcPr>
                  <w:tcW w:w="1323" w:type="dxa"/>
                  <w:tcBorders>
                    <w:tl2br w:val="nil"/>
                    <w:tr2bl w:val="nil"/>
                  </w:tcBorders>
                  <w:vAlign w:val="center"/>
                </w:tcPr>
                <w:p w14:paraId="058342A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宝鸡市生态环境局凤翔分局</w:t>
                  </w:r>
                </w:p>
              </w:tc>
              <w:tc>
                <w:tcPr>
                  <w:tcW w:w="1324" w:type="dxa"/>
                  <w:tcBorders>
                    <w:tl2br w:val="nil"/>
                    <w:tr2bl w:val="nil"/>
                  </w:tcBorders>
                  <w:vAlign w:val="center"/>
                </w:tcPr>
                <w:p w14:paraId="6607187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宝环凤函〔2024〕2</w:t>
                  </w:r>
                </w:p>
                <w:p w14:paraId="4B0AF17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号</w:t>
                  </w:r>
                </w:p>
              </w:tc>
              <w:tc>
                <w:tcPr>
                  <w:tcW w:w="2648" w:type="dxa"/>
                  <w:gridSpan w:val="2"/>
                  <w:tcBorders>
                    <w:tl2br w:val="nil"/>
                    <w:tr2bl w:val="nil"/>
                  </w:tcBorders>
                  <w:vAlign w:val="center"/>
                </w:tcPr>
                <w:p w14:paraId="274765A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环评已批复</w:t>
                  </w:r>
                </w:p>
              </w:tc>
            </w:tr>
            <w:tr w14:paraId="2E876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5499D78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8</w:t>
                  </w:r>
                </w:p>
              </w:tc>
              <w:tc>
                <w:tcPr>
                  <w:tcW w:w="2289" w:type="dxa"/>
                  <w:tcBorders>
                    <w:tl2br w:val="nil"/>
                    <w:tr2bl w:val="nil"/>
                  </w:tcBorders>
                  <w:vAlign w:val="center"/>
                </w:tcPr>
                <w:p w14:paraId="072838D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金隅冀东凤翔环保科技有限公司水泥窑协同处置固体废物项目</w:t>
                  </w:r>
                </w:p>
              </w:tc>
              <w:tc>
                <w:tcPr>
                  <w:tcW w:w="1323" w:type="dxa"/>
                  <w:tcBorders>
                    <w:tl2br w:val="nil"/>
                    <w:tr2bl w:val="nil"/>
                  </w:tcBorders>
                  <w:vAlign w:val="center"/>
                </w:tcPr>
                <w:p w14:paraId="1011337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宝鸡市生态环境局凤翔分局</w:t>
                  </w:r>
                </w:p>
              </w:tc>
              <w:tc>
                <w:tcPr>
                  <w:tcW w:w="1324" w:type="dxa"/>
                  <w:tcBorders>
                    <w:tl2br w:val="nil"/>
                    <w:tr2bl w:val="nil"/>
                  </w:tcBorders>
                  <w:vAlign w:val="center"/>
                </w:tcPr>
                <w:p w14:paraId="43BF0B5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宝环凤函〔2024〕52</w:t>
                  </w:r>
                </w:p>
                <w:p w14:paraId="5471366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号</w:t>
                  </w:r>
                </w:p>
              </w:tc>
              <w:tc>
                <w:tcPr>
                  <w:tcW w:w="2648" w:type="dxa"/>
                  <w:gridSpan w:val="2"/>
                  <w:tcBorders>
                    <w:tl2br w:val="nil"/>
                    <w:tr2bl w:val="nil"/>
                  </w:tcBorders>
                  <w:vAlign w:val="center"/>
                </w:tcPr>
                <w:p w14:paraId="187F493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环评已批复</w:t>
                  </w:r>
                </w:p>
              </w:tc>
            </w:tr>
            <w:tr w14:paraId="7ED4EA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131EED5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10</w:t>
                  </w:r>
                </w:p>
              </w:tc>
              <w:tc>
                <w:tcPr>
                  <w:tcW w:w="2289" w:type="dxa"/>
                  <w:tcBorders>
                    <w:tl2br w:val="nil"/>
                    <w:tr2bl w:val="nil"/>
                  </w:tcBorders>
                  <w:vAlign w:val="center"/>
                </w:tcPr>
                <w:p w14:paraId="16E0D65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绿色环保新型建材园项目</w:t>
                  </w:r>
                </w:p>
              </w:tc>
              <w:tc>
                <w:tcPr>
                  <w:tcW w:w="1323" w:type="dxa"/>
                  <w:tcBorders>
                    <w:tl2br w:val="nil"/>
                    <w:tr2bl w:val="nil"/>
                  </w:tcBorders>
                  <w:vAlign w:val="center"/>
                </w:tcPr>
                <w:p w14:paraId="3DC9C85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宝鸡市生态环境局凤翔分局</w:t>
                  </w:r>
                </w:p>
              </w:tc>
              <w:tc>
                <w:tcPr>
                  <w:tcW w:w="1324" w:type="dxa"/>
                  <w:tcBorders>
                    <w:tl2br w:val="nil"/>
                    <w:tr2bl w:val="nil"/>
                  </w:tcBorders>
                  <w:vAlign w:val="center"/>
                </w:tcPr>
                <w:p w14:paraId="5F50B70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宝环凤函〔2024〕86</w:t>
                  </w:r>
                </w:p>
                <w:p w14:paraId="5E1F672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号</w:t>
                  </w:r>
                </w:p>
              </w:tc>
              <w:tc>
                <w:tcPr>
                  <w:tcW w:w="2648" w:type="dxa"/>
                  <w:gridSpan w:val="2"/>
                  <w:tcBorders>
                    <w:tl2br w:val="nil"/>
                    <w:tr2bl w:val="nil"/>
                  </w:tcBorders>
                  <w:vAlign w:val="center"/>
                </w:tcPr>
                <w:p w14:paraId="167DCF7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环评已批复</w:t>
                  </w:r>
                </w:p>
              </w:tc>
            </w:tr>
            <w:tr w14:paraId="1218E3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14CDA51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9</w:t>
                  </w:r>
                </w:p>
              </w:tc>
              <w:tc>
                <w:tcPr>
                  <w:tcW w:w="2289" w:type="dxa"/>
                  <w:tcBorders>
                    <w:tl2br w:val="nil"/>
                    <w:tr2bl w:val="nil"/>
                  </w:tcBorders>
                  <w:vAlign w:val="center"/>
                </w:tcPr>
                <w:p w14:paraId="4BD4937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排污许可证</w:t>
                  </w:r>
                </w:p>
              </w:tc>
              <w:tc>
                <w:tcPr>
                  <w:tcW w:w="5295" w:type="dxa"/>
                  <w:gridSpan w:val="4"/>
                  <w:tcBorders>
                    <w:tl2br w:val="nil"/>
                    <w:tr2bl w:val="nil"/>
                  </w:tcBorders>
                  <w:vAlign w:val="center"/>
                </w:tcPr>
                <w:p w14:paraId="130E53E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证书编号：91610322684763120N001P</w:t>
                  </w:r>
                </w:p>
              </w:tc>
            </w:tr>
            <w:tr w14:paraId="4FE8E5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tcBorders>
                    <w:tl2br w:val="nil"/>
                    <w:tr2bl w:val="nil"/>
                  </w:tcBorders>
                  <w:vAlign w:val="center"/>
                </w:tcPr>
                <w:p w14:paraId="0636902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10</w:t>
                  </w:r>
                </w:p>
              </w:tc>
              <w:tc>
                <w:tcPr>
                  <w:tcW w:w="2289" w:type="dxa"/>
                  <w:tcBorders>
                    <w:tl2br w:val="nil"/>
                    <w:tr2bl w:val="nil"/>
                  </w:tcBorders>
                  <w:vAlign w:val="center"/>
                </w:tcPr>
                <w:p w14:paraId="4E78682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金隅冀东凤翔环保科技有限公司制定了突发环境事件应急预案</w:t>
                  </w:r>
                </w:p>
              </w:tc>
              <w:tc>
                <w:tcPr>
                  <w:tcW w:w="5295" w:type="dxa"/>
                  <w:gridSpan w:val="4"/>
                  <w:tcBorders>
                    <w:tl2br w:val="nil"/>
                    <w:tr2bl w:val="nil"/>
                  </w:tcBorders>
                  <w:vAlign w:val="center"/>
                </w:tcPr>
                <w:p w14:paraId="2FAA590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备案编号：610305-2024-22M</w:t>
                  </w:r>
                </w:p>
              </w:tc>
            </w:tr>
          </w:tbl>
          <w:p w14:paraId="493E0A10">
            <w:pPr>
              <w:pStyle w:val="27"/>
              <w:numPr>
                <w:ilvl w:val="0"/>
                <w:numId w:val="6"/>
              </w:numPr>
              <w:spacing w:line="360" w:lineRule="auto"/>
              <w:ind w:left="0" w:leftChars="0" w:right="86" w:firstLine="482" w:firstLineChars="200"/>
              <w:rPr>
                <w:rFonts w:hint="eastAsia" w:ascii="Times New Roman" w:hAnsi="Times New Roman" w:cs="Times New Roman" w:eastAsiaTheme="minorEastAsia"/>
                <w:b/>
                <w:bCs/>
                <w:color w:val="auto"/>
                <w:sz w:val="24"/>
                <w:highlight w:val="none"/>
                <w:lang w:val="en-US" w:eastAsia="zh-CN"/>
              </w:rPr>
            </w:pPr>
            <w:r>
              <w:rPr>
                <w:rFonts w:hint="eastAsia" w:ascii="Times New Roman" w:hAnsi="Times New Roman" w:cs="Times New Roman" w:eastAsiaTheme="minorEastAsia"/>
                <w:b/>
                <w:bCs/>
                <w:color w:val="auto"/>
                <w:sz w:val="24"/>
                <w:highlight w:val="none"/>
                <w:lang w:val="en-US" w:eastAsia="zh-CN"/>
              </w:rPr>
              <w:t>现有工程主要污染物达标排放情况</w:t>
            </w:r>
          </w:p>
          <w:p w14:paraId="066931B4">
            <w:pPr>
              <w:pStyle w:val="27"/>
              <w:numPr>
                <w:ilvl w:val="0"/>
                <w:numId w:val="7"/>
              </w:numPr>
              <w:spacing w:line="360" w:lineRule="auto"/>
              <w:ind w:right="86" w:rightChars="0" w:firstLine="480" w:firstLineChars="200"/>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废气</w:t>
            </w:r>
          </w:p>
          <w:p w14:paraId="5E699996">
            <w:pPr>
              <w:pStyle w:val="27"/>
              <w:numPr>
                <w:ilvl w:val="0"/>
                <w:numId w:val="0"/>
              </w:numPr>
              <w:spacing w:line="360" w:lineRule="auto"/>
              <w:ind w:right="86" w:rightChars="0" w:firstLine="480" w:firstLineChars="200"/>
              <w:rPr>
                <w:rFonts w:hint="eastAsia" w:ascii="Times New Roman" w:hAnsi="Times New Roman" w:cs="Times New Roman" w:eastAsiaTheme="minorEastAsia"/>
                <w:color w:val="auto"/>
                <w:sz w:val="24"/>
                <w:highlight w:val="none"/>
                <w:lang w:val="en-US" w:eastAsia="zh-CN"/>
              </w:rPr>
            </w:pPr>
            <w:r>
              <w:rPr>
                <w:rFonts w:hint="eastAsia" w:ascii="宋体" w:hAnsi="宋体" w:eastAsia="宋体" w:cs="宋体"/>
                <w:color w:val="auto"/>
                <w:sz w:val="24"/>
                <w:highlight w:val="none"/>
                <w:lang w:val="en-US" w:eastAsia="zh-CN"/>
              </w:rPr>
              <w:t>①</w:t>
            </w:r>
            <w:r>
              <w:rPr>
                <w:rFonts w:hint="eastAsia" w:ascii="Times New Roman" w:hAnsi="Times New Roman" w:cs="Times New Roman" w:eastAsiaTheme="minorEastAsia"/>
                <w:color w:val="auto"/>
                <w:sz w:val="24"/>
                <w:highlight w:val="none"/>
                <w:lang w:val="en-US" w:eastAsia="zh-CN"/>
              </w:rPr>
              <w:t>有组织废气</w:t>
            </w:r>
          </w:p>
          <w:p w14:paraId="1FDB3F74">
            <w:pPr>
              <w:pStyle w:val="27"/>
              <w:numPr>
                <w:ilvl w:val="0"/>
                <w:numId w:val="0"/>
              </w:numPr>
              <w:spacing w:line="360" w:lineRule="auto"/>
              <w:ind w:right="86" w:rightChars="0" w:firstLine="480" w:firstLineChars="200"/>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根据该企业排污许可证上传的有组织废气监测资料，现有工程有组织废气监测结果见表2-14。</w:t>
            </w:r>
          </w:p>
          <w:p w14:paraId="65071870">
            <w:pPr>
              <w:pStyle w:val="27"/>
              <w:numPr>
                <w:ilvl w:val="0"/>
                <w:numId w:val="0"/>
              </w:numPr>
              <w:spacing w:line="240" w:lineRule="auto"/>
              <w:ind w:right="86" w:rightChars="0" w:firstLine="422" w:firstLineChars="20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 xml:space="preserve">表2-14  </w:t>
            </w:r>
            <w:r>
              <w:rPr>
                <w:rFonts w:hint="eastAsia" w:ascii="Times New Roman" w:hAnsi="Times New Roman" w:cs="Times New Roman" w:eastAsiaTheme="minorEastAsia"/>
                <w:b/>
                <w:bCs/>
                <w:color w:val="auto"/>
                <w:sz w:val="21"/>
                <w:szCs w:val="21"/>
                <w:highlight w:val="none"/>
                <w:lang w:val="en-US" w:eastAsia="zh-CN"/>
              </w:rPr>
              <w:t>现有项目有组织废气监测情况</w:t>
            </w:r>
            <w:r>
              <w:rPr>
                <w:rFonts w:hint="default" w:ascii="Times New Roman" w:hAnsi="Times New Roman" w:cs="Times New Roman" w:eastAsiaTheme="minorEastAsia"/>
                <w:b/>
                <w:bCs/>
                <w:color w:val="auto"/>
                <w:sz w:val="21"/>
                <w:szCs w:val="21"/>
                <w:highlight w:val="none"/>
                <w:lang w:val="en-US" w:eastAsia="zh-CN"/>
              </w:rPr>
              <w:t>一览表</w:t>
            </w:r>
          </w:p>
          <w:tbl>
            <w:tblPr>
              <w:tblStyle w:val="20"/>
              <w:tblW w:w="80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995"/>
              <w:gridCol w:w="1087"/>
              <w:gridCol w:w="1482"/>
              <w:gridCol w:w="1399"/>
              <w:gridCol w:w="1623"/>
            </w:tblGrid>
            <w:tr w14:paraId="629A6B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tcBorders>
                    <w:tl2br w:val="nil"/>
                    <w:tr2bl w:val="nil"/>
                  </w:tcBorders>
                  <w:vAlign w:val="center"/>
                </w:tcPr>
                <w:p w14:paraId="377ADDB3">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监测点名称</w:t>
                  </w:r>
                </w:p>
              </w:tc>
              <w:tc>
                <w:tcPr>
                  <w:tcW w:w="995" w:type="dxa"/>
                  <w:tcBorders>
                    <w:tl2br w:val="nil"/>
                    <w:tr2bl w:val="nil"/>
                  </w:tcBorders>
                  <w:vAlign w:val="center"/>
                </w:tcPr>
                <w:p w14:paraId="4824559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项目名称</w:t>
                  </w:r>
                </w:p>
              </w:tc>
              <w:tc>
                <w:tcPr>
                  <w:tcW w:w="1087" w:type="dxa"/>
                  <w:tcBorders>
                    <w:tl2br w:val="nil"/>
                    <w:tr2bl w:val="nil"/>
                  </w:tcBorders>
                  <w:vAlign w:val="center"/>
                </w:tcPr>
                <w:p w14:paraId="10E62C84">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采样时间</w:t>
                  </w:r>
                </w:p>
              </w:tc>
              <w:tc>
                <w:tcPr>
                  <w:tcW w:w="1482" w:type="dxa"/>
                  <w:tcBorders>
                    <w:tl2br w:val="nil"/>
                    <w:tr2bl w:val="nil"/>
                  </w:tcBorders>
                  <w:vAlign w:val="center"/>
                </w:tcPr>
                <w:p w14:paraId="52D83B92">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实测排放浓度（</w:t>
                  </w:r>
                  <w:r>
                    <w:rPr>
                      <w:rStyle w:val="46"/>
                      <w:rFonts w:hint="default" w:ascii="Times New Roman" w:hAnsi="Times New Roman" w:eastAsia="宋体" w:cs="Times New Roman"/>
                      <w:b/>
                      <w:bCs/>
                      <w:color w:val="auto"/>
                      <w:sz w:val="21"/>
                      <w:szCs w:val="21"/>
                      <w:highlight w:val="none"/>
                      <w:lang w:val="en-US" w:eastAsia="zh-CN"/>
                    </w:rPr>
                    <w:t>mg/m</w:t>
                  </w:r>
                  <w:r>
                    <w:rPr>
                      <w:rStyle w:val="55"/>
                      <w:rFonts w:hint="default" w:ascii="Times New Roman" w:hAnsi="Times New Roman" w:eastAsia="宋体" w:cs="Times New Roman"/>
                      <w:b/>
                      <w:bCs/>
                      <w:color w:val="auto"/>
                      <w:sz w:val="21"/>
                      <w:szCs w:val="21"/>
                      <w:highlight w:val="none"/>
                      <w:lang w:val="en-US" w:eastAsia="zh-CN"/>
                    </w:rPr>
                    <w:t>3</w:t>
                  </w:r>
                  <w:r>
                    <w:rPr>
                      <w:rStyle w:val="48"/>
                      <w:rFonts w:hint="default" w:ascii="Times New Roman" w:hAnsi="Times New Roman" w:eastAsia="宋体" w:cs="Times New Roman"/>
                      <w:b/>
                      <w:bCs/>
                      <w:color w:val="auto"/>
                      <w:sz w:val="21"/>
                      <w:szCs w:val="21"/>
                      <w:highlight w:val="none"/>
                      <w:lang w:val="en-US" w:eastAsia="zh-CN"/>
                    </w:rPr>
                    <w:t>）</w:t>
                  </w:r>
                </w:p>
              </w:tc>
              <w:tc>
                <w:tcPr>
                  <w:tcW w:w="1399" w:type="dxa"/>
                  <w:tcBorders>
                    <w:tl2br w:val="nil"/>
                    <w:tr2bl w:val="nil"/>
                  </w:tcBorders>
                  <w:vAlign w:val="center"/>
                </w:tcPr>
                <w:p w14:paraId="7205BB3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折算排放浓度（</w:t>
                  </w:r>
                  <w:r>
                    <w:rPr>
                      <w:rStyle w:val="46"/>
                      <w:rFonts w:hint="default" w:ascii="Times New Roman" w:hAnsi="Times New Roman" w:eastAsia="宋体" w:cs="Times New Roman"/>
                      <w:b/>
                      <w:bCs/>
                      <w:color w:val="auto"/>
                      <w:sz w:val="21"/>
                      <w:szCs w:val="21"/>
                      <w:highlight w:val="none"/>
                      <w:lang w:val="en-US" w:eastAsia="zh-CN"/>
                    </w:rPr>
                    <w:t>mg/m</w:t>
                  </w:r>
                  <w:r>
                    <w:rPr>
                      <w:rStyle w:val="55"/>
                      <w:rFonts w:hint="default" w:ascii="Times New Roman" w:hAnsi="Times New Roman" w:eastAsia="宋体" w:cs="Times New Roman"/>
                      <w:b/>
                      <w:bCs/>
                      <w:color w:val="auto"/>
                      <w:sz w:val="21"/>
                      <w:szCs w:val="21"/>
                      <w:highlight w:val="none"/>
                      <w:lang w:val="en-US" w:eastAsia="zh-CN"/>
                    </w:rPr>
                    <w:t>3</w:t>
                  </w:r>
                  <w:r>
                    <w:rPr>
                      <w:rStyle w:val="48"/>
                      <w:rFonts w:hint="default" w:ascii="Times New Roman" w:hAnsi="Times New Roman" w:eastAsia="宋体" w:cs="Times New Roman"/>
                      <w:b/>
                      <w:bCs/>
                      <w:color w:val="auto"/>
                      <w:sz w:val="21"/>
                      <w:szCs w:val="21"/>
                      <w:highlight w:val="none"/>
                      <w:lang w:val="en-US" w:eastAsia="zh-CN"/>
                    </w:rPr>
                    <w:t>）</w:t>
                  </w:r>
                </w:p>
              </w:tc>
              <w:tc>
                <w:tcPr>
                  <w:tcW w:w="1623" w:type="dxa"/>
                  <w:tcBorders>
                    <w:tl2br w:val="nil"/>
                    <w:tr2bl w:val="nil"/>
                  </w:tcBorders>
                  <w:vAlign w:val="center"/>
                </w:tcPr>
                <w:p w14:paraId="169AF5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排放限值（mg/m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r>
            <w:tr w14:paraId="0307D9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tcBorders>
                    <w:tl2br w:val="nil"/>
                    <w:tr2bl w:val="nil"/>
                  </w:tcBorders>
                  <w:vAlign w:val="center"/>
                </w:tcPr>
                <w:p w14:paraId="34F34899">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破碎机收尘器</w:t>
                  </w:r>
                  <w:r>
                    <w:rPr>
                      <w:rFonts w:hint="eastAsia" w:cs="Times New Roman"/>
                      <w:i w:val="0"/>
                      <w:iCs w:val="0"/>
                      <w:color w:val="auto"/>
                      <w:kern w:val="0"/>
                      <w:sz w:val="21"/>
                      <w:szCs w:val="21"/>
                      <w:highlight w:val="none"/>
                      <w:u w:val="none"/>
                      <w:lang w:val="en-US" w:eastAsia="zh-CN"/>
                    </w:rPr>
                    <w:t>（DA001）</w:t>
                  </w:r>
                </w:p>
              </w:tc>
              <w:tc>
                <w:tcPr>
                  <w:tcW w:w="995" w:type="dxa"/>
                  <w:tcBorders>
                    <w:tl2br w:val="nil"/>
                    <w:tr2bl w:val="nil"/>
                  </w:tcBorders>
                  <w:vAlign w:val="center"/>
                </w:tcPr>
                <w:p w14:paraId="7918E6E6">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60D1E391">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2025/3/10</w:t>
                  </w:r>
                </w:p>
              </w:tc>
              <w:tc>
                <w:tcPr>
                  <w:tcW w:w="1482" w:type="dxa"/>
                  <w:tcBorders>
                    <w:tl2br w:val="nil"/>
                    <w:tr2bl w:val="nil"/>
                  </w:tcBorders>
                  <w:vAlign w:val="center"/>
                </w:tcPr>
                <w:p w14:paraId="1013FDA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2.3</w:t>
                  </w:r>
                </w:p>
              </w:tc>
              <w:tc>
                <w:tcPr>
                  <w:tcW w:w="1399" w:type="dxa"/>
                  <w:tcBorders>
                    <w:tl2br w:val="nil"/>
                    <w:tr2bl w:val="nil"/>
                  </w:tcBorders>
                  <w:vAlign w:val="center"/>
                </w:tcPr>
                <w:p w14:paraId="6C872157">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2.3</w:t>
                  </w:r>
                </w:p>
              </w:tc>
              <w:tc>
                <w:tcPr>
                  <w:tcW w:w="1623" w:type="dxa"/>
                  <w:tcBorders>
                    <w:tl2br w:val="nil"/>
                    <w:tr2bl w:val="nil"/>
                  </w:tcBorders>
                  <w:vAlign w:val="center"/>
                </w:tcPr>
                <w:p w14:paraId="5E6F85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14:paraId="3FD3B0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tcBorders>
                    <w:tl2br w:val="nil"/>
                    <w:tr2bl w:val="nil"/>
                  </w:tcBorders>
                  <w:vAlign w:val="center"/>
                </w:tcPr>
                <w:p w14:paraId="35CE24B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A磨辊压机收尘器</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DA007</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4C732F3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78FC712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2025/3/5</w:t>
                  </w:r>
                </w:p>
              </w:tc>
              <w:tc>
                <w:tcPr>
                  <w:tcW w:w="1482" w:type="dxa"/>
                  <w:tcBorders>
                    <w:tl2br w:val="nil"/>
                    <w:tr2bl w:val="nil"/>
                  </w:tcBorders>
                  <w:vAlign w:val="center"/>
                </w:tcPr>
                <w:p w14:paraId="1A2119C4">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1.2</w:t>
                  </w:r>
                </w:p>
              </w:tc>
              <w:tc>
                <w:tcPr>
                  <w:tcW w:w="1399" w:type="dxa"/>
                  <w:tcBorders>
                    <w:tl2br w:val="nil"/>
                    <w:tr2bl w:val="nil"/>
                  </w:tcBorders>
                  <w:vAlign w:val="center"/>
                </w:tcPr>
                <w:p w14:paraId="470696DC">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1.2</w:t>
                  </w:r>
                </w:p>
              </w:tc>
              <w:tc>
                <w:tcPr>
                  <w:tcW w:w="1623" w:type="dxa"/>
                  <w:tcBorders>
                    <w:tl2br w:val="nil"/>
                    <w:tr2bl w:val="nil"/>
                  </w:tcBorders>
                  <w:vAlign w:val="center"/>
                </w:tcPr>
                <w:p w14:paraId="4AF6AB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388C5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tcBorders>
                    <w:tl2br w:val="nil"/>
                    <w:tr2bl w:val="nil"/>
                  </w:tcBorders>
                  <w:vAlign w:val="center"/>
                </w:tcPr>
                <w:p w14:paraId="27E3E33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水泥A磨收尘器</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DA009</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3F1DE221">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1BAF28F7">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2025/3/5</w:t>
                  </w:r>
                </w:p>
              </w:tc>
              <w:tc>
                <w:tcPr>
                  <w:tcW w:w="1482" w:type="dxa"/>
                  <w:tcBorders>
                    <w:tl2br w:val="nil"/>
                    <w:tr2bl w:val="nil"/>
                  </w:tcBorders>
                  <w:vAlign w:val="center"/>
                </w:tcPr>
                <w:p w14:paraId="2C53E71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1.4</w:t>
                  </w:r>
                </w:p>
              </w:tc>
              <w:tc>
                <w:tcPr>
                  <w:tcW w:w="1399" w:type="dxa"/>
                  <w:tcBorders>
                    <w:tl2br w:val="nil"/>
                    <w:tr2bl w:val="nil"/>
                  </w:tcBorders>
                  <w:vAlign w:val="center"/>
                </w:tcPr>
                <w:p w14:paraId="2F82F092">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1.4</w:t>
                  </w:r>
                </w:p>
              </w:tc>
              <w:tc>
                <w:tcPr>
                  <w:tcW w:w="1623" w:type="dxa"/>
                  <w:tcBorders>
                    <w:tl2br w:val="nil"/>
                    <w:tr2bl w:val="nil"/>
                  </w:tcBorders>
                  <w:vAlign w:val="center"/>
                </w:tcPr>
                <w:p w14:paraId="637786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r>
            <w:tr w14:paraId="77C77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30" w:type="dxa"/>
                  <w:tcBorders>
                    <w:tl2br w:val="nil"/>
                    <w:tr2bl w:val="nil"/>
                  </w:tcBorders>
                  <w:vAlign w:val="center"/>
                </w:tcPr>
                <w:p w14:paraId="1952233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水泥B磨收尘器</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DA010</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00CFB61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2F469BE5">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2025/3/25</w:t>
                  </w:r>
                </w:p>
              </w:tc>
              <w:tc>
                <w:tcPr>
                  <w:tcW w:w="1482" w:type="dxa"/>
                  <w:tcBorders>
                    <w:tl2br w:val="nil"/>
                    <w:tr2bl w:val="nil"/>
                  </w:tcBorders>
                  <w:vAlign w:val="center"/>
                </w:tcPr>
                <w:p w14:paraId="0655386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7.7</w:t>
                  </w:r>
                </w:p>
              </w:tc>
              <w:tc>
                <w:tcPr>
                  <w:tcW w:w="1399" w:type="dxa"/>
                  <w:tcBorders>
                    <w:tl2br w:val="nil"/>
                    <w:tr2bl w:val="nil"/>
                  </w:tcBorders>
                  <w:vAlign w:val="center"/>
                </w:tcPr>
                <w:p w14:paraId="64A406D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7.7</w:t>
                  </w:r>
                </w:p>
              </w:tc>
              <w:tc>
                <w:tcPr>
                  <w:tcW w:w="1623" w:type="dxa"/>
                  <w:tcBorders>
                    <w:tl2br w:val="nil"/>
                    <w:tr2bl w:val="nil"/>
                  </w:tcBorders>
                  <w:vAlign w:val="center"/>
                </w:tcPr>
                <w:p w14:paraId="36EDC5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r>
            <w:tr w14:paraId="2264D6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tcBorders>
                    <w:tl2br w:val="nil"/>
                    <w:tr2bl w:val="nil"/>
                  </w:tcBorders>
                  <w:vAlign w:val="center"/>
                </w:tcPr>
                <w:p w14:paraId="3835E1B2">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1#包装机收尘器</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DA026</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4944E939">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5D0D2CB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2025/3/12</w:t>
                  </w:r>
                </w:p>
              </w:tc>
              <w:tc>
                <w:tcPr>
                  <w:tcW w:w="1482" w:type="dxa"/>
                  <w:tcBorders>
                    <w:tl2br w:val="nil"/>
                    <w:tr2bl w:val="nil"/>
                  </w:tcBorders>
                  <w:vAlign w:val="center"/>
                </w:tcPr>
                <w:p w14:paraId="12DAF14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3.4</w:t>
                  </w:r>
                </w:p>
              </w:tc>
              <w:tc>
                <w:tcPr>
                  <w:tcW w:w="1399" w:type="dxa"/>
                  <w:tcBorders>
                    <w:tl2br w:val="nil"/>
                    <w:tr2bl w:val="nil"/>
                  </w:tcBorders>
                  <w:vAlign w:val="center"/>
                </w:tcPr>
                <w:p w14:paraId="427D5319">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3.4</w:t>
                  </w:r>
                </w:p>
              </w:tc>
              <w:tc>
                <w:tcPr>
                  <w:tcW w:w="1623" w:type="dxa"/>
                  <w:tcBorders>
                    <w:tl2br w:val="nil"/>
                    <w:tr2bl w:val="nil"/>
                  </w:tcBorders>
                  <w:vAlign w:val="center"/>
                </w:tcPr>
                <w:p w14:paraId="6BA60B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25FF0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tcBorders>
                    <w:tl2br w:val="nil"/>
                    <w:tr2bl w:val="nil"/>
                  </w:tcBorders>
                  <w:vAlign w:val="center"/>
                </w:tcPr>
                <w:p w14:paraId="1B6E1FE1">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3#包装机收尘器</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DA028</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0370C34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23050419">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2025/3/13</w:t>
                  </w:r>
                </w:p>
              </w:tc>
              <w:tc>
                <w:tcPr>
                  <w:tcW w:w="1482" w:type="dxa"/>
                  <w:tcBorders>
                    <w:tl2br w:val="nil"/>
                    <w:tr2bl w:val="nil"/>
                  </w:tcBorders>
                  <w:vAlign w:val="center"/>
                </w:tcPr>
                <w:p w14:paraId="22F3D08E">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6.4</w:t>
                  </w:r>
                </w:p>
              </w:tc>
              <w:tc>
                <w:tcPr>
                  <w:tcW w:w="1399" w:type="dxa"/>
                  <w:tcBorders>
                    <w:tl2br w:val="nil"/>
                    <w:tr2bl w:val="nil"/>
                  </w:tcBorders>
                  <w:vAlign w:val="center"/>
                </w:tcPr>
                <w:p w14:paraId="046BFC44">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6.4</w:t>
                  </w:r>
                </w:p>
              </w:tc>
              <w:tc>
                <w:tcPr>
                  <w:tcW w:w="1623" w:type="dxa"/>
                  <w:tcBorders>
                    <w:tl2br w:val="nil"/>
                    <w:tr2bl w:val="nil"/>
                  </w:tcBorders>
                  <w:vAlign w:val="center"/>
                </w:tcPr>
                <w:p w14:paraId="0BD0FD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220A22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tcBorders>
                    <w:tl2br w:val="nil"/>
                    <w:tr2bl w:val="nil"/>
                  </w:tcBorders>
                  <w:vAlign w:val="center"/>
                </w:tcPr>
                <w:p w14:paraId="05AF4554">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4#包装机收尘器</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DA029</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059ADB49">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44049C65">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2025/3/13</w:t>
                  </w:r>
                </w:p>
              </w:tc>
              <w:tc>
                <w:tcPr>
                  <w:tcW w:w="1482" w:type="dxa"/>
                  <w:tcBorders>
                    <w:tl2br w:val="nil"/>
                    <w:tr2bl w:val="nil"/>
                  </w:tcBorders>
                  <w:vAlign w:val="center"/>
                </w:tcPr>
                <w:p w14:paraId="352FC07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1.2</w:t>
                  </w:r>
                </w:p>
              </w:tc>
              <w:tc>
                <w:tcPr>
                  <w:tcW w:w="1399" w:type="dxa"/>
                  <w:tcBorders>
                    <w:tl2br w:val="nil"/>
                    <w:tr2bl w:val="nil"/>
                  </w:tcBorders>
                  <w:vAlign w:val="center"/>
                </w:tcPr>
                <w:p w14:paraId="28C350A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1.2</w:t>
                  </w:r>
                </w:p>
              </w:tc>
              <w:tc>
                <w:tcPr>
                  <w:tcW w:w="1623" w:type="dxa"/>
                  <w:tcBorders>
                    <w:tl2br w:val="nil"/>
                    <w:tr2bl w:val="nil"/>
                  </w:tcBorders>
                  <w:vAlign w:val="center"/>
                </w:tcPr>
                <w:p w14:paraId="0F7085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0581A3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tcBorders>
                    <w:tl2br w:val="nil"/>
                    <w:tr2bl w:val="nil"/>
                  </w:tcBorders>
                  <w:vAlign w:val="center"/>
                </w:tcPr>
                <w:p w14:paraId="4F7CE9EF">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1#熟料库侧散装头收尘器</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DA034</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7F879E21">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1D057A4C">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2025/4/28</w:t>
                  </w:r>
                </w:p>
              </w:tc>
              <w:tc>
                <w:tcPr>
                  <w:tcW w:w="1482" w:type="dxa"/>
                  <w:tcBorders>
                    <w:tl2br w:val="nil"/>
                    <w:tr2bl w:val="nil"/>
                  </w:tcBorders>
                  <w:vAlign w:val="center"/>
                </w:tcPr>
                <w:p w14:paraId="66B5295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1.8</w:t>
                  </w:r>
                </w:p>
              </w:tc>
              <w:tc>
                <w:tcPr>
                  <w:tcW w:w="1399" w:type="dxa"/>
                  <w:tcBorders>
                    <w:tl2br w:val="nil"/>
                    <w:tr2bl w:val="nil"/>
                  </w:tcBorders>
                  <w:vAlign w:val="center"/>
                </w:tcPr>
                <w:p w14:paraId="6C7C5A61">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1.8</w:t>
                  </w:r>
                </w:p>
              </w:tc>
              <w:tc>
                <w:tcPr>
                  <w:tcW w:w="1623" w:type="dxa"/>
                  <w:tcBorders>
                    <w:tl2br w:val="nil"/>
                    <w:tr2bl w:val="nil"/>
                  </w:tcBorders>
                  <w:vAlign w:val="center"/>
                </w:tcPr>
                <w:p w14:paraId="1A91E8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0FF37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tcBorders>
                    <w:tl2br w:val="nil"/>
                    <w:tr2bl w:val="nil"/>
                  </w:tcBorders>
                  <w:vAlign w:val="center"/>
                </w:tcPr>
                <w:p w14:paraId="774D6ECC">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12.28皮带机尾收尘器</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DA037</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59813EF7">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5EBA799C">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2025/3/11</w:t>
                  </w:r>
                </w:p>
              </w:tc>
              <w:tc>
                <w:tcPr>
                  <w:tcW w:w="1482" w:type="dxa"/>
                  <w:tcBorders>
                    <w:tl2br w:val="nil"/>
                    <w:tr2bl w:val="nil"/>
                  </w:tcBorders>
                  <w:vAlign w:val="center"/>
                </w:tcPr>
                <w:p w14:paraId="49C6DDBE">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1.4</w:t>
                  </w:r>
                </w:p>
              </w:tc>
              <w:tc>
                <w:tcPr>
                  <w:tcW w:w="1399" w:type="dxa"/>
                  <w:tcBorders>
                    <w:tl2br w:val="nil"/>
                    <w:tr2bl w:val="nil"/>
                  </w:tcBorders>
                  <w:vAlign w:val="center"/>
                </w:tcPr>
                <w:p w14:paraId="14E9539E">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1.4</w:t>
                  </w:r>
                </w:p>
              </w:tc>
              <w:tc>
                <w:tcPr>
                  <w:tcW w:w="1623" w:type="dxa"/>
                  <w:tcBorders>
                    <w:tl2br w:val="nil"/>
                    <w:tr2bl w:val="nil"/>
                  </w:tcBorders>
                  <w:vAlign w:val="center"/>
                </w:tcPr>
                <w:p w14:paraId="307244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722A4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tcBorders>
                    <w:tl2br w:val="nil"/>
                    <w:tr2bl w:val="nil"/>
                  </w:tcBorders>
                  <w:vAlign w:val="center"/>
                </w:tcPr>
                <w:p w14:paraId="248BDE2E">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12.29皮带机尾收尘器</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DA038</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48C514C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4A8074B1">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2025/3/11</w:t>
                  </w:r>
                </w:p>
              </w:tc>
              <w:tc>
                <w:tcPr>
                  <w:tcW w:w="1482" w:type="dxa"/>
                  <w:tcBorders>
                    <w:tl2br w:val="nil"/>
                    <w:tr2bl w:val="nil"/>
                  </w:tcBorders>
                  <w:vAlign w:val="center"/>
                </w:tcPr>
                <w:p w14:paraId="04DD88B2">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1.4</w:t>
                  </w:r>
                </w:p>
              </w:tc>
              <w:tc>
                <w:tcPr>
                  <w:tcW w:w="1399" w:type="dxa"/>
                  <w:tcBorders>
                    <w:tl2br w:val="nil"/>
                    <w:tr2bl w:val="nil"/>
                  </w:tcBorders>
                  <w:vAlign w:val="center"/>
                </w:tcPr>
                <w:p w14:paraId="0F53E4F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1.4</w:t>
                  </w:r>
                </w:p>
              </w:tc>
              <w:tc>
                <w:tcPr>
                  <w:tcW w:w="1623" w:type="dxa"/>
                  <w:tcBorders>
                    <w:tl2br w:val="nil"/>
                    <w:tr2bl w:val="nil"/>
                  </w:tcBorders>
                  <w:vAlign w:val="center"/>
                </w:tcPr>
                <w:p w14:paraId="1C51CD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186FE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tcBorders>
                    <w:tl2br w:val="nil"/>
                    <w:tr2bl w:val="nil"/>
                  </w:tcBorders>
                  <w:vAlign w:val="center"/>
                </w:tcPr>
                <w:p w14:paraId="264FC026">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12.28皮带机头收尘器</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DA039</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3E925945">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40EAF165">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2025/3/11</w:t>
                  </w:r>
                </w:p>
              </w:tc>
              <w:tc>
                <w:tcPr>
                  <w:tcW w:w="1482" w:type="dxa"/>
                  <w:tcBorders>
                    <w:tl2br w:val="nil"/>
                    <w:tr2bl w:val="nil"/>
                  </w:tcBorders>
                  <w:vAlign w:val="center"/>
                </w:tcPr>
                <w:p w14:paraId="5303F5A3">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1.3</w:t>
                  </w:r>
                </w:p>
              </w:tc>
              <w:tc>
                <w:tcPr>
                  <w:tcW w:w="1399" w:type="dxa"/>
                  <w:tcBorders>
                    <w:tl2br w:val="nil"/>
                    <w:tr2bl w:val="nil"/>
                  </w:tcBorders>
                  <w:vAlign w:val="center"/>
                </w:tcPr>
                <w:p w14:paraId="06428682">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1.3</w:t>
                  </w:r>
                </w:p>
              </w:tc>
              <w:tc>
                <w:tcPr>
                  <w:tcW w:w="1623" w:type="dxa"/>
                  <w:tcBorders>
                    <w:tl2br w:val="nil"/>
                    <w:tr2bl w:val="nil"/>
                  </w:tcBorders>
                  <w:vAlign w:val="center"/>
                </w:tcPr>
                <w:p w14:paraId="2424B6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6482FC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tcBorders>
                    <w:tl2br w:val="nil"/>
                    <w:tr2bl w:val="nil"/>
                  </w:tcBorders>
                  <w:vAlign w:val="center"/>
                </w:tcPr>
                <w:p w14:paraId="3343EBC3">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12.29皮带机头收尘器</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DA040</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09AAC0D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2AB1D116">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2025/3/11</w:t>
                  </w:r>
                </w:p>
              </w:tc>
              <w:tc>
                <w:tcPr>
                  <w:tcW w:w="1482" w:type="dxa"/>
                  <w:tcBorders>
                    <w:tl2br w:val="nil"/>
                    <w:tr2bl w:val="nil"/>
                  </w:tcBorders>
                  <w:vAlign w:val="center"/>
                </w:tcPr>
                <w:p w14:paraId="77F4B9C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1.5</w:t>
                  </w:r>
                </w:p>
              </w:tc>
              <w:tc>
                <w:tcPr>
                  <w:tcW w:w="1399" w:type="dxa"/>
                  <w:tcBorders>
                    <w:tl2br w:val="nil"/>
                    <w:tr2bl w:val="nil"/>
                  </w:tcBorders>
                  <w:vAlign w:val="center"/>
                </w:tcPr>
                <w:p w14:paraId="6829F1A1">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1.5</w:t>
                  </w:r>
                </w:p>
              </w:tc>
              <w:tc>
                <w:tcPr>
                  <w:tcW w:w="1623" w:type="dxa"/>
                  <w:tcBorders>
                    <w:tl2br w:val="nil"/>
                    <w:tr2bl w:val="nil"/>
                  </w:tcBorders>
                  <w:vAlign w:val="center"/>
                </w:tcPr>
                <w:p w14:paraId="14E225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3C16D8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tcBorders>
                    <w:tl2br w:val="nil"/>
                    <w:tr2bl w:val="nil"/>
                  </w:tcBorders>
                  <w:vAlign w:val="center"/>
                </w:tcPr>
                <w:p w14:paraId="42942477">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均化库侧收尘器</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DA046</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76F52B09">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4A53C584">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2025/4/29</w:t>
                  </w:r>
                </w:p>
              </w:tc>
              <w:tc>
                <w:tcPr>
                  <w:tcW w:w="1482" w:type="dxa"/>
                  <w:tcBorders>
                    <w:tl2br w:val="nil"/>
                    <w:tr2bl w:val="nil"/>
                  </w:tcBorders>
                  <w:vAlign w:val="center"/>
                </w:tcPr>
                <w:p w14:paraId="62A642FF">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1.7</w:t>
                  </w:r>
                </w:p>
              </w:tc>
              <w:tc>
                <w:tcPr>
                  <w:tcW w:w="1399" w:type="dxa"/>
                  <w:tcBorders>
                    <w:tl2br w:val="nil"/>
                    <w:tr2bl w:val="nil"/>
                  </w:tcBorders>
                  <w:vAlign w:val="center"/>
                </w:tcPr>
                <w:p w14:paraId="0F4BB6C6">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1.7</w:t>
                  </w:r>
                </w:p>
              </w:tc>
              <w:tc>
                <w:tcPr>
                  <w:tcW w:w="1623" w:type="dxa"/>
                  <w:tcBorders>
                    <w:tl2br w:val="nil"/>
                    <w:tr2bl w:val="nil"/>
                  </w:tcBorders>
                  <w:vAlign w:val="center"/>
                </w:tcPr>
                <w:p w14:paraId="311237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29E42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restart"/>
                  <w:tcBorders>
                    <w:tl2br w:val="nil"/>
                    <w:tr2bl w:val="nil"/>
                  </w:tcBorders>
                  <w:vAlign w:val="center"/>
                </w:tcPr>
                <w:p w14:paraId="1BE5DB8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煤磨收尘器</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DA053</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0E068755">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总有机碳</w:t>
                  </w:r>
                </w:p>
              </w:tc>
              <w:tc>
                <w:tcPr>
                  <w:tcW w:w="1087" w:type="dxa"/>
                  <w:tcBorders>
                    <w:tl2br w:val="nil"/>
                    <w:tr2bl w:val="nil"/>
                  </w:tcBorders>
                  <w:vAlign w:val="center"/>
                </w:tcPr>
                <w:p w14:paraId="71C52DD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2025/2/27</w:t>
                  </w:r>
                </w:p>
              </w:tc>
              <w:tc>
                <w:tcPr>
                  <w:tcW w:w="1482" w:type="dxa"/>
                  <w:tcBorders>
                    <w:tl2br w:val="nil"/>
                    <w:tr2bl w:val="nil"/>
                  </w:tcBorders>
                  <w:vAlign w:val="center"/>
                </w:tcPr>
                <w:p w14:paraId="4AC42E3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5.5</w:t>
                  </w:r>
                </w:p>
              </w:tc>
              <w:tc>
                <w:tcPr>
                  <w:tcW w:w="1399" w:type="dxa"/>
                  <w:tcBorders>
                    <w:tl2br w:val="nil"/>
                    <w:tr2bl w:val="nil"/>
                  </w:tcBorders>
                  <w:vAlign w:val="center"/>
                </w:tcPr>
                <w:p w14:paraId="01B87372">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5.1</w:t>
                  </w:r>
                </w:p>
              </w:tc>
              <w:tc>
                <w:tcPr>
                  <w:tcW w:w="1623" w:type="dxa"/>
                  <w:tcBorders>
                    <w:tl2br w:val="nil"/>
                    <w:tr2bl w:val="nil"/>
                  </w:tcBorders>
                  <w:vAlign w:val="center"/>
                </w:tcPr>
                <w:p w14:paraId="706609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5C3CF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2D7FEC45">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28B98F95">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氨（氨气）</w:t>
                  </w:r>
                </w:p>
              </w:tc>
              <w:tc>
                <w:tcPr>
                  <w:tcW w:w="1087" w:type="dxa"/>
                  <w:tcBorders>
                    <w:tl2br w:val="nil"/>
                    <w:tr2bl w:val="nil"/>
                  </w:tcBorders>
                  <w:vAlign w:val="center"/>
                </w:tcPr>
                <w:p w14:paraId="09F8CCF4">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2025/3/5</w:t>
                  </w:r>
                </w:p>
              </w:tc>
              <w:tc>
                <w:tcPr>
                  <w:tcW w:w="1482" w:type="dxa"/>
                  <w:tcBorders>
                    <w:tl2br w:val="nil"/>
                    <w:tr2bl w:val="nil"/>
                  </w:tcBorders>
                  <w:vAlign w:val="center"/>
                </w:tcPr>
                <w:p w14:paraId="1885548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0.53</w:t>
                  </w:r>
                </w:p>
              </w:tc>
              <w:tc>
                <w:tcPr>
                  <w:tcW w:w="1399" w:type="dxa"/>
                  <w:tcBorders>
                    <w:tl2br w:val="nil"/>
                    <w:tr2bl w:val="nil"/>
                  </w:tcBorders>
                  <w:vAlign w:val="center"/>
                </w:tcPr>
                <w:p w14:paraId="641ACE6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0.48</w:t>
                  </w:r>
                </w:p>
              </w:tc>
              <w:tc>
                <w:tcPr>
                  <w:tcW w:w="1623" w:type="dxa"/>
                  <w:tcBorders>
                    <w:tl2br w:val="nil"/>
                    <w:tr2bl w:val="nil"/>
                  </w:tcBorders>
                  <w:vAlign w:val="center"/>
                </w:tcPr>
                <w:p w14:paraId="1F6A6E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r>
            <w:tr w14:paraId="7FA11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50C492AF">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52EDA3FF">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二氧化硫</w:t>
                  </w:r>
                </w:p>
              </w:tc>
              <w:tc>
                <w:tcPr>
                  <w:tcW w:w="1087" w:type="dxa"/>
                  <w:tcBorders>
                    <w:tl2br w:val="nil"/>
                    <w:tr2bl w:val="nil"/>
                  </w:tcBorders>
                  <w:vAlign w:val="center"/>
                </w:tcPr>
                <w:p w14:paraId="4E2914D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2025/3/5</w:t>
                  </w:r>
                </w:p>
              </w:tc>
              <w:tc>
                <w:tcPr>
                  <w:tcW w:w="1482" w:type="dxa"/>
                  <w:tcBorders>
                    <w:tl2br w:val="nil"/>
                    <w:tr2bl w:val="nil"/>
                  </w:tcBorders>
                  <w:vAlign w:val="center"/>
                </w:tcPr>
                <w:p w14:paraId="237BD7DE">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w:t>
                  </w:r>
                </w:p>
              </w:tc>
              <w:tc>
                <w:tcPr>
                  <w:tcW w:w="1399" w:type="dxa"/>
                  <w:tcBorders>
                    <w:tl2br w:val="nil"/>
                    <w:tr2bl w:val="nil"/>
                  </w:tcBorders>
                  <w:vAlign w:val="center"/>
                </w:tcPr>
                <w:p w14:paraId="607DF679">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w:t>
                  </w:r>
                </w:p>
              </w:tc>
              <w:tc>
                <w:tcPr>
                  <w:tcW w:w="1623" w:type="dxa"/>
                  <w:tcBorders>
                    <w:tl2br w:val="nil"/>
                    <w:tr2bl w:val="nil"/>
                  </w:tcBorders>
                  <w:vAlign w:val="center"/>
                </w:tcPr>
                <w:p w14:paraId="19B3BE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r>
            <w:tr w14:paraId="7F3FFE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5E7C40BF">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5A3B279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汞及其化合物</w:t>
                  </w:r>
                </w:p>
              </w:tc>
              <w:tc>
                <w:tcPr>
                  <w:tcW w:w="1087" w:type="dxa"/>
                  <w:tcBorders>
                    <w:tl2br w:val="nil"/>
                    <w:tr2bl w:val="nil"/>
                  </w:tcBorders>
                  <w:vAlign w:val="center"/>
                </w:tcPr>
                <w:p w14:paraId="4C677EF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2025/3/5</w:t>
                  </w:r>
                </w:p>
              </w:tc>
              <w:tc>
                <w:tcPr>
                  <w:tcW w:w="1482" w:type="dxa"/>
                  <w:tcBorders>
                    <w:tl2br w:val="nil"/>
                    <w:tr2bl w:val="nil"/>
                  </w:tcBorders>
                  <w:vAlign w:val="center"/>
                </w:tcPr>
                <w:p w14:paraId="2B687586">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0.0025</w:t>
                  </w:r>
                </w:p>
              </w:tc>
              <w:tc>
                <w:tcPr>
                  <w:tcW w:w="1399" w:type="dxa"/>
                  <w:tcBorders>
                    <w:tl2br w:val="nil"/>
                    <w:tr2bl w:val="nil"/>
                  </w:tcBorders>
                  <w:vAlign w:val="center"/>
                </w:tcPr>
                <w:p w14:paraId="52F38171">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0.0025</w:t>
                  </w:r>
                </w:p>
              </w:tc>
              <w:tc>
                <w:tcPr>
                  <w:tcW w:w="1623" w:type="dxa"/>
                  <w:tcBorders>
                    <w:tl2br w:val="nil"/>
                    <w:tr2bl w:val="nil"/>
                  </w:tcBorders>
                  <w:vAlign w:val="center"/>
                </w:tcPr>
                <w:p w14:paraId="620B7E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r>
            <w:tr w14:paraId="2AF6D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6FD1C01F">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40E6F55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氯化氢</w:t>
                  </w:r>
                </w:p>
              </w:tc>
              <w:tc>
                <w:tcPr>
                  <w:tcW w:w="1087" w:type="dxa"/>
                  <w:tcBorders>
                    <w:tl2br w:val="nil"/>
                    <w:tr2bl w:val="nil"/>
                  </w:tcBorders>
                  <w:vAlign w:val="center"/>
                </w:tcPr>
                <w:p w14:paraId="79E76A3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2025/3/5</w:t>
                  </w:r>
                </w:p>
              </w:tc>
              <w:tc>
                <w:tcPr>
                  <w:tcW w:w="1482" w:type="dxa"/>
                  <w:tcBorders>
                    <w:tl2br w:val="nil"/>
                    <w:tr2bl w:val="nil"/>
                  </w:tcBorders>
                  <w:vAlign w:val="center"/>
                </w:tcPr>
                <w:p w14:paraId="1985F726">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1.5</w:t>
                  </w:r>
                </w:p>
              </w:tc>
              <w:tc>
                <w:tcPr>
                  <w:tcW w:w="1399" w:type="dxa"/>
                  <w:tcBorders>
                    <w:tl2br w:val="nil"/>
                    <w:tr2bl w:val="nil"/>
                  </w:tcBorders>
                  <w:vAlign w:val="center"/>
                </w:tcPr>
                <w:p w14:paraId="04BE1C39">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1.4</w:t>
                  </w:r>
                </w:p>
              </w:tc>
              <w:tc>
                <w:tcPr>
                  <w:tcW w:w="1623" w:type="dxa"/>
                  <w:tcBorders>
                    <w:tl2br w:val="nil"/>
                    <w:tr2bl w:val="nil"/>
                  </w:tcBorders>
                  <w:vAlign w:val="center"/>
                </w:tcPr>
                <w:p w14:paraId="3EB76C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71CE73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17176C58">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0963BD0C">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氮氧化物</w:t>
                  </w:r>
                </w:p>
              </w:tc>
              <w:tc>
                <w:tcPr>
                  <w:tcW w:w="1087" w:type="dxa"/>
                  <w:tcBorders>
                    <w:tl2br w:val="nil"/>
                    <w:tr2bl w:val="nil"/>
                  </w:tcBorders>
                  <w:vAlign w:val="center"/>
                </w:tcPr>
                <w:p w14:paraId="0CE4EC8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2025/3/5</w:t>
                  </w:r>
                </w:p>
              </w:tc>
              <w:tc>
                <w:tcPr>
                  <w:tcW w:w="1482" w:type="dxa"/>
                  <w:tcBorders>
                    <w:tl2br w:val="nil"/>
                    <w:tr2bl w:val="nil"/>
                  </w:tcBorders>
                  <w:vAlign w:val="center"/>
                </w:tcPr>
                <w:p w14:paraId="171A6BC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55</w:t>
                  </w:r>
                </w:p>
              </w:tc>
              <w:tc>
                <w:tcPr>
                  <w:tcW w:w="1399" w:type="dxa"/>
                  <w:tcBorders>
                    <w:tl2br w:val="nil"/>
                    <w:tr2bl w:val="nil"/>
                  </w:tcBorders>
                  <w:vAlign w:val="center"/>
                </w:tcPr>
                <w:p w14:paraId="265ACECE">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47</w:t>
                  </w:r>
                </w:p>
              </w:tc>
              <w:tc>
                <w:tcPr>
                  <w:tcW w:w="1623" w:type="dxa"/>
                  <w:tcBorders>
                    <w:tl2br w:val="nil"/>
                    <w:tr2bl w:val="nil"/>
                  </w:tcBorders>
                  <w:vAlign w:val="center"/>
                </w:tcPr>
                <w:p w14:paraId="47098E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320</w:t>
                  </w:r>
                </w:p>
              </w:tc>
            </w:tr>
            <w:tr w14:paraId="7B97E6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60CE8023">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7C684516">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62E671F3">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2025/3/6</w:t>
                  </w:r>
                </w:p>
              </w:tc>
              <w:tc>
                <w:tcPr>
                  <w:tcW w:w="1482" w:type="dxa"/>
                  <w:tcBorders>
                    <w:tl2br w:val="nil"/>
                    <w:tr2bl w:val="nil"/>
                  </w:tcBorders>
                  <w:vAlign w:val="center"/>
                </w:tcPr>
                <w:p w14:paraId="55F1427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1.6</w:t>
                  </w:r>
                </w:p>
              </w:tc>
              <w:tc>
                <w:tcPr>
                  <w:tcW w:w="1399" w:type="dxa"/>
                  <w:tcBorders>
                    <w:tl2br w:val="nil"/>
                    <w:tr2bl w:val="nil"/>
                  </w:tcBorders>
                  <w:vAlign w:val="center"/>
                </w:tcPr>
                <w:p w14:paraId="75E502D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1.4</w:t>
                  </w:r>
                </w:p>
              </w:tc>
              <w:tc>
                <w:tcPr>
                  <w:tcW w:w="1623" w:type="dxa"/>
                  <w:tcBorders>
                    <w:tl2br w:val="nil"/>
                    <w:tr2bl w:val="nil"/>
                  </w:tcBorders>
                  <w:vAlign w:val="center"/>
                </w:tcPr>
                <w:p w14:paraId="198E0D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r>
            <w:tr w14:paraId="58D696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29ED1FCB">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527935E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氟化氢</w:t>
                  </w:r>
                </w:p>
              </w:tc>
              <w:tc>
                <w:tcPr>
                  <w:tcW w:w="1087" w:type="dxa"/>
                  <w:tcBorders>
                    <w:tl2br w:val="nil"/>
                    <w:tr2bl w:val="nil"/>
                  </w:tcBorders>
                  <w:vAlign w:val="center"/>
                </w:tcPr>
                <w:p w14:paraId="2BAA47B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2025/3/7</w:t>
                  </w:r>
                </w:p>
              </w:tc>
              <w:tc>
                <w:tcPr>
                  <w:tcW w:w="1482" w:type="dxa"/>
                  <w:tcBorders>
                    <w:tl2br w:val="nil"/>
                    <w:tr2bl w:val="nil"/>
                  </w:tcBorders>
                  <w:vAlign w:val="center"/>
                </w:tcPr>
                <w:p w14:paraId="3F78F8C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w:t>
                  </w:r>
                </w:p>
              </w:tc>
              <w:tc>
                <w:tcPr>
                  <w:tcW w:w="1399" w:type="dxa"/>
                  <w:tcBorders>
                    <w:tl2br w:val="nil"/>
                    <w:tr2bl w:val="nil"/>
                  </w:tcBorders>
                  <w:vAlign w:val="center"/>
                </w:tcPr>
                <w:p w14:paraId="4AC72803">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w:t>
                  </w:r>
                </w:p>
              </w:tc>
              <w:tc>
                <w:tcPr>
                  <w:tcW w:w="1623" w:type="dxa"/>
                  <w:tcBorders>
                    <w:tl2br w:val="nil"/>
                    <w:tr2bl w:val="nil"/>
                  </w:tcBorders>
                  <w:vAlign w:val="center"/>
                </w:tcPr>
                <w:p w14:paraId="39DCE3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r>
            <w:tr w14:paraId="19FC05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7FE8B4C2">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4B0D0895">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铊、镉、铅、砷及其化合物</w:t>
                  </w:r>
                </w:p>
              </w:tc>
              <w:tc>
                <w:tcPr>
                  <w:tcW w:w="1087" w:type="dxa"/>
                  <w:tcBorders>
                    <w:tl2br w:val="nil"/>
                    <w:tr2bl w:val="nil"/>
                  </w:tcBorders>
                  <w:vAlign w:val="center"/>
                </w:tcPr>
                <w:p w14:paraId="196463C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2025/3/25</w:t>
                  </w:r>
                </w:p>
              </w:tc>
              <w:tc>
                <w:tcPr>
                  <w:tcW w:w="1482" w:type="dxa"/>
                  <w:tcBorders>
                    <w:tl2br w:val="nil"/>
                    <w:tr2bl w:val="nil"/>
                  </w:tcBorders>
                  <w:vAlign w:val="center"/>
                </w:tcPr>
                <w:p w14:paraId="71E5E093">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0.00295</w:t>
                  </w:r>
                </w:p>
              </w:tc>
              <w:tc>
                <w:tcPr>
                  <w:tcW w:w="1399" w:type="dxa"/>
                  <w:tcBorders>
                    <w:tl2br w:val="nil"/>
                    <w:tr2bl w:val="nil"/>
                  </w:tcBorders>
                  <w:vAlign w:val="center"/>
                </w:tcPr>
                <w:p w14:paraId="4DD39F74">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0.00282</w:t>
                  </w:r>
                </w:p>
              </w:tc>
              <w:tc>
                <w:tcPr>
                  <w:tcW w:w="1623" w:type="dxa"/>
                  <w:tcBorders>
                    <w:tl2br w:val="nil"/>
                    <w:tr2bl w:val="nil"/>
                  </w:tcBorders>
                  <w:vAlign w:val="center"/>
                </w:tcPr>
                <w:p w14:paraId="0799A7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55C887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445EFE1F">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59FF602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铍、铬、锡、锑、铜、钴、锰、镍、钒及其化合物</w:t>
                  </w:r>
                </w:p>
              </w:tc>
              <w:tc>
                <w:tcPr>
                  <w:tcW w:w="1087" w:type="dxa"/>
                  <w:tcBorders>
                    <w:tl2br w:val="nil"/>
                    <w:tr2bl w:val="nil"/>
                  </w:tcBorders>
                  <w:vAlign w:val="center"/>
                </w:tcPr>
                <w:p w14:paraId="631A4549">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2025/3/25</w:t>
                  </w:r>
                </w:p>
              </w:tc>
              <w:tc>
                <w:tcPr>
                  <w:tcW w:w="1482" w:type="dxa"/>
                  <w:tcBorders>
                    <w:tl2br w:val="nil"/>
                    <w:tr2bl w:val="nil"/>
                  </w:tcBorders>
                  <w:vAlign w:val="center"/>
                </w:tcPr>
                <w:p w14:paraId="2BD63279">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0.0313</w:t>
                  </w:r>
                </w:p>
              </w:tc>
              <w:tc>
                <w:tcPr>
                  <w:tcW w:w="1399" w:type="dxa"/>
                  <w:tcBorders>
                    <w:tl2br w:val="nil"/>
                    <w:tr2bl w:val="nil"/>
                  </w:tcBorders>
                  <w:vAlign w:val="center"/>
                </w:tcPr>
                <w:p w14:paraId="7D5059F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0.0299</w:t>
                  </w:r>
                </w:p>
              </w:tc>
              <w:tc>
                <w:tcPr>
                  <w:tcW w:w="1623" w:type="dxa"/>
                  <w:tcBorders>
                    <w:tl2br w:val="nil"/>
                    <w:tr2bl w:val="nil"/>
                  </w:tcBorders>
                  <w:vAlign w:val="center"/>
                </w:tcPr>
                <w:p w14:paraId="12E891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r>
            <w:tr w14:paraId="283CA2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tcBorders>
                    <w:tl2br w:val="nil"/>
                    <w:tr2bl w:val="nil"/>
                  </w:tcBorders>
                  <w:vAlign w:val="center"/>
                </w:tcPr>
                <w:p w14:paraId="05868B6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12.30皮带机头收尘器</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DA063</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2E06B01C">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77F65B03">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2025/4/25</w:t>
                  </w:r>
                </w:p>
              </w:tc>
              <w:tc>
                <w:tcPr>
                  <w:tcW w:w="1482" w:type="dxa"/>
                  <w:tcBorders>
                    <w:tl2br w:val="nil"/>
                    <w:tr2bl w:val="nil"/>
                  </w:tcBorders>
                  <w:vAlign w:val="center"/>
                </w:tcPr>
                <w:p w14:paraId="2E5BEDB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1.4</w:t>
                  </w:r>
                </w:p>
              </w:tc>
              <w:tc>
                <w:tcPr>
                  <w:tcW w:w="1399" w:type="dxa"/>
                  <w:tcBorders>
                    <w:tl2br w:val="nil"/>
                    <w:tr2bl w:val="nil"/>
                  </w:tcBorders>
                  <w:vAlign w:val="center"/>
                </w:tcPr>
                <w:p w14:paraId="5C32298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1.4</w:t>
                  </w:r>
                </w:p>
              </w:tc>
              <w:tc>
                <w:tcPr>
                  <w:tcW w:w="1623" w:type="dxa"/>
                  <w:tcBorders>
                    <w:tl2br w:val="nil"/>
                    <w:tr2bl w:val="nil"/>
                  </w:tcBorders>
                  <w:vAlign w:val="center"/>
                </w:tcPr>
                <w:p w14:paraId="7D59DE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08365E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tcBorders>
                    <w:tl2br w:val="nil"/>
                    <w:tr2bl w:val="nil"/>
                  </w:tcBorders>
                  <w:vAlign w:val="center"/>
                </w:tcPr>
                <w:p w14:paraId="2B00BCC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12.32皮带机头收尘器</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DA064</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303EF33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62AA158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2025/4/25</w:t>
                  </w:r>
                </w:p>
              </w:tc>
              <w:tc>
                <w:tcPr>
                  <w:tcW w:w="1482" w:type="dxa"/>
                  <w:tcBorders>
                    <w:tl2br w:val="nil"/>
                    <w:tr2bl w:val="nil"/>
                  </w:tcBorders>
                  <w:vAlign w:val="center"/>
                </w:tcPr>
                <w:p w14:paraId="1716E25E">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1.5</w:t>
                  </w:r>
                </w:p>
              </w:tc>
              <w:tc>
                <w:tcPr>
                  <w:tcW w:w="1399" w:type="dxa"/>
                  <w:tcBorders>
                    <w:tl2br w:val="nil"/>
                    <w:tr2bl w:val="nil"/>
                  </w:tcBorders>
                  <w:vAlign w:val="center"/>
                </w:tcPr>
                <w:p w14:paraId="6645A3DE">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1.5</w:t>
                  </w:r>
                </w:p>
              </w:tc>
              <w:tc>
                <w:tcPr>
                  <w:tcW w:w="1623" w:type="dxa"/>
                  <w:tcBorders>
                    <w:tl2br w:val="nil"/>
                    <w:tr2bl w:val="nil"/>
                  </w:tcBorders>
                  <w:vAlign w:val="center"/>
                </w:tcPr>
                <w:p w14:paraId="0BE9F5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512AB8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tcBorders>
                    <w:tl2br w:val="nil"/>
                    <w:tr2bl w:val="nil"/>
                  </w:tcBorders>
                  <w:vAlign w:val="center"/>
                </w:tcPr>
                <w:p w14:paraId="1E6EE153">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12.31皮带机头收尘器</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DA065</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476AFC5E">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0F86D3A4">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2025/4/25</w:t>
                  </w:r>
                </w:p>
              </w:tc>
              <w:tc>
                <w:tcPr>
                  <w:tcW w:w="1482" w:type="dxa"/>
                  <w:tcBorders>
                    <w:tl2br w:val="nil"/>
                    <w:tr2bl w:val="nil"/>
                  </w:tcBorders>
                  <w:vAlign w:val="center"/>
                </w:tcPr>
                <w:p w14:paraId="5C70D127">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3.4</w:t>
                  </w:r>
                </w:p>
              </w:tc>
              <w:tc>
                <w:tcPr>
                  <w:tcW w:w="1399" w:type="dxa"/>
                  <w:tcBorders>
                    <w:tl2br w:val="nil"/>
                    <w:tr2bl w:val="nil"/>
                  </w:tcBorders>
                  <w:vAlign w:val="center"/>
                </w:tcPr>
                <w:p w14:paraId="7F5ECE24">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3.4</w:t>
                  </w:r>
                </w:p>
              </w:tc>
              <w:tc>
                <w:tcPr>
                  <w:tcW w:w="1623" w:type="dxa"/>
                  <w:tcBorders>
                    <w:tl2br w:val="nil"/>
                    <w:tr2bl w:val="nil"/>
                  </w:tcBorders>
                  <w:vAlign w:val="center"/>
                </w:tcPr>
                <w:p w14:paraId="6318DE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70B37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tcBorders>
                    <w:tl2br w:val="nil"/>
                    <w:tr2bl w:val="nil"/>
                  </w:tcBorders>
                  <w:vAlign w:val="center"/>
                </w:tcPr>
                <w:p w14:paraId="7C725D81">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12.33皮带机头收尘器</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DA066</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1C72B82E">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6EE564E5">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2025/4/25</w:t>
                  </w:r>
                </w:p>
              </w:tc>
              <w:tc>
                <w:tcPr>
                  <w:tcW w:w="1482" w:type="dxa"/>
                  <w:tcBorders>
                    <w:tl2br w:val="nil"/>
                    <w:tr2bl w:val="nil"/>
                  </w:tcBorders>
                  <w:vAlign w:val="center"/>
                </w:tcPr>
                <w:p w14:paraId="19FDAD3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1.3</w:t>
                  </w:r>
                </w:p>
              </w:tc>
              <w:tc>
                <w:tcPr>
                  <w:tcW w:w="1399" w:type="dxa"/>
                  <w:tcBorders>
                    <w:tl2br w:val="nil"/>
                    <w:tr2bl w:val="nil"/>
                  </w:tcBorders>
                  <w:vAlign w:val="center"/>
                </w:tcPr>
                <w:p w14:paraId="63B0FA45">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1.3</w:t>
                  </w:r>
                </w:p>
              </w:tc>
              <w:tc>
                <w:tcPr>
                  <w:tcW w:w="1623" w:type="dxa"/>
                  <w:tcBorders>
                    <w:tl2br w:val="nil"/>
                    <w:tr2bl w:val="nil"/>
                  </w:tcBorders>
                  <w:vAlign w:val="center"/>
                </w:tcPr>
                <w:p w14:paraId="68166C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0EF33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restart"/>
                  <w:tcBorders>
                    <w:tl2br w:val="nil"/>
                    <w:tr2bl w:val="nil"/>
                  </w:tcBorders>
                  <w:vAlign w:val="center"/>
                </w:tcPr>
                <w:p w14:paraId="05C2EDE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窑尾收尘器</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DA075</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20EC6BE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汞及其化合物</w:t>
                  </w:r>
                </w:p>
              </w:tc>
              <w:tc>
                <w:tcPr>
                  <w:tcW w:w="1087" w:type="dxa"/>
                  <w:tcBorders>
                    <w:tl2br w:val="nil"/>
                    <w:tr2bl w:val="nil"/>
                  </w:tcBorders>
                  <w:vAlign w:val="center"/>
                </w:tcPr>
                <w:p w14:paraId="2580AC1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2025/3/5</w:t>
                  </w:r>
                </w:p>
              </w:tc>
              <w:tc>
                <w:tcPr>
                  <w:tcW w:w="1482" w:type="dxa"/>
                  <w:tcBorders>
                    <w:tl2br w:val="nil"/>
                    <w:tr2bl w:val="nil"/>
                  </w:tcBorders>
                  <w:vAlign w:val="center"/>
                </w:tcPr>
                <w:p w14:paraId="29B2BB3F">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w:t>
                  </w:r>
                </w:p>
              </w:tc>
              <w:tc>
                <w:tcPr>
                  <w:tcW w:w="1399" w:type="dxa"/>
                  <w:tcBorders>
                    <w:tl2br w:val="nil"/>
                    <w:tr2bl w:val="nil"/>
                  </w:tcBorders>
                  <w:vAlign w:val="center"/>
                </w:tcPr>
                <w:p w14:paraId="78B43AA5">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w:t>
                  </w:r>
                </w:p>
              </w:tc>
              <w:tc>
                <w:tcPr>
                  <w:tcW w:w="1623" w:type="dxa"/>
                  <w:tcBorders>
                    <w:tl2br w:val="nil"/>
                    <w:tr2bl w:val="nil"/>
                  </w:tcBorders>
                  <w:vAlign w:val="center"/>
                </w:tcPr>
                <w:p w14:paraId="7EBD37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r>
            <w:tr w14:paraId="72BAED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613782E6">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45426ED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氟化氢</w:t>
                  </w:r>
                </w:p>
              </w:tc>
              <w:tc>
                <w:tcPr>
                  <w:tcW w:w="1087" w:type="dxa"/>
                  <w:tcBorders>
                    <w:tl2br w:val="nil"/>
                    <w:tr2bl w:val="nil"/>
                  </w:tcBorders>
                  <w:vAlign w:val="center"/>
                </w:tcPr>
                <w:p w14:paraId="55306A37">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2025/3/6</w:t>
                  </w:r>
                </w:p>
              </w:tc>
              <w:tc>
                <w:tcPr>
                  <w:tcW w:w="1482" w:type="dxa"/>
                  <w:tcBorders>
                    <w:tl2br w:val="nil"/>
                    <w:tr2bl w:val="nil"/>
                  </w:tcBorders>
                  <w:vAlign w:val="center"/>
                </w:tcPr>
                <w:p w14:paraId="77C2485F">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w:t>
                  </w:r>
                </w:p>
              </w:tc>
              <w:tc>
                <w:tcPr>
                  <w:tcW w:w="1399" w:type="dxa"/>
                  <w:tcBorders>
                    <w:tl2br w:val="nil"/>
                    <w:tr2bl w:val="nil"/>
                  </w:tcBorders>
                  <w:vAlign w:val="center"/>
                </w:tcPr>
                <w:p w14:paraId="2DC3588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w:t>
                  </w:r>
                </w:p>
              </w:tc>
              <w:tc>
                <w:tcPr>
                  <w:tcW w:w="1623" w:type="dxa"/>
                  <w:tcBorders>
                    <w:tl2br w:val="nil"/>
                    <w:tr2bl w:val="nil"/>
                  </w:tcBorders>
                  <w:vAlign w:val="center"/>
                </w:tcPr>
                <w:p w14:paraId="561468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7657C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7B3A0F29">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4D71F3B5">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氨（氨气）</w:t>
                  </w:r>
                </w:p>
              </w:tc>
              <w:tc>
                <w:tcPr>
                  <w:tcW w:w="1087" w:type="dxa"/>
                  <w:tcBorders>
                    <w:tl2br w:val="nil"/>
                    <w:tr2bl w:val="nil"/>
                  </w:tcBorders>
                  <w:vAlign w:val="center"/>
                </w:tcPr>
                <w:p w14:paraId="4993699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2025/3/6</w:t>
                  </w:r>
                </w:p>
              </w:tc>
              <w:tc>
                <w:tcPr>
                  <w:tcW w:w="1482" w:type="dxa"/>
                  <w:tcBorders>
                    <w:tl2br w:val="nil"/>
                    <w:tr2bl w:val="nil"/>
                  </w:tcBorders>
                  <w:vAlign w:val="center"/>
                </w:tcPr>
                <w:p w14:paraId="5503CAF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0.53</w:t>
                  </w:r>
                </w:p>
              </w:tc>
              <w:tc>
                <w:tcPr>
                  <w:tcW w:w="1399" w:type="dxa"/>
                  <w:tcBorders>
                    <w:tl2br w:val="nil"/>
                    <w:tr2bl w:val="nil"/>
                  </w:tcBorders>
                  <w:vAlign w:val="center"/>
                </w:tcPr>
                <w:p w14:paraId="5DEDD0F6">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0.46</w:t>
                  </w:r>
                </w:p>
              </w:tc>
              <w:tc>
                <w:tcPr>
                  <w:tcW w:w="1623" w:type="dxa"/>
                  <w:tcBorders>
                    <w:tl2br w:val="nil"/>
                    <w:tr2bl w:val="nil"/>
                  </w:tcBorders>
                  <w:vAlign w:val="center"/>
                </w:tcPr>
                <w:p w14:paraId="056FA8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r>
            <w:tr w14:paraId="2C55F7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7A6E2741">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1F991DB2">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氯化氢</w:t>
                  </w:r>
                </w:p>
              </w:tc>
              <w:tc>
                <w:tcPr>
                  <w:tcW w:w="1087" w:type="dxa"/>
                  <w:tcBorders>
                    <w:tl2br w:val="nil"/>
                    <w:tr2bl w:val="nil"/>
                  </w:tcBorders>
                  <w:vAlign w:val="center"/>
                </w:tcPr>
                <w:p w14:paraId="25FF6C5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2025/3/6</w:t>
                  </w:r>
                </w:p>
              </w:tc>
              <w:tc>
                <w:tcPr>
                  <w:tcW w:w="1482" w:type="dxa"/>
                  <w:tcBorders>
                    <w:tl2br w:val="nil"/>
                    <w:tr2bl w:val="nil"/>
                  </w:tcBorders>
                  <w:vAlign w:val="center"/>
                </w:tcPr>
                <w:p w14:paraId="32D43551">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1.8</w:t>
                  </w:r>
                </w:p>
              </w:tc>
              <w:tc>
                <w:tcPr>
                  <w:tcW w:w="1399" w:type="dxa"/>
                  <w:tcBorders>
                    <w:tl2br w:val="nil"/>
                    <w:tr2bl w:val="nil"/>
                  </w:tcBorders>
                  <w:vAlign w:val="center"/>
                </w:tcPr>
                <w:p w14:paraId="3B14E6FF">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1.6</w:t>
                  </w:r>
                </w:p>
              </w:tc>
              <w:tc>
                <w:tcPr>
                  <w:tcW w:w="1623" w:type="dxa"/>
                  <w:tcBorders>
                    <w:tl2br w:val="nil"/>
                    <w:tr2bl w:val="nil"/>
                  </w:tcBorders>
                  <w:vAlign w:val="center"/>
                </w:tcPr>
                <w:p w14:paraId="3EBFBA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0D258F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6255C438">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77D523B6">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铍、铬、锡、锑、铜、钴、锰、镍、钒及其化合物</w:t>
                  </w:r>
                </w:p>
              </w:tc>
              <w:tc>
                <w:tcPr>
                  <w:tcW w:w="1087" w:type="dxa"/>
                  <w:tcBorders>
                    <w:tl2br w:val="nil"/>
                    <w:tr2bl w:val="nil"/>
                  </w:tcBorders>
                  <w:vAlign w:val="center"/>
                </w:tcPr>
                <w:p w14:paraId="0AC58B16">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2025/3/25</w:t>
                  </w:r>
                </w:p>
              </w:tc>
              <w:tc>
                <w:tcPr>
                  <w:tcW w:w="1482" w:type="dxa"/>
                  <w:tcBorders>
                    <w:tl2br w:val="nil"/>
                    <w:tr2bl w:val="nil"/>
                  </w:tcBorders>
                  <w:vAlign w:val="center"/>
                </w:tcPr>
                <w:p w14:paraId="0C02ADE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0.0316</w:t>
                  </w:r>
                </w:p>
              </w:tc>
              <w:tc>
                <w:tcPr>
                  <w:tcW w:w="1399" w:type="dxa"/>
                  <w:tcBorders>
                    <w:tl2br w:val="nil"/>
                    <w:tr2bl w:val="nil"/>
                  </w:tcBorders>
                  <w:vAlign w:val="center"/>
                </w:tcPr>
                <w:p w14:paraId="27486DB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0.0276</w:t>
                  </w:r>
                </w:p>
              </w:tc>
              <w:tc>
                <w:tcPr>
                  <w:tcW w:w="1623" w:type="dxa"/>
                  <w:tcBorders>
                    <w:tl2br w:val="nil"/>
                    <w:tr2bl w:val="nil"/>
                  </w:tcBorders>
                  <w:vAlign w:val="center"/>
                </w:tcPr>
                <w:p w14:paraId="6B9C7D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r>
            <w:tr w14:paraId="23C504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tcBorders>
                    <w:tl2br w:val="nil"/>
                    <w:tr2bl w:val="nil"/>
                  </w:tcBorders>
                  <w:vAlign w:val="center"/>
                </w:tcPr>
                <w:p w14:paraId="712F3D3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破碎机板喂机上料口收尘器</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DA078</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309C270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35ADA1C1">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2025/3/10</w:t>
                  </w:r>
                </w:p>
              </w:tc>
              <w:tc>
                <w:tcPr>
                  <w:tcW w:w="1482" w:type="dxa"/>
                  <w:tcBorders>
                    <w:tl2br w:val="nil"/>
                    <w:tr2bl w:val="nil"/>
                  </w:tcBorders>
                  <w:vAlign w:val="center"/>
                </w:tcPr>
                <w:p w14:paraId="641D82E3">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3.9</w:t>
                  </w:r>
                </w:p>
              </w:tc>
              <w:tc>
                <w:tcPr>
                  <w:tcW w:w="1399" w:type="dxa"/>
                  <w:tcBorders>
                    <w:tl2br w:val="nil"/>
                    <w:tr2bl w:val="nil"/>
                  </w:tcBorders>
                  <w:vAlign w:val="center"/>
                </w:tcPr>
                <w:p w14:paraId="17A5A939">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3.9</w:t>
                  </w:r>
                </w:p>
              </w:tc>
              <w:tc>
                <w:tcPr>
                  <w:tcW w:w="1623" w:type="dxa"/>
                  <w:tcBorders>
                    <w:tl2br w:val="nil"/>
                    <w:tr2bl w:val="nil"/>
                  </w:tcBorders>
                  <w:vAlign w:val="center"/>
                </w:tcPr>
                <w:p w14:paraId="593D1B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62B7E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tcBorders>
                    <w:tl2br w:val="nil"/>
                    <w:tr2bl w:val="nil"/>
                  </w:tcBorders>
                  <w:vAlign w:val="center"/>
                </w:tcPr>
                <w:p w14:paraId="5A555A77">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方堆4#5#板喂机收尘器</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DA085</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5E97182C">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1B922153">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2025/3/27</w:t>
                  </w:r>
                </w:p>
              </w:tc>
              <w:tc>
                <w:tcPr>
                  <w:tcW w:w="1482" w:type="dxa"/>
                  <w:tcBorders>
                    <w:tl2br w:val="nil"/>
                    <w:tr2bl w:val="nil"/>
                  </w:tcBorders>
                  <w:vAlign w:val="center"/>
                </w:tcPr>
                <w:p w14:paraId="29BBB4F1">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2.9</w:t>
                  </w:r>
                </w:p>
              </w:tc>
              <w:tc>
                <w:tcPr>
                  <w:tcW w:w="1399" w:type="dxa"/>
                  <w:tcBorders>
                    <w:tl2br w:val="nil"/>
                    <w:tr2bl w:val="nil"/>
                  </w:tcBorders>
                  <w:vAlign w:val="center"/>
                </w:tcPr>
                <w:p w14:paraId="5A558869">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2.9</w:t>
                  </w:r>
                </w:p>
              </w:tc>
              <w:tc>
                <w:tcPr>
                  <w:tcW w:w="1623" w:type="dxa"/>
                  <w:tcBorders>
                    <w:tl2br w:val="nil"/>
                    <w:tr2bl w:val="nil"/>
                  </w:tcBorders>
                  <w:vAlign w:val="center"/>
                </w:tcPr>
                <w:p w14:paraId="797AEB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3C0A16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restart"/>
                  <w:tcBorders>
                    <w:tl2br w:val="nil"/>
                    <w:tr2bl w:val="nil"/>
                  </w:tcBorders>
                  <w:vAlign w:val="center"/>
                </w:tcPr>
                <w:p w14:paraId="3B6B54EF">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贮存库a活性炭吸附箱</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DA086</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38BAFD76">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臭气浓度</w:t>
                  </w:r>
                </w:p>
              </w:tc>
              <w:tc>
                <w:tcPr>
                  <w:tcW w:w="1087" w:type="dxa"/>
                  <w:tcBorders>
                    <w:tl2br w:val="nil"/>
                    <w:tr2bl w:val="nil"/>
                  </w:tcBorders>
                  <w:vAlign w:val="center"/>
                </w:tcPr>
                <w:p w14:paraId="48DBB8D7">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2025/4/2</w:t>
                  </w:r>
                </w:p>
              </w:tc>
              <w:tc>
                <w:tcPr>
                  <w:tcW w:w="1482" w:type="dxa"/>
                  <w:tcBorders>
                    <w:tl2br w:val="nil"/>
                    <w:tr2bl w:val="nil"/>
                  </w:tcBorders>
                  <w:vAlign w:val="center"/>
                </w:tcPr>
                <w:p w14:paraId="41E7847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14</w:t>
                  </w:r>
                </w:p>
              </w:tc>
              <w:tc>
                <w:tcPr>
                  <w:tcW w:w="1399" w:type="dxa"/>
                  <w:tcBorders>
                    <w:tl2br w:val="nil"/>
                    <w:tr2bl w:val="nil"/>
                  </w:tcBorders>
                  <w:vAlign w:val="center"/>
                </w:tcPr>
                <w:p w14:paraId="72E24D67">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14</w:t>
                  </w:r>
                </w:p>
              </w:tc>
              <w:tc>
                <w:tcPr>
                  <w:tcW w:w="1623" w:type="dxa"/>
                  <w:tcBorders>
                    <w:tl2br w:val="nil"/>
                    <w:tr2bl w:val="nil"/>
                  </w:tcBorders>
                  <w:vAlign w:val="center"/>
                </w:tcPr>
                <w:p w14:paraId="791B76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r>
            <w:tr w14:paraId="352105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07957C80">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649278C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337D426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2025/4/2</w:t>
                  </w:r>
                </w:p>
              </w:tc>
              <w:tc>
                <w:tcPr>
                  <w:tcW w:w="1482" w:type="dxa"/>
                  <w:tcBorders>
                    <w:tl2br w:val="nil"/>
                    <w:tr2bl w:val="nil"/>
                  </w:tcBorders>
                  <w:vAlign w:val="center"/>
                </w:tcPr>
                <w:p w14:paraId="46B9FA87">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1.6</w:t>
                  </w:r>
                </w:p>
              </w:tc>
              <w:tc>
                <w:tcPr>
                  <w:tcW w:w="1399" w:type="dxa"/>
                  <w:tcBorders>
                    <w:tl2br w:val="nil"/>
                    <w:tr2bl w:val="nil"/>
                  </w:tcBorders>
                  <w:vAlign w:val="center"/>
                </w:tcPr>
                <w:p w14:paraId="6DBCEA9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1.6</w:t>
                  </w:r>
                </w:p>
              </w:tc>
              <w:tc>
                <w:tcPr>
                  <w:tcW w:w="1623" w:type="dxa"/>
                  <w:tcBorders>
                    <w:tl2br w:val="nil"/>
                    <w:tr2bl w:val="nil"/>
                  </w:tcBorders>
                  <w:vAlign w:val="center"/>
                </w:tcPr>
                <w:p w14:paraId="77153C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1C7EF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1A9D0945">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36D69EA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氨（氨气）</w:t>
                  </w:r>
                </w:p>
              </w:tc>
              <w:tc>
                <w:tcPr>
                  <w:tcW w:w="1087" w:type="dxa"/>
                  <w:tcBorders>
                    <w:tl2br w:val="nil"/>
                    <w:tr2bl w:val="nil"/>
                  </w:tcBorders>
                  <w:vAlign w:val="center"/>
                </w:tcPr>
                <w:p w14:paraId="52FBCFE6">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2025/4/2</w:t>
                  </w:r>
                </w:p>
              </w:tc>
              <w:tc>
                <w:tcPr>
                  <w:tcW w:w="1482" w:type="dxa"/>
                  <w:tcBorders>
                    <w:tl2br w:val="nil"/>
                    <w:tr2bl w:val="nil"/>
                  </w:tcBorders>
                  <w:vAlign w:val="center"/>
                </w:tcPr>
                <w:p w14:paraId="245978E3">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0.63</w:t>
                  </w:r>
                </w:p>
              </w:tc>
              <w:tc>
                <w:tcPr>
                  <w:tcW w:w="1399" w:type="dxa"/>
                  <w:tcBorders>
                    <w:tl2br w:val="nil"/>
                    <w:tr2bl w:val="nil"/>
                  </w:tcBorders>
                  <w:vAlign w:val="center"/>
                </w:tcPr>
                <w:p w14:paraId="29F1100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0.63</w:t>
                  </w:r>
                </w:p>
              </w:tc>
              <w:tc>
                <w:tcPr>
                  <w:tcW w:w="1623" w:type="dxa"/>
                  <w:tcBorders>
                    <w:tl2br w:val="nil"/>
                    <w:tr2bl w:val="nil"/>
                  </w:tcBorders>
                  <w:vAlign w:val="center"/>
                </w:tcPr>
                <w:p w14:paraId="24AB1E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r>
            <w:tr w14:paraId="350033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29DDEE9B">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6EE0CE11">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硫化氢</w:t>
                  </w:r>
                </w:p>
              </w:tc>
              <w:tc>
                <w:tcPr>
                  <w:tcW w:w="1087" w:type="dxa"/>
                  <w:tcBorders>
                    <w:tl2br w:val="nil"/>
                    <w:tr2bl w:val="nil"/>
                  </w:tcBorders>
                  <w:vAlign w:val="center"/>
                </w:tcPr>
                <w:p w14:paraId="6BB26B64">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2025/4/2</w:t>
                  </w:r>
                </w:p>
              </w:tc>
              <w:tc>
                <w:tcPr>
                  <w:tcW w:w="1482" w:type="dxa"/>
                  <w:tcBorders>
                    <w:tl2br w:val="nil"/>
                    <w:tr2bl w:val="nil"/>
                  </w:tcBorders>
                  <w:vAlign w:val="center"/>
                </w:tcPr>
                <w:p w14:paraId="4C8F67B5">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0.032</w:t>
                  </w:r>
                </w:p>
              </w:tc>
              <w:tc>
                <w:tcPr>
                  <w:tcW w:w="1399" w:type="dxa"/>
                  <w:tcBorders>
                    <w:tl2br w:val="nil"/>
                    <w:tr2bl w:val="nil"/>
                  </w:tcBorders>
                  <w:vAlign w:val="center"/>
                </w:tcPr>
                <w:p w14:paraId="5EE3606E">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0.032</w:t>
                  </w:r>
                </w:p>
              </w:tc>
              <w:tc>
                <w:tcPr>
                  <w:tcW w:w="1623" w:type="dxa"/>
                  <w:tcBorders>
                    <w:tl2br w:val="nil"/>
                    <w:tr2bl w:val="nil"/>
                  </w:tcBorders>
                  <w:vAlign w:val="center"/>
                </w:tcPr>
                <w:p w14:paraId="57DE5C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w:t>
                  </w:r>
                </w:p>
              </w:tc>
            </w:tr>
            <w:tr w14:paraId="5C4658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28732C0F">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23FE808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非甲烷总烃</w:t>
                  </w:r>
                </w:p>
              </w:tc>
              <w:tc>
                <w:tcPr>
                  <w:tcW w:w="1087" w:type="dxa"/>
                  <w:tcBorders>
                    <w:tl2br w:val="nil"/>
                    <w:tr2bl w:val="nil"/>
                  </w:tcBorders>
                  <w:vAlign w:val="center"/>
                </w:tcPr>
                <w:p w14:paraId="185D04B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2025/4/2</w:t>
                  </w:r>
                </w:p>
              </w:tc>
              <w:tc>
                <w:tcPr>
                  <w:tcW w:w="1482" w:type="dxa"/>
                  <w:tcBorders>
                    <w:tl2br w:val="nil"/>
                    <w:tr2bl w:val="nil"/>
                  </w:tcBorders>
                  <w:vAlign w:val="center"/>
                </w:tcPr>
                <w:p w14:paraId="5E4A3EC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1.06</w:t>
                  </w:r>
                </w:p>
              </w:tc>
              <w:tc>
                <w:tcPr>
                  <w:tcW w:w="1399" w:type="dxa"/>
                  <w:tcBorders>
                    <w:tl2br w:val="nil"/>
                    <w:tr2bl w:val="nil"/>
                  </w:tcBorders>
                  <w:vAlign w:val="center"/>
                </w:tcPr>
                <w:p w14:paraId="095C41B7">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1.06</w:t>
                  </w:r>
                </w:p>
              </w:tc>
              <w:tc>
                <w:tcPr>
                  <w:tcW w:w="1623" w:type="dxa"/>
                  <w:tcBorders>
                    <w:tl2br w:val="nil"/>
                    <w:tr2bl w:val="nil"/>
                  </w:tcBorders>
                  <w:vAlign w:val="center"/>
                </w:tcPr>
                <w:p w14:paraId="6067BD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24B96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restart"/>
                  <w:tcBorders>
                    <w:tl2br w:val="nil"/>
                    <w:tr2bl w:val="nil"/>
                  </w:tcBorders>
                  <w:vAlign w:val="center"/>
                </w:tcPr>
                <w:p w14:paraId="5F4E415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预处置楼活性炭吸附箱</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DA087</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218142E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非甲烷总烃</w:t>
                  </w:r>
                </w:p>
              </w:tc>
              <w:tc>
                <w:tcPr>
                  <w:tcW w:w="1087" w:type="dxa"/>
                  <w:tcBorders>
                    <w:tl2br w:val="nil"/>
                    <w:tr2bl w:val="nil"/>
                  </w:tcBorders>
                  <w:vAlign w:val="center"/>
                </w:tcPr>
                <w:p w14:paraId="65A755EF">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2025/4/3</w:t>
                  </w:r>
                </w:p>
              </w:tc>
              <w:tc>
                <w:tcPr>
                  <w:tcW w:w="1482" w:type="dxa"/>
                  <w:tcBorders>
                    <w:tl2br w:val="nil"/>
                    <w:tr2bl w:val="nil"/>
                  </w:tcBorders>
                  <w:vAlign w:val="center"/>
                </w:tcPr>
                <w:p w14:paraId="6E3DB4AF">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2.03</w:t>
                  </w:r>
                </w:p>
              </w:tc>
              <w:tc>
                <w:tcPr>
                  <w:tcW w:w="1399" w:type="dxa"/>
                  <w:tcBorders>
                    <w:tl2br w:val="nil"/>
                    <w:tr2bl w:val="nil"/>
                  </w:tcBorders>
                  <w:vAlign w:val="center"/>
                </w:tcPr>
                <w:p w14:paraId="2593733E">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2.03</w:t>
                  </w:r>
                </w:p>
              </w:tc>
              <w:tc>
                <w:tcPr>
                  <w:tcW w:w="1623" w:type="dxa"/>
                  <w:tcBorders>
                    <w:tl2br w:val="nil"/>
                    <w:tr2bl w:val="nil"/>
                  </w:tcBorders>
                  <w:vAlign w:val="center"/>
                </w:tcPr>
                <w:p w14:paraId="28E4C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26454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6E44C4D6">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09F6FDD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252B98F1">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2025/4/3</w:t>
                  </w:r>
                </w:p>
              </w:tc>
              <w:tc>
                <w:tcPr>
                  <w:tcW w:w="1482" w:type="dxa"/>
                  <w:tcBorders>
                    <w:tl2br w:val="nil"/>
                    <w:tr2bl w:val="nil"/>
                  </w:tcBorders>
                  <w:vAlign w:val="center"/>
                </w:tcPr>
                <w:p w14:paraId="7E6E116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w:t>
                  </w:r>
                </w:p>
              </w:tc>
              <w:tc>
                <w:tcPr>
                  <w:tcW w:w="1399" w:type="dxa"/>
                  <w:tcBorders>
                    <w:tl2br w:val="nil"/>
                    <w:tr2bl w:val="nil"/>
                  </w:tcBorders>
                  <w:vAlign w:val="center"/>
                </w:tcPr>
                <w:p w14:paraId="63DB6BB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w:t>
                  </w:r>
                </w:p>
              </w:tc>
              <w:tc>
                <w:tcPr>
                  <w:tcW w:w="1623" w:type="dxa"/>
                  <w:tcBorders>
                    <w:tl2br w:val="nil"/>
                    <w:tr2bl w:val="nil"/>
                  </w:tcBorders>
                  <w:vAlign w:val="center"/>
                </w:tcPr>
                <w:p w14:paraId="7EB290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5DABF2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339296EF">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53106B53">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硫化氢</w:t>
                  </w:r>
                </w:p>
              </w:tc>
              <w:tc>
                <w:tcPr>
                  <w:tcW w:w="1087" w:type="dxa"/>
                  <w:tcBorders>
                    <w:tl2br w:val="nil"/>
                    <w:tr2bl w:val="nil"/>
                  </w:tcBorders>
                  <w:vAlign w:val="center"/>
                </w:tcPr>
                <w:p w14:paraId="54F3271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2025/4/3</w:t>
                  </w:r>
                </w:p>
              </w:tc>
              <w:tc>
                <w:tcPr>
                  <w:tcW w:w="1482" w:type="dxa"/>
                  <w:tcBorders>
                    <w:tl2br w:val="nil"/>
                    <w:tr2bl w:val="nil"/>
                  </w:tcBorders>
                  <w:vAlign w:val="center"/>
                </w:tcPr>
                <w:p w14:paraId="102BBB6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0.043</w:t>
                  </w:r>
                </w:p>
              </w:tc>
              <w:tc>
                <w:tcPr>
                  <w:tcW w:w="1399" w:type="dxa"/>
                  <w:tcBorders>
                    <w:tl2br w:val="nil"/>
                    <w:tr2bl w:val="nil"/>
                  </w:tcBorders>
                  <w:vAlign w:val="center"/>
                </w:tcPr>
                <w:p w14:paraId="3A333292">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0.043</w:t>
                  </w:r>
                </w:p>
              </w:tc>
              <w:tc>
                <w:tcPr>
                  <w:tcW w:w="1623" w:type="dxa"/>
                  <w:tcBorders>
                    <w:tl2br w:val="nil"/>
                    <w:tr2bl w:val="nil"/>
                  </w:tcBorders>
                  <w:vAlign w:val="center"/>
                </w:tcPr>
                <w:p w14:paraId="465DCE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w:t>
                  </w:r>
                </w:p>
              </w:tc>
            </w:tr>
            <w:tr w14:paraId="66DB4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1CAC2A16">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227CC3B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臭气浓度</w:t>
                  </w:r>
                </w:p>
              </w:tc>
              <w:tc>
                <w:tcPr>
                  <w:tcW w:w="1087" w:type="dxa"/>
                  <w:tcBorders>
                    <w:tl2br w:val="nil"/>
                    <w:tr2bl w:val="nil"/>
                  </w:tcBorders>
                  <w:vAlign w:val="center"/>
                </w:tcPr>
                <w:p w14:paraId="456065D9">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2025/4/3</w:t>
                  </w:r>
                </w:p>
              </w:tc>
              <w:tc>
                <w:tcPr>
                  <w:tcW w:w="1482" w:type="dxa"/>
                  <w:tcBorders>
                    <w:tl2br w:val="nil"/>
                    <w:tr2bl w:val="nil"/>
                  </w:tcBorders>
                  <w:vAlign w:val="center"/>
                </w:tcPr>
                <w:p w14:paraId="036BA9D2">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35</w:t>
                  </w:r>
                </w:p>
              </w:tc>
              <w:tc>
                <w:tcPr>
                  <w:tcW w:w="1399" w:type="dxa"/>
                  <w:tcBorders>
                    <w:tl2br w:val="nil"/>
                    <w:tr2bl w:val="nil"/>
                  </w:tcBorders>
                  <w:vAlign w:val="center"/>
                </w:tcPr>
                <w:p w14:paraId="7D8B443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35</w:t>
                  </w:r>
                </w:p>
              </w:tc>
              <w:tc>
                <w:tcPr>
                  <w:tcW w:w="1623" w:type="dxa"/>
                  <w:tcBorders>
                    <w:tl2br w:val="nil"/>
                    <w:tr2bl w:val="nil"/>
                  </w:tcBorders>
                  <w:vAlign w:val="center"/>
                </w:tcPr>
                <w:p w14:paraId="21D68E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r>
            <w:tr w14:paraId="248F26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54405540">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256F053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氨（氨气）</w:t>
                  </w:r>
                </w:p>
              </w:tc>
              <w:tc>
                <w:tcPr>
                  <w:tcW w:w="1087" w:type="dxa"/>
                  <w:tcBorders>
                    <w:tl2br w:val="nil"/>
                    <w:tr2bl w:val="nil"/>
                  </w:tcBorders>
                  <w:vAlign w:val="center"/>
                </w:tcPr>
                <w:p w14:paraId="740D602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2025/4/3</w:t>
                  </w:r>
                </w:p>
              </w:tc>
              <w:tc>
                <w:tcPr>
                  <w:tcW w:w="1482" w:type="dxa"/>
                  <w:tcBorders>
                    <w:tl2br w:val="nil"/>
                    <w:tr2bl w:val="nil"/>
                  </w:tcBorders>
                  <w:vAlign w:val="center"/>
                </w:tcPr>
                <w:p w14:paraId="4BE53C24">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0.71</w:t>
                  </w:r>
                </w:p>
              </w:tc>
              <w:tc>
                <w:tcPr>
                  <w:tcW w:w="1399" w:type="dxa"/>
                  <w:tcBorders>
                    <w:tl2br w:val="nil"/>
                    <w:tr2bl w:val="nil"/>
                  </w:tcBorders>
                  <w:vAlign w:val="center"/>
                </w:tcPr>
                <w:p w14:paraId="6F6FB216">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0.71</w:t>
                  </w:r>
                </w:p>
              </w:tc>
              <w:tc>
                <w:tcPr>
                  <w:tcW w:w="1623" w:type="dxa"/>
                  <w:tcBorders>
                    <w:tl2br w:val="nil"/>
                    <w:tr2bl w:val="nil"/>
                  </w:tcBorders>
                  <w:vAlign w:val="center"/>
                </w:tcPr>
                <w:p w14:paraId="076EE4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r>
            <w:tr w14:paraId="31C59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restart"/>
                  <w:tcBorders>
                    <w:tl2br w:val="nil"/>
                    <w:tr2bl w:val="nil"/>
                  </w:tcBorders>
                  <w:vAlign w:val="center"/>
                </w:tcPr>
                <w:p w14:paraId="7297F3A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贮存库b活性炭吸附箱</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DA093</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6F3E047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硫化氢</w:t>
                  </w:r>
                </w:p>
              </w:tc>
              <w:tc>
                <w:tcPr>
                  <w:tcW w:w="1087" w:type="dxa"/>
                  <w:tcBorders>
                    <w:tl2br w:val="nil"/>
                    <w:tr2bl w:val="nil"/>
                  </w:tcBorders>
                  <w:vAlign w:val="center"/>
                </w:tcPr>
                <w:p w14:paraId="367DF69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2025/4/3</w:t>
                  </w:r>
                </w:p>
              </w:tc>
              <w:tc>
                <w:tcPr>
                  <w:tcW w:w="1482" w:type="dxa"/>
                  <w:tcBorders>
                    <w:tl2br w:val="nil"/>
                    <w:tr2bl w:val="nil"/>
                  </w:tcBorders>
                  <w:vAlign w:val="center"/>
                </w:tcPr>
                <w:p w14:paraId="087D5293">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0.034</w:t>
                  </w:r>
                </w:p>
              </w:tc>
              <w:tc>
                <w:tcPr>
                  <w:tcW w:w="1399" w:type="dxa"/>
                  <w:tcBorders>
                    <w:tl2br w:val="nil"/>
                    <w:tr2bl w:val="nil"/>
                  </w:tcBorders>
                  <w:vAlign w:val="center"/>
                </w:tcPr>
                <w:p w14:paraId="4AD87F3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0.034</w:t>
                  </w:r>
                </w:p>
              </w:tc>
              <w:tc>
                <w:tcPr>
                  <w:tcW w:w="1623" w:type="dxa"/>
                  <w:tcBorders>
                    <w:tl2br w:val="nil"/>
                    <w:tr2bl w:val="nil"/>
                  </w:tcBorders>
                  <w:vAlign w:val="center"/>
                </w:tcPr>
                <w:p w14:paraId="50E307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w:t>
                  </w:r>
                </w:p>
              </w:tc>
            </w:tr>
            <w:tr w14:paraId="0549F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2E136F4B">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3168E72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臭气浓度</w:t>
                  </w:r>
                </w:p>
              </w:tc>
              <w:tc>
                <w:tcPr>
                  <w:tcW w:w="1087" w:type="dxa"/>
                  <w:tcBorders>
                    <w:tl2br w:val="nil"/>
                    <w:tr2bl w:val="nil"/>
                  </w:tcBorders>
                  <w:vAlign w:val="center"/>
                </w:tcPr>
                <w:p w14:paraId="5E33251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2025/4/3</w:t>
                  </w:r>
                </w:p>
              </w:tc>
              <w:tc>
                <w:tcPr>
                  <w:tcW w:w="1482" w:type="dxa"/>
                  <w:tcBorders>
                    <w:tl2br w:val="nil"/>
                    <w:tr2bl w:val="nil"/>
                  </w:tcBorders>
                  <w:vAlign w:val="center"/>
                </w:tcPr>
                <w:p w14:paraId="7DD73317">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34</w:t>
                  </w:r>
                </w:p>
              </w:tc>
              <w:tc>
                <w:tcPr>
                  <w:tcW w:w="1399" w:type="dxa"/>
                  <w:tcBorders>
                    <w:tl2br w:val="nil"/>
                    <w:tr2bl w:val="nil"/>
                  </w:tcBorders>
                  <w:vAlign w:val="center"/>
                </w:tcPr>
                <w:p w14:paraId="21417FE7">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34</w:t>
                  </w:r>
                </w:p>
              </w:tc>
              <w:tc>
                <w:tcPr>
                  <w:tcW w:w="1623" w:type="dxa"/>
                  <w:tcBorders>
                    <w:tl2br w:val="nil"/>
                    <w:tr2bl w:val="nil"/>
                  </w:tcBorders>
                  <w:vAlign w:val="center"/>
                </w:tcPr>
                <w:p w14:paraId="54C190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5D64AA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595C737C">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14DACAB6">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氨（氨气）</w:t>
                  </w:r>
                </w:p>
              </w:tc>
              <w:tc>
                <w:tcPr>
                  <w:tcW w:w="1087" w:type="dxa"/>
                  <w:tcBorders>
                    <w:tl2br w:val="nil"/>
                    <w:tr2bl w:val="nil"/>
                  </w:tcBorders>
                  <w:vAlign w:val="center"/>
                </w:tcPr>
                <w:p w14:paraId="7761F717">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2025/4/3</w:t>
                  </w:r>
                </w:p>
              </w:tc>
              <w:tc>
                <w:tcPr>
                  <w:tcW w:w="1482" w:type="dxa"/>
                  <w:tcBorders>
                    <w:tl2br w:val="nil"/>
                    <w:tr2bl w:val="nil"/>
                  </w:tcBorders>
                  <w:vAlign w:val="center"/>
                </w:tcPr>
                <w:p w14:paraId="760587F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0.73</w:t>
                  </w:r>
                </w:p>
              </w:tc>
              <w:tc>
                <w:tcPr>
                  <w:tcW w:w="1399" w:type="dxa"/>
                  <w:tcBorders>
                    <w:tl2br w:val="nil"/>
                    <w:tr2bl w:val="nil"/>
                  </w:tcBorders>
                  <w:vAlign w:val="center"/>
                </w:tcPr>
                <w:p w14:paraId="7ECC443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0.73</w:t>
                  </w:r>
                </w:p>
              </w:tc>
              <w:tc>
                <w:tcPr>
                  <w:tcW w:w="1623" w:type="dxa"/>
                  <w:tcBorders>
                    <w:tl2br w:val="nil"/>
                    <w:tr2bl w:val="nil"/>
                  </w:tcBorders>
                  <w:vAlign w:val="center"/>
                </w:tcPr>
                <w:p w14:paraId="08307D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r>
            <w:tr w14:paraId="77B27F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3220EA56">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35739C87">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非甲烷总烃</w:t>
                  </w:r>
                </w:p>
              </w:tc>
              <w:tc>
                <w:tcPr>
                  <w:tcW w:w="1087" w:type="dxa"/>
                  <w:tcBorders>
                    <w:tl2br w:val="nil"/>
                    <w:tr2bl w:val="nil"/>
                  </w:tcBorders>
                  <w:vAlign w:val="center"/>
                </w:tcPr>
                <w:p w14:paraId="0F6A11F5">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2025/4/3</w:t>
                  </w:r>
                </w:p>
              </w:tc>
              <w:tc>
                <w:tcPr>
                  <w:tcW w:w="1482" w:type="dxa"/>
                  <w:tcBorders>
                    <w:tl2br w:val="nil"/>
                    <w:tr2bl w:val="nil"/>
                  </w:tcBorders>
                  <w:vAlign w:val="center"/>
                </w:tcPr>
                <w:p w14:paraId="08E9B0F5">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1.39</w:t>
                  </w:r>
                </w:p>
              </w:tc>
              <w:tc>
                <w:tcPr>
                  <w:tcW w:w="1399" w:type="dxa"/>
                  <w:tcBorders>
                    <w:tl2br w:val="nil"/>
                    <w:tr2bl w:val="nil"/>
                  </w:tcBorders>
                  <w:vAlign w:val="center"/>
                </w:tcPr>
                <w:p w14:paraId="0BAB4E55">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1.39</w:t>
                  </w:r>
                </w:p>
              </w:tc>
              <w:tc>
                <w:tcPr>
                  <w:tcW w:w="1623" w:type="dxa"/>
                  <w:tcBorders>
                    <w:tl2br w:val="nil"/>
                    <w:tr2bl w:val="nil"/>
                  </w:tcBorders>
                  <w:vAlign w:val="center"/>
                </w:tcPr>
                <w:p w14:paraId="5533BD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73BDBE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401A0B4E">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212D7B6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1FB506E2">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2025/4/3</w:t>
                  </w:r>
                </w:p>
              </w:tc>
              <w:tc>
                <w:tcPr>
                  <w:tcW w:w="1482" w:type="dxa"/>
                  <w:tcBorders>
                    <w:tl2br w:val="nil"/>
                    <w:tr2bl w:val="nil"/>
                  </w:tcBorders>
                  <w:vAlign w:val="center"/>
                </w:tcPr>
                <w:p w14:paraId="321E9254">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1.7</w:t>
                  </w:r>
                </w:p>
              </w:tc>
              <w:tc>
                <w:tcPr>
                  <w:tcW w:w="1399" w:type="dxa"/>
                  <w:tcBorders>
                    <w:tl2br w:val="nil"/>
                    <w:tr2bl w:val="nil"/>
                  </w:tcBorders>
                  <w:vAlign w:val="center"/>
                </w:tcPr>
                <w:p w14:paraId="03E3E9B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1.7</w:t>
                  </w:r>
                </w:p>
              </w:tc>
              <w:tc>
                <w:tcPr>
                  <w:tcW w:w="1623" w:type="dxa"/>
                  <w:tcBorders>
                    <w:tl2br w:val="nil"/>
                    <w:tr2bl w:val="nil"/>
                  </w:tcBorders>
                  <w:vAlign w:val="center"/>
                </w:tcPr>
                <w:p w14:paraId="618C46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010E12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restart"/>
                  <w:tcBorders>
                    <w:tl2br w:val="nil"/>
                    <w:tr2bl w:val="nil"/>
                  </w:tcBorders>
                  <w:vAlign w:val="center"/>
                </w:tcPr>
                <w:p w14:paraId="0A372F07">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生料配料贮存库活性炭吸附箱</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DA094</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48AE961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硫化氢</w:t>
                  </w:r>
                </w:p>
              </w:tc>
              <w:tc>
                <w:tcPr>
                  <w:tcW w:w="1087" w:type="dxa"/>
                  <w:tcBorders>
                    <w:tl2br w:val="nil"/>
                    <w:tr2bl w:val="nil"/>
                  </w:tcBorders>
                  <w:vAlign w:val="center"/>
                </w:tcPr>
                <w:p w14:paraId="1139CDD6">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2025/4/2</w:t>
                  </w:r>
                </w:p>
              </w:tc>
              <w:tc>
                <w:tcPr>
                  <w:tcW w:w="1482" w:type="dxa"/>
                  <w:tcBorders>
                    <w:tl2br w:val="nil"/>
                    <w:tr2bl w:val="nil"/>
                  </w:tcBorders>
                  <w:vAlign w:val="center"/>
                </w:tcPr>
                <w:p w14:paraId="54DD175E">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0.036</w:t>
                  </w:r>
                </w:p>
              </w:tc>
              <w:tc>
                <w:tcPr>
                  <w:tcW w:w="1399" w:type="dxa"/>
                  <w:tcBorders>
                    <w:tl2br w:val="nil"/>
                    <w:tr2bl w:val="nil"/>
                  </w:tcBorders>
                  <w:vAlign w:val="center"/>
                </w:tcPr>
                <w:p w14:paraId="7FAE7ED7">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0.036</w:t>
                  </w:r>
                </w:p>
              </w:tc>
              <w:tc>
                <w:tcPr>
                  <w:tcW w:w="1623" w:type="dxa"/>
                  <w:tcBorders>
                    <w:tl2br w:val="nil"/>
                    <w:tr2bl w:val="nil"/>
                  </w:tcBorders>
                  <w:vAlign w:val="center"/>
                </w:tcPr>
                <w:p w14:paraId="56AFBC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w:t>
                  </w:r>
                </w:p>
              </w:tc>
            </w:tr>
            <w:tr w14:paraId="102490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6DF6301C">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164EB68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氨（氨气）</w:t>
                  </w:r>
                </w:p>
              </w:tc>
              <w:tc>
                <w:tcPr>
                  <w:tcW w:w="1087" w:type="dxa"/>
                  <w:tcBorders>
                    <w:tl2br w:val="nil"/>
                    <w:tr2bl w:val="nil"/>
                  </w:tcBorders>
                  <w:vAlign w:val="center"/>
                </w:tcPr>
                <w:p w14:paraId="512A038E">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2025/4/2</w:t>
                  </w:r>
                </w:p>
              </w:tc>
              <w:tc>
                <w:tcPr>
                  <w:tcW w:w="1482" w:type="dxa"/>
                  <w:tcBorders>
                    <w:tl2br w:val="nil"/>
                    <w:tr2bl w:val="nil"/>
                  </w:tcBorders>
                  <w:vAlign w:val="center"/>
                </w:tcPr>
                <w:p w14:paraId="09986135">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0.68</w:t>
                  </w:r>
                </w:p>
              </w:tc>
              <w:tc>
                <w:tcPr>
                  <w:tcW w:w="1399" w:type="dxa"/>
                  <w:tcBorders>
                    <w:tl2br w:val="nil"/>
                    <w:tr2bl w:val="nil"/>
                  </w:tcBorders>
                  <w:vAlign w:val="center"/>
                </w:tcPr>
                <w:p w14:paraId="20A33279">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0.68</w:t>
                  </w:r>
                </w:p>
              </w:tc>
              <w:tc>
                <w:tcPr>
                  <w:tcW w:w="1623" w:type="dxa"/>
                  <w:tcBorders>
                    <w:tl2br w:val="nil"/>
                    <w:tr2bl w:val="nil"/>
                  </w:tcBorders>
                  <w:vAlign w:val="center"/>
                </w:tcPr>
                <w:p w14:paraId="0AF46C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4406C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4B0489F3">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6949ECD3">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1EF499F9">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2025/4/2</w:t>
                  </w:r>
                </w:p>
              </w:tc>
              <w:tc>
                <w:tcPr>
                  <w:tcW w:w="1482" w:type="dxa"/>
                  <w:tcBorders>
                    <w:tl2br w:val="nil"/>
                    <w:tr2bl w:val="nil"/>
                  </w:tcBorders>
                  <w:vAlign w:val="center"/>
                </w:tcPr>
                <w:p w14:paraId="5D2C3C2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1.8</w:t>
                  </w:r>
                </w:p>
              </w:tc>
              <w:tc>
                <w:tcPr>
                  <w:tcW w:w="1399" w:type="dxa"/>
                  <w:tcBorders>
                    <w:tl2br w:val="nil"/>
                    <w:tr2bl w:val="nil"/>
                  </w:tcBorders>
                  <w:vAlign w:val="center"/>
                </w:tcPr>
                <w:p w14:paraId="22786D29">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1.8</w:t>
                  </w:r>
                </w:p>
              </w:tc>
              <w:tc>
                <w:tcPr>
                  <w:tcW w:w="1623" w:type="dxa"/>
                  <w:tcBorders>
                    <w:tl2br w:val="nil"/>
                    <w:tr2bl w:val="nil"/>
                  </w:tcBorders>
                  <w:vAlign w:val="center"/>
                </w:tcPr>
                <w:p w14:paraId="1B432A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r>
            <w:tr w14:paraId="0F2F6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27A0D5FE">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335ABA56">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非甲烷总烃</w:t>
                  </w:r>
                </w:p>
              </w:tc>
              <w:tc>
                <w:tcPr>
                  <w:tcW w:w="1087" w:type="dxa"/>
                  <w:tcBorders>
                    <w:tl2br w:val="nil"/>
                    <w:tr2bl w:val="nil"/>
                  </w:tcBorders>
                  <w:vAlign w:val="center"/>
                </w:tcPr>
                <w:p w14:paraId="1B325B5F">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2025/4/2</w:t>
                  </w:r>
                </w:p>
              </w:tc>
              <w:tc>
                <w:tcPr>
                  <w:tcW w:w="1482" w:type="dxa"/>
                  <w:tcBorders>
                    <w:tl2br w:val="nil"/>
                    <w:tr2bl w:val="nil"/>
                  </w:tcBorders>
                  <w:vAlign w:val="center"/>
                </w:tcPr>
                <w:p w14:paraId="089F63A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1.53</w:t>
                  </w:r>
                </w:p>
              </w:tc>
              <w:tc>
                <w:tcPr>
                  <w:tcW w:w="1399" w:type="dxa"/>
                  <w:tcBorders>
                    <w:tl2br w:val="nil"/>
                    <w:tr2bl w:val="nil"/>
                  </w:tcBorders>
                  <w:vAlign w:val="center"/>
                </w:tcPr>
                <w:p w14:paraId="71E23957">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1.53</w:t>
                  </w:r>
                </w:p>
              </w:tc>
              <w:tc>
                <w:tcPr>
                  <w:tcW w:w="1623" w:type="dxa"/>
                  <w:tcBorders>
                    <w:tl2br w:val="nil"/>
                    <w:tr2bl w:val="nil"/>
                  </w:tcBorders>
                  <w:vAlign w:val="center"/>
                </w:tcPr>
                <w:p w14:paraId="743C2D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23FECF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vMerge w:val="continue"/>
                  <w:tcBorders>
                    <w:tl2br w:val="nil"/>
                    <w:tr2bl w:val="nil"/>
                  </w:tcBorders>
                  <w:vAlign w:val="center"/>
                </w:tcPr>
                <w:p w14:paraId="3D11DA16">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995" w:type="dxa"/>
                  <w:tcBorders>
                    <w:tl2br w:val="nil"/>
                    <w:tr2bl w:val="nil"/>
                  </w:tcBorders>
                  <w:vAlign w:val="center"/>
                </w:tcPr>
                <w:p w14:paraId="2A2F1BE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臭气浓度</w:t>
                  </w:r>
                </w:p>
              </w:tc>
              <w:tc>
                <w:tcPr>
                  <w:tcW w:w="1087" w:type="dxa"/>
                  <w:tcBorders>
                    <w:tl2br w:val="nil"/>
                    <w:tr2bl w:val="nil"/>
                  </w:tcBorders>
                  <w:vAlign w:val="center"/>
                </w:tcPr>
                <w:p w14:paraId="15A9540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2025/4/2</w:t>
                  </w:r>
                </w:p>
              </w:tc>
              <w:tc>
                <w:tcPr>
                  <w:tcW w:w="1482" w:type="dxa"/>
                  <w:tcBorders>
                    <w:tl2br w:val="nil"/>
                    <w:tr2bl w:val="nil"/>
                  </w:tcBorders>
                  <w:vAlign w:val="center"/>
                </w:tcPr>
                <w:p w14:paraId="10FA11BE">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16</w:t>
                  </w:r>
                </w:p>
              </w:tc>
              <w:tc>
                <w:tcPr>
                  <w:tcW w:w="1399" w:type="dxa"/>
                  <w:tcBorders>
                    <w:tl2br w:val="nil"/>
                    <w:tr2bl w:val="nil"/>
                  </w:tcBorders>
                  <w:vAlign w:val="center"/>
                </w:tcPr>
                <w:p w14:paraId="187B12A1">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16</w:t>
                  </w:r>
                </w:p>
              </w:tc>
              <w:tc>
                <w:tcPr>
                  <w:tcW w:w="1623" w:type="dxa"/>
                  <w:tcBorders>
                    <w:tl2br w:val="nil"/>
                    <w:tr2bl w:val="nil"/>
                  </w:tcBorders>
                  <w:vAlign w:val="center"/>
                </w:tcPr>
                <w:p w14:paraId="00F0D4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r>
            <w:tr w14:paraId="5E7AC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0" w:type="dxa"/>
                  <w:tcBorders>
                    <w:tl2br w:val="nil"/>
                    <w:tr2bl w:val="nil"/>
                  </w:tcBorders>
                  <w:vAlign w:val="center"/>
                </w:tcPr>
                <w:p w14:paraId="648BB37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水泥A磨磨尾收尘器</w:t>
                  </w:r>
                  <w:r>
                    <w:rPr>
                      <w:rFonts w:hint="eastAsia"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DA095</w:t>
                  </w:r>
                  <w:r>
                    <w:rPr>
                      <w:rFonts w:hint="eastAsia" w:cs="Times New Roman"/>
                      <w:i w:val="0"/>
                      <w:iCs w:val="0"/>
                      <w:color w:val="auto"/>
                      <w:kern w:val="0"/>
                      <w:sz w:val="21"/>
                      <w:szCs w:val="21"/>
                      <w:highlight w:val="none"/>
                      <w:u w:val="none"/>
                      <w:lang w:val="en-US" w:eastAsia="zh-CN"/>
                    </w:rPr>
                    <w:t>）</w:t>
                  </w:r>
                </w:p>
              </w:tc>
              <w:tc>
                <w:tcPr>
                  <w:tcW w:w="995" w:type="dxa"/>
                  <w:tcBorders>
                    <w:tl2br w:val="nil"/>
                    <w:tr2bl w:val="nil"/>
                  </w:tcBorders>
                  <w:vAlign w:val="center"/>
                </w:tcPr>
                <w:p w14:paraId="53181B71">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颗粒物</w:t>
                  </w:r>
                </w:p>
              </w:tc>
              <w:tc>
                <w:tcPr>
                  <w:tcW w:w="1087" w:type="dxa"/>
                  <w:tcBorders>
                    <w:tl2br w:val="nil"/>
                    <w:tr2bl w:val="nil"/>
                  </w:tcBorders>
                  <w:vAlign w:val="center"/>
                </w:tcPr>
                <w:p w14:paraId="63DF836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2025/3/27</w:t>
                  </w:r>
                </w:p>
              </w:tc>
              <w:tc>
                <w:tcPr>
                  <w:tcW w:w="1482" w:type="dxa"/>
                  <w:tcBorders>
                    <w:tl2br w:val="nil"/>
                    <w:tr2bl w:val="nil"/>
                  </w:tcBorders>
                  <w:vAlign w:val="center"/>
                </w:tcPr>
                <w:p w14:paraId="457AE099">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4.8</w:t>
                  </w:r>
                </w:p>
              </w:tc>
              <w:tc>
                <w:tcPr>
                  <w:tcW w:w="1399" w:type="dxa"/>
                  <w:tcBorders>
                    <w:tl2br w:val="nil"/>
                    <w:tr2bl w:val="nil"/>
                  </w:tcBorders>
                  <w:vAlign w:val="center"/>
                </w:tcPr>
                <w:p w14:paraId="1DBAD47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4.8</w:t>
                  </w:r>
                </w:p>
              </w:tc>
              <w:tc>
                <w:tcPr>
                  <w:tcW w:w="1623" w:type="dxa"/>
                  <w:tcBorders>
                    <w:tl2br w:val="nil"/>
                    <w:tr2bl w:val="nil"/>
                  </w:tcBorders>
                  <w:vAlign w:val="center"/>
                </w:tcPr>
                <w:p w14:paraId="737017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r>
          </w:tbl>
          <w:p w14:paraId="482D72C0">
            <w:pPr>
              <w:pStyle w:val="27"/>
              <w:numPr>
                <w:ilvl w:val="0"/>
                <w:numId w:val="0"/>
              </w:numPr>
              <w:spacing w:line="360" w:lineRule="auto"/>
              <w:ind w:right="86" w:rightChars="0" w:firstLine="480" w:firstLineChars="200"/>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由表2-16监测结果可以看出，项目废气排气筒所测项目颗粒物、二氧化硫、氮氧化物、氨、</w:t>
            </w:r>
            <w:r>
              <w:rPr>
                <w:rFonts w:hint="eastAsia" w:ascii="Times New Roman" w:hAnsi="Times New Roman" w:cs="Times New Roman" w:eastAsiaTheme="minorEastAsia"/>
                <w:color w:val="auto"/>
                <w:sz w:val="24"/>
                <w:szCs w:val="24"/>
                <w:highlight w:val="none"/>
                <w:lang w:val="en-US" w:eastAsia="zh-CN"/>
              </w:rPr>
              <w:t>氟化物</w:t>
            </w:r>
            <w:r>
              <w:rPr>
                <w:rFonts w:hint="eastAsia" w:ascii="Times New Roman" w:hAnsi="Times New Roman" w:cs="Times New Roman" w:eastAsiaTheme="minorEastAsia"/>
                <w:color w:val="auto"/>
                <w:sz w:val="24"/>
                <w:highlight w:val="none"/>
                <w:lang w:val="en-US" w:eastAsia="zh-CN"/>
              </w:rPr>
              <w:t>的排放浓度均符合《关中地区重点行业大气污染物排放标准》（DB61/941-2018）表1水泥工业大气污染物排放浓度限值要求；汞及其化合物、氨排放浓度符合《水泥工业大气污染物排放标准》（GB4915-2013）表2大气污染物特别排放限值要求；氯化氢、氟化氢、铍、铬、锡、锑、铜、钴、锰、镍、钒及其化合物排放浓度符合《水泥窑协同处置固体废物污染控制标准》（GB30485-2013）表1协同处置固体废物水泥窑大气污染物最高允许排放浓度要求，臭气浓度排放浓度符合《恶臭污染物排放标准》（GB14554-93）相关排放标准，非甲烷总烃无组织浓度符合《大气污染物综合排放标准》（GB16297-1996）表2新污染源大气污染物排放限值要求。</w:t>
            </w:r>
          </w:p>
          <w:p w14:paraId="018C27B1">
            <w:pPr>
              <w:pStyle w:val="27"/>
              <w:numPr>
                <w:ilvl w:val="0"/>
                <w:numId w:val="0"/>
              </w:numPr>
              <w:spacing w:line="360" w:lineRule="auto"/>
              <w:ind w:right="86" w:righ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②无组织废气</w:t>
            </w:r>
          </w:p>
          <w:p w14:paraId="67D886A3">
            <w:pPr>
              <w:pStyle w:val="27"/>
              <w:numPr>
                <w:ilvl w:val="0"/>
                <w:numId w:val="0"/>
              </w:numPr>
              <w:spacing w:line="360" w:lineRule="auto"/>
              <w:ind w:right="86" w:rightChars="0"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根据建设单位提供的2024年度第三季度厂界无组织废气监测报告（</w:t>
            </w:r>
            <w:r>
              <w:rPr>
                <w:rFonts w:hint="eastAsia" w:ascii="Times New Roman" w:hAnsi="Times New Roman" w:eastAsia="宋体" w:cs="Times New Roman"/>
                <w:color w:val="auto"/>
                <w:sz w:val="24"/>
                <w:highlight w:val="none"/>
                <w:lang w:val="en-US" w:eastAsia="zh-CN"/>
              </w:rPr>
              <w:t>详</w:t>
            </w:r>
            <w:r>
              <w:rPr>
                <w:rFonts w:hint="default" w:ascii="Times New Roman" w:hAnsi="Times New Roman" w:eastAsia="宋体" w:cs="Times New Roman"/>
                <w:color w:val="auto"/>
                <w:sz w:val="24"/>
                <w:highlight w:val="none"/>
                <w:lang w:val="en-US" w:eastAsia="zh-CN"/>
              </w:rPr>
              <w:t>见附件5）</w:t>
            </w:r>
            <w:r>
              <w:rPr>
                <w:rFonts w:hint="eastAsia" w:ascii="Times New Roman" w:hAnsi="Times New Roman" w:eastAsia="宋体" w:cs="Times New Roman"/>
                <w:color w:val="auto"/>
                <w:sz w:val="24"/>
                <w:highlight w:val="none"/>
                <w:lang w:val="en-US" w:eastAsia="zh-CN"/>
              </w:rPr>
              <w:t>，现有工程厂界无组织废气监测结果见表2-1</w:t>
            </w:r>
            <w:r>
              <w:rPr>
                <w:rFonts w:hint="eastAsia" w:ascii="Times New Roman" w:hAnsi="Times New Roman"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w:t>
            </w:r>
          </w:p>
          <w:p w14:paraId="6CA54FB4">
            <w:pPr>
              <w:pStyle w:val="27"/>
              <w:numPr>
                <w:ilvl w:val="0"/>
                <w:numId w:val="0"/>
              </w:numPr>
              <w:spacing w:line="240" w:lineRule="auto"/>
              <w:ind w:right="86" w:rightChars="0" w:firstLine="422" w:firstLineChars="20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表2-1</w:t>
            </w:r>
            <w:r>
              <w:rPr>
                <w:rFonts w:hint="eastAsia" w:ascii="Times New Roman" w:hAnsi="Times New Roman" w:cs="Times New Roman" w:eastAsiaTheme="minorEastAsia"/>
                <w:b/>
                <w:bCs/>
                <w:color w:val="auto"/>
                <w:sz w:val="21"/>
                <w:szCs w:val="21"/>
                <w:highlight w:val="none"/>
                <w:lang w:val="en-US" w:eastAsia="zh-CN"/>
              </w:rPr>
              <w:t>5</w:t>
            </w:r>
            <w:r>
              <w:rPr>
                <w:rFonts w:hint="default" w:ascii="Times New Roman" w:hAnsi="Times New Roman" w:cs="Times New Roman" w:eastAsiaTheme="minorEastAsia"/>
                <w:b/>
                <w:bCs/>
                <w:color w:val="auto"/>
                <w:sz w:val="21"/>
                <w:szCs w:val="21"/>
                <w:highlight w:val="none"/>
                <w:lang w:val="en-US" w:eastAsia="zh-CN"/>
              </w:rPr>
              <w:t xml:space="preserve">  </w:t>
            </w:r>
            <w:r>
              <w:rPr>
                <w:rFonts w:hint="eastAsia" w:ascii="Times New Roman" w:hAnsi="Times New Roman" w:cs="Times New Roman" w:eastAsiaTheme="minorEastAsia"/>
                <w:b/>
                <w:bCs/>
                <w:color w:val="auto"/>
                <w:sz w:val="21"/>
                <w:szCs w:val="21"/>
                <w:highlight w:val="none"/>
                <w:lang w:val="en-US" w:eastAsia="zh-CN"/>
              </w:rPr>
              <w:t>2024年第三季度厂界无组织废气监测结果表</w:t>
            </w:r>
          </w:p>
          <w:tbl>
            <w:tblPr>
              <w:tblStyle w:val="20"/>
              <w:tblW w:w="80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100"/>
              <w:gridCol w:w="2400"/>
              <w:gridCol w:w="888"/>
              <w:gridCol w:w="1475"/>
              <w:gridCol w:w="1060"/>
            </w:tblGrid>
            <w:tr w14:paraId="4FE06A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tcBorders>
                    <w:tl2br w:val="nil"/>
                    <w:tr2bl w:val="nil"/>
                  </w:tcBorders>
                  <w:vAlign w:val="center"/>
                </w:tcPr>
                <w:p w14:paraId="4F787B7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监测时间</w:t>
                  </w:r>
                </w:p>
              </w:tc>
              <w:tc>
                <w:tcPr>
                  <w:tcW w:w="1100" w:type="dxa"/>
                  <w:tcBorders>
                    <w:tl2br w:val="nil"/>
                    <w:tr2bl w:val="nil"/>
                  </w:tcBorders>
                  <w:vAlign w:val="center"/>
                </w:tcPr>
                <w:p w14:paraId="3EFB708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监测位置</w:t>
                  </w:r>
                </w:p>
              </w:tc>
              <w:tc>
                <w:tcPr>
                  <w:tcW w:w="2400" w:type="dxa"/>
                  <w:tcBorders>
                    <w:tl2br w:val="nil"/>
                    <w:tr2bl w:val="nil"/>
                  </w:tcBorders>
                  <w:vAlign w:val="center"/>
                </w:tcPr>
                <w:p w14:paraId="5E57768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监测项目</w:t>
                  </w:r>
                </w:p>
              </w:tc>
              <w:tc>
                <w:tcPr>
                  <w:tcW w:w="888" w:type="dxa"/>
                  <w:tcBorders>
                    <w:tl2br w:val="nil"/>
                    <w:tr2bl w:val="nil"/>
                  </w:tcBorders>
                  <w:vAlign w:val="center"/>
                </w:tcPr>
                <w:p w14:paraId="46658CB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cs="Times New Roman" w:eastAsiaTheme="minorEastAsia"/>
                      <w:b/>
                      <w:bCs/>
                      <w:color w:val="auto"/>
                      <w:sz w:val="21"/>
                      <w:szCs w:val="21"/>
                      <w:highlight w:val="none"/>
                      <w:lang w:val="en-US" w:eastAsia="zh-CN"/>
                    </w:rPr>
                    <w:t>单位</w:t>
                  </w:r>
                </w:p>
              </w:tc>
              <w:tc>
                <w:tcPr>
                  <w:tcW w:w="1475" w:type="dxa"/>
                  <w:tcBorders>
                    <w:tl2br w:val="nil"/>
                    <w:tr2bl w:val="nil"/>
                  </w:tcBorders>
                  <w:vAlign w:val="center"/>
                </w:tcPr>
                <w:p w14:paraId="244CB05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排放浓度</w:t>
                  </w:r>
                </w:p>
              </w:tc>
              <w:tc>
                <w:tcPr>
                  <w:tcW w:w="1060" w:type="dxa"/>
                  <w:tcBorders>
                    <w:tl2br w:val="nil"/>
                    <w:tr2bl w:val="nil"/>
                  </w:tcBorders>
                  <w:vAlign w:val="center"/>
                </w:tcPr>
                <w:p w14:paraId="24FC332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cs="Times New Roman" w:eastAsiaTheme="minorEastAsia"/>
                      <w:b/>
                      <w:bCs/>
                      <w:color w:val="auto"/>
                      <w:sz w:val="21"/>
                      <w:szCs w:val="21"/>
                      <w:highlight w:val="none"/>
                      <w:lang w:val="en-US" w:eastAsia="zh-CN"/>
                    </w:rPr>
                    <w:t>评价标准</w:t>
                  </w:r>
                </w:p>
              </w:tc>
            </w:tr>
            <w:tr w14:paraId="2E393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restart"/>
                  <w:tcBorders>
                    <w:tl2br w:val="nil"/>
                    <w:tr2bl w:val="nil"/>
                  </w:tcBorders>
                  <w:vAlign w:val="center"/>
                </w:tcPr>
                <w:p w14:paraId="1ED7DE8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2024.08.13</w:t>
                  </w:r>
                </w:p>
              </w:tc>
              <w:tc>
                <w:tcPr>
                  <w:tcW w:w="1100" w:type="dxa"/>
                  <w:vMerge w:val="restart"/>
                  <w:tcBorders>
                    <w:tl2br w:val="nil"/>
                    <w:tr2bl w:val="nil"/>
                  </w:tcBorders>
                  <w:vAlign w:val="center"/>
                </w:tcPr>
                <w:p w14:paraId="1C6A4FC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厂界上风向O1</w:t>
                  </w:r>
                </w:p>
              </w:tc>
              <w:tc>
                <w:tcPr>
                  <w:tcW w:w="2400" w:type="dxa"/>
                  <w:tcBorders>
                    <w:tl2br w:val="nil"/>
                    <w:tr2bl w:val="nil"/>
                  </w:tcBorders>
                  <w:vAlign w:val="center"/>
                </w:tcPr>
                <w:p w14:paraId="2A17643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氨</w:t>
                  </w:r>
                </w:p>
              </w:tc>
              <w:tc>
                <w:tcPr>
                  <w:tcW w:w="888" w:type="dxa"/>
                  <w:tcBorders>
                    <w:tl2br w:val="nil"/>
                    <w:tr2bl w:val="nil"/>
                  </w:tcBorders>
                  <w:vAlign w:val="center"/>
                </w:tcPr>
                <w:p w14:paraId="391476A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mg/m</w:t>
                  </w:r>
                  <w:r>
                    <w:rPr>
                      <w:rFonts w:hint="eastAsia" w:cs="Times New Roman" w:eastAsiaTheme="minorEastAsia"/>
                      <w:color w:val="auto"/>
                      <w:sz w:val="21"/>
                      <w:szCs w:val="21"/>
                      <w:highlight w:val="none"/>
                      <w:vertAlign w:val="superscript"/>
                      <w:lang w:val="en-US" w:eastAsia="zh-CN"/>
                    </w:rPr>
                    <w:t>3</w:t>
                  </w:r>
                </w:p>
              </w:tc>
              <w:tc>
                <w:tcPr>
                  <w:tcW w:w="1475" w:type="dxa"/>
                  <w:tcBorders>
                    <w:tl2br w:val="nil"/>
                    <w:tr2bl w:val="nil"/>
                  </w:tcBorders>
                  <w:vAlign w:val="center"/>
                </w:tcPr>
                <w:p w14:paraId="20F9C2A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0.014~0.033</w:t>
                  </w:r>
                </w:p>
              </w:tc>
              <w:tc>
                <w:tcPr>
                  <w:tcW w:w="1060" w:type="dxa"/>
                  <w:tcBorders>
                    <w:tl2br w:val="nil"/>
                    <w:tr2bl w:val="nil"/>
                  </w:tcBorders>
                  <w:vAlign w:val="center"/>
                </w:tcPr>
                <w:p w14:paraId="10826A8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0DE892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735DD54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00" w:type="dxa"/>
                  <w:vMerge w:val="continue"/>
                  <w:tcBorders>
                    <w:tl2br w:val="nil"/>
                    <w:tr2bl w:val="nil"/>
                  </w:tcBorders>
                  <w:vAlign w:val="center"/>
                </w:tcPr>
                <w:p w14:paraId="22A74D9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400" w:type="dxa"/>
                  <w:tcBorders>
                    <w:tl2br w:val="nil"/>
                    <w:tr2bl w:val="nil"/>
                  </w:tcBorders>
                  <w:vAlign w:val="center"/>
                </w:tcPr>
                <w:p w14:paraId="4CC2AC3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硫化氢</w:t>
                  </w:r>
                </w:p>
              </w:tc>
              <w:tc>
                <w:tcPr>
                  <w:tcW w:w="888" w:type="dxa"/>
                  <w:tcBorders>
                    <w:tl2br w:val="nil"/>
                    <w:tr2bl w:val="nil"/>
                  </w:tcBorders>
                  <w:vAlign w:val="center"/>
                </w:tcPr>
                <w:p w14:paraId="43F034F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mg/m</w:t>
                  </w:r>
                  <w:r>
                    <w:rPr>
                      <w:rFonts w:hint="eastAsia" w:cs="Times New Roman" w:eastAsiaTheme="minorEastAsia"/>
                      <w:color w:val="auto"/>
                      <w:sz w:val="21"/>
                      <w:szCs w:val="21"/>
                      <w:highlight w:val="none"/>
                      <w:vertAlign w:val="superscript"/>
                      <w:lang w:val="en-US" w:eastAsia="zh-CN"/>
                    </w:rPr>
                    <w:t>3</w:t>
                  </w:r>
                </w:p>
              </w:tc>
              <w:tc>
                <w:tcPr>
                  <w:tcW w:w="1475" w:type="dxa"/>
                  <w:tcBorders>
                    <w:tl2br w:val="nil"/>
                    <w:tr2bl w:val="nil"/>
                  </w:tcBorders>
                  <w:vAlign w:val="center"/>
                </w:tcPr>
                <w:p w14:paraId="479DE5B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&lt;</w:t>
                  </w:r>
                  <w:r>
                    <w:rPr>
                      <w:rFonts w:hint="eastAsia" w:cs="Times New Roman" w:eastAsiaTheme="minorEastAsia"/>
                      <w:color w:val="auto"/>
                      <w:sz w:val="21"/>
                      <w:szCs w:val="21"/>
                      <w:highlight w:val="none"/>
                      <w:lang w:val="en-US" w:eastAsia="zh-CN"/>
                    </w:rPr>
                    <w:t>2</w:t>
                  </w:r>
                  <w:r>
                    <w:rPr>
                      <w:rFonts w:hint="default" w:ascii="Arial" w:hAnsi="Arial" w:cs="Arial" w:eastAsiaTheme="minorEastAsia"/>
                      <w:color w:val="auto"/>
                      <w:sz w:val="21"/>
                      <w:szCs w:val="21"/>
                      <w:highlight w:val="none"/>
                      <w:lang w:val="en-US" w:eastAsia="zh-CN"/>
                    </w:rPr>
                    <w:t>×</w:t>
                  </w:r>
                  <w:r>
                    <w:rPr>
                      <w:rFonts w:hint="eastAsia" w:cs="Times New Roman" w:eastAsiaTheme="minorEastAsia"/>
                      <w:color w:val="auto"/>
                      <w:sz w:val="21"/>
                      <w:szCs w:val="21"/>
                      <w:highlight w:val="none"/>
                      <w:lang w:val="en-US" w:eastAsia="zh-CN"/>
                    </w:rPr>
                    <w:t>10</w:t>
                  </w:r>
                  <w:r>
                    <w:rPr>
                      <w:rFonts w:hint="eastAsia" w:cs="Times New Roman" w:eastAsiaTheme="minorEastAsia"/>
                      <w:color w:val="auto"/>
                      <w:sz w:val="21"/>
                      <w:szCs w:val="21"/>
                      <w:highlight w:val="none"/>
                      <w:vertAlign w:val="superscript"/>
                      <w:lang w:val="en-US" w:eastAsia="zh-CN"/>
                    </w:rPr>
                    <w:t>-4</w:t>
                  </w:r>
                </w:p>
              </w:tc>
              <w:tc>
                <w:tcPr>
                  <w:tcW w:w="1060" w:type="dxa"/>
                  <w:tcBorders>
                    <w:tl2br w:val="nil"/>
                    <w:tr2bl w:val="nil"/>
                  </w:tcBorders>
                  <w:vAlign w:val="center"/>
                </w:tcPr>
                <w:p w14:paraId="6F8F7FF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20952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595694A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00" w:type="dxa"/>
                  <w:vMerge w:val="continue"/>
                  <w:tcBorders>
                    <w:tl2br w:val="nil"/>
                    <w:tr2bl w:val="nil"/>
                  </w:tcBorders>
                  <w:vAlign w:val="center"/>
                </w:tcPr>
                <w:p w14:paraId="0BBFE8D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400" w:type="dxa"/>
                  <w:tcBorders>
                    <w:tl2br w:val="nil"/>
                    <w:tr2bl w:val="nil"/>
                  </w:tcBorders>
                  <w:vAlign w:val="center"/>
                </w:tcPr>
                <w:p w14:paraId="668379A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臭气浓度</w:t>
                  </w:r>
                </w:p>
              </w:tc>
              <w:tc>
                <w:tcPr>
                  <w:tcW w:w="888" w:type="dxa"/>
                  <w:tcBorders>
                    <w:tl2br w:val="nil"/>
                    <w:tr2bl w:val="nil"/>
                  </w:tcBorders>
                  <w:vAlign w:val="center"/>
                </w:tcPr>
                <w:p w14:paraId="7793A5D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无量纲</w:t>
                  </w:r>
                </w:p>
              </w:tc>
              <w:tc>
                <w:tcPr>
                  <w:tcW w:w="1475" w:type="dxa"/>
                  <w:tcBorders>
                    <w:tl2br w:val="nil"/>
                    <w:tr2bl w:val="nil"/>
                  </w:tcBorders>
                  <w:vAlign w:val="center"/>
                </w:tcPr>
                <w:p w14:paraId="0A29C1E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&lt;</w:t>
                  </w:r>
                  <w:r>
                    <w:rPr>
                      <w:rFonts w:hint="eastAsia" w:cs="Times New Roman" w:eastAsiaTheme="minorEastAsia"/>
                      <w:color w:val="auto"/>
                      <w:sz w:val="21"/>
                      <w:szCs w:val="21"/>
                      <w:highlight w:val="none"/>
                      <w:lang w:val="en-US" w:eastAsia="zh-CN"/>
                    </w:rPr>
                    <w:t>10</w:t>
                  </w:r>
                </w:p>
              </w:tc>
              <w:tc>
                <w:tcPr>
                  <w:tcW w:w="1060" w:type="dxa"/>
                  <w:tcBorders>
                    <w:tl2br w:val="nil"/>
                    <w:tr2bl w:val="nil"/>
                  </w:tcBorders>
                  <w:vAlign w:val="center"/>
                </w:tcPr>
                <w:p w14:paraId="4630C7B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727581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5780BC1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00" w:type="dxa"/>
                  <w:vMerge w:val="continue"/>
                  <w:tcBorders>
                    <w:tl2br w:val="nil"/>
                    <w:tr2bl w:val="nil"/>
                  </w:tcBorders>
                  <w:vAlign w:val="center"/>
                </w:tcPr>
                <w:p w14:paraId="37F59DD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400" w:type="dxa"/>
                  <w:tcBorders>
                    <w:tl2br w:val="nil"/>
                    <w:tr2bl w:val="nil"/>
                  </w:tcBorders>
                  <w:vAlign w:val="center"/>
                </w:tcPr>
                <w:p w14:paraId="56FC174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颗粒物</w:t>
                  </w:r>
                </w:p>
              </w:tc>
              <w:tc>
                <w:tcPr>
                  <w:tcW w:w="888" w:type="dxa"/>
                  <w:tcBorders>
                    <w:tl2br w:val="nil"/>
                    <w:tr2bl w:val="nil"/>
                  </w:tcBorders>
                  <w:vAlign w:val="center"/>
                </w:tcPr>
                <w:p w14:paraId="3C3309D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mg/m</w:t>
                  </w:r>
                  <w:r>
                    <w:rPr>
                      <w:rFonts w:hint="eastAsia" w:cs="Times New Roman" w:eastAsiaTheme="minorEastAsia"/>
                      <w:color w:val="auto"/>
                      <w:sz w:val="21"/>
                      <w:szCs w:val="21"/>
                      <w:highlight w:val="none"/>
                      <w:vertAlign w:val="superscript"/>
                      <w:lang w:val="en-US" w:eastAsia="zh-CN"/>
                    </w:rPr>
                    <w:t>3</w:t>
                  </w:r>
                </w:p>
              </w:tc>
              <w:tc>
                <w:tcPr>
                  <w:tcW w:w="1475" w:type="dxa"/>
                  <w:tcBorders>
                    <w:tl2br w:val="nil"/>
                    <w:tr2bl w:val="nil"/>
                  </w:tcBorders>
                  <w:vAlign w:val="center"/>
                </w:tcPr>
                <w:p w14:paraId="48C531E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0.290</w:t>
                  </w:r>
                </w:p>
              </w:tc>
              <w:tc>
                <w:tcPr>
                  <w:tcW w:w="1060" w:type="dxa"/>
                  <w:tcBorders>
                    <w:tl2br w:val="nil"/>
                    <w:tr2bl w:val="nil"/>
                  </w:tcBorders>
                  <w:vAlign w:val="center"/>
                </w:tcPr>
                <w:p w14:paraId="0846258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51C77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1F47C7E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00" w:type="dxa"/>
                  <w:vMerge w:val="continue"/>
                  <w:tcBorders>
                    <w:tl2br w:val="nil"/>
                    <w:tr2bl w:val="nil"/>
                  </w:tcBorders>
                  <w:vAlign w:val="center"/>
                </w:tcPr>
                <w:p w14:paraId="5F1D0A5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400" w:type="dxa"/>
                  <w:tcBorders>
                    <w:tl2br w:val="nil"/>
                    <w:tr2bl w:val="nil"/>
                  </w:tcBorders>
                  <w:vAlign w:val="center"/>
                </w:tcPr>
                <w:p w14:paraId="6FB0574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非甲烷总烃</w:t>
                  </w:r>
                </w:p>
              </w:tc>
              <w:tc>
                <w:tcPr>
                  <w:tcW w:w="888" w:type="dxa"/>
                  <w:tcBorders>
                    <w:tl2br w:val="nil"/>
                    <w:tr2bl w:val="nil"/>
                  </w:tcBorders>
                  <w:vAlign w:val="center"/>
                </w:tcPr>
                <w:p w14:paraId="33E4DDB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mg/m</w:t>
                  </w:r>
                  <w:r>
                    <w:rPr>
                      <w:rFonts w:hint="eastAsia" w:cs="Times New Roman" w:eastAsiaTheme="minorEastAsia"/>
                      <w:color w:val="auto"/>
                      <w:sz w:val="21"/>
                      <w:szCs w:val="21"/>
                      <w:highlight w:val="none"/>
                      <w:vertAlign w:val="superscript"/>
                      <w:lang w:val="en-US" w:eastAsia="zh-CN"/>
                    </w:rPr>
                    <w:t>3</w:t>
                  </w:r>
                </w:p>
              </w:tc>
              <w:tc>
                <w:tcPr>
                  <w:tcW w:w="1475" w:type="dxa"/>
                  <w:tcBorders>
                    <w:tl2br w:val="nil"/>
                    <w:tr2bl w:val="nil"/>
                  </w:tcBorders>
                  <w:vAlign w:val="center"/>
                </w:tcPr>
                <w:p w14:paraId="61E25C1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0.58</w:t>
                  </w:r>
                </w:p>
              </w:tc>
              <w:tc>
                <w:tcPr>
                  <w:tcW w:w="1060" w:type="dxa"/>
                  <w:tcBorders>
                    <w:tl2br w:val="nil"/>
                    <w:tr2bl w:val="nil"/>
                  </w:tcBorders>
                  <w:vAlign w:val="center"/>
                </w:tcPr>
                <w:p w14:paraId="72BDE06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0CFBE9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69859AA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00" w:type="dxa"/>
                  <w:vMerge w:val="restart"/>
                  <w:tcBorders>
                    <w:tl2br w:val="nil"/>
                    <w:tr2bl w:val="nil"/>
                  </w:tcBorders>
                  <w:vAlign w:val="center"/>
                </w:tcPr>
                <w:p w14:paraId="50491F4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厂界下风向O2</w:t>
                  </w:r>
                </w:p>
              </w:tc>
              <w:tc>
                <w:tcPr>
                  <w:tcW w:w="2400" w:type="dxa"/>
                  <w:tcBorders>
                    <w:tl2br w:val="nil"/>
                    <w:tr2bl w:val="nil"/>
                  </w:tcBorders>
                  <w:shd w:val="clear" w:color="auto" w:fill="auto"/>
                  <w:vAlign w:val="center"/>
                </w:tcPr>
                <w:p w14:paraId="73E5A9A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氨</w:t>
                  </w:r>
                </w:p>
              </w:tc>
              <w:tc>
                <w:tcPr>
                  <w:tcW w:w="888" w:type="dxa"/>
                  <w:tcBorders>
                    <w:tl2br w:val="nil"/>
                    <w:tr2bl w:val="nil"/>
                  </w:tcBorders>
                  <w:shd w:val="clear" w:color="auto" w:fill="auto"/>
                  <w:vAlign w:val="center"/>
                </w:tcPr>
                <w:p w14:paraId="7EB4497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mg/m</w:t>
                  </w:r>
                  <w:r>
                    <w:rPr>
                      <w:rFonts w:hint="eastAsia" w:cs="Times New Roman" w:eastAsiaTheme="minorEastAsia"/>
                      <w:color w:val="auto"/>
                      <w:sz w:val="21"/>
                      <w:szCs w:val="21"/>
                      <w:highlight w:val="none"/>
                      <w:vertAlign w:val="superscript"/>
                      <w:lang w:val="en-US" w:eastAsia="zh-CN"/>
                    </w:rPr>
                    <w:t>3</w:t>
                  </w:r>
                </w:p>
              </w:tc>
              <w:tc>
                <w:tcPr>
                  <w:tcW w:w="1475" w:type="dxa"/>
                  <w:tcBorders>
                    <w:tl2br w:val="nil"/>
                    <w:tr2bl w:val="nil"/>
                  </w:tcBorders>
                  <w:shd w:val="clear" w:color="auto" w:fill="auto"/>
                  <w:vAlign w:val="center"/>
                </w:tcPr>
                <w:p w14:paraId="659E1D8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0.013~0.026</w:t>
                  </w:r>
                </w:p>
              </w:tc>
              <w:tc>
                <w:tcPr>
                  <w:tcW w:w="1060" w:type="dxa"/>
                  <w:tcBorders>
                    <w:tl2br w:val="nil"/>
                    <w:tr2bl w:val="nil"/>
                  </w:tcBorders>
                  <w:shd w:val="clear" w:color="auto" w:fill="auto"/>
                  <w:vAlign w:val="center"/>
                </w:tcPr>
                <w:p w14:paraId="2040B48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p>
              </w:tc>
            </w:tr>
            <w:tr w14:paraId="79EA8D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49396E5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00" w:type="dxa"/>
                  <w:vMerge w:val="continue"/>
                  <w:tcBorders>
                    <w:tl2br w:val="nil"/>
                    <w:tr2bl w:val="nil"/>
                  </w:tcBorders>
                  <w:vAlign w:val="center"/>
                </w:tcPr>
                <w:p w14:paraId="3C5028B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400" w:type="dxa"/>
                  <w:tcBorders>
                    <w:tl2br w:val="nil"/>
                    <w:tr2bl w:val="nil"/>
                  </w:tcBorders>
                  <w:shd w:val="clear" w:color="auto" w:fill="auto"/>
                  <w:vAlign w:val="center"/>
                </w:tcPr>
                <w:p w14:paraId="3E85713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硫化氢</w:t>
                  </w:r>
                </w:p>
              </w:tc>
              <w:tc>
                <w:tcPr>
                  <w:tcW w:w="888" w:type="dxa"/>
                  <w:tcBorders>
                    <w:tl2br w:val="nil"/>
                    <w:tr2bl w:val="nil"/>
                  </w:tcBorders>
                  <w:shd w:val="clear" w:color="auto" w:fill="auto"/>
                  <w:vAlign w:val="center"/>
                </w:tcPr>
                <w:p w14:paraId="3D8F7B1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mg/m</w:t>
                  </w:r>
                  <w:r>
                    <w:rPr>
                      <w:rFonts w:hint="eastAsia" w:cs="Times New Roman" w:eastAsiaTheme="minorEastAsia"/>
                      <w:color w:val="auto"/>
                      <w:sz w:val="21"/>
                      <w:szCs w:val="21"/>
                      <w:highlight w:val="none"/>
                      <w:vertAlign w:val="superscript"/>
                      <w:lang w:val="en-US" w:eastAsia="zh-CN"/>
                    </w:rPr>
                    <w:t>3</w:t>
                  </w:r>
                </w:p>
              </w:tc>
              <w:tc>
                <w:tcPr>
                  <w:tcW w:w="1475" w:type="dxa"/>
                  <w:tcBorders>
                    <w:tl2br w:val="nil"/>
                    <w:tr2bl w:val="nil"/>
                  </w:tcBorders>
                  <w:shd w:val="clear" w:color="auto" w:fill="auto"/>
                  <w:vAlign w:val="center"/>
                </w:tcPr>
                <w:p w14:paraId="6249F58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&lt;</w:t>
                  </w:r>
                  <w:r>
                    <w:rPr>
                      <w:rFonts w:hint="eastAsia" w:cs="Times New Roman" w:eastAsiaTheme="minorEastAsia"/>
                      <w:color w:val="auto"/>
                      <w:sz w:val="21"/>
                      <w:szCs w:val="21"/>
                      <w:highlight w:val="none"/>
                      <w:lang w:val="en-US" w:eastAsia="zh-CN"/>
                    </w:rPr>
                    <w:t>2</w:t>
                  </w:r>
                  <w:r>
                    <w:rPr>
                      <w:rFonts w:hint="default" w:ascii="Arial" w:hAnsi="Arial" w:cs="Arial" w:eastAsiaTheme="minorEastAsia"/>
                      <w:color w:val="auto"/>
                      <w:sz w:val="21"/>
                      <w:szCs w:val="21"/>
                      <w:highlight w:val="none"/>
                      <w:lang w:val="en-US" w:eastAsia="zh-CN"/>
                    </w:rPr>
                    <w:t>×</w:t>
                  </w:r>
                  <w:r>
                    <w:rPr>
                      <w:rFonts w:hint="eastAsia" w:cs="Times New Roman" w:eastAsiaTheme="minorEastAsia"/>
                      <w:color w:val="auto"/>
                      <w:sz w:val="21"/>
                      <w:szCs w:val="21"/>
                      <w:highlight w:val="none"/>
                      <w:lang w:val="en-US" w:eastAsia="zh-CN"/>
                    </w:rPr>
                    <w:t>10</w:t>
                  </w:r>
                  <w:r>
                    <w:rPr>
                      <w:rFonts w:hint="eastAsia" w:cs="Times New Roman" w:eastAsiaTheme="minorEastAsia"/>
                      <w:color w:val="auto"/>
                      <w:sz w:val="21"/>
                      <w:szCs w:val="21"/>
                      <w:highlight w:val="none"/>
                      <w:vertAlign w:val="superscript"/>
                      <w:lang w:val="en-US" w:eastAsia="zh-CN"/>
                    </w:rPr>
                    <w:t>-4</w:t>
                  </w:r>
                </w:p>
              </w:tc>
              <w:tc>
                <w:tcPr>
                  <w:tcW w:w="1060" w:type="dxa"/>
                  <w:tcBorders>
                    <w:tl2br w:val="nil"/>
                    <w:tr2bl w:val="nil"/>
                  </w:tcBorders>
                  <w:shd w:val="clear" w:color="auto" w:fill="auto"/>
                  <w:vAlign w:val="center"/>
                </w:tcPr>
                <w:p w14:paraId="15D88F9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0.06</w:t>
                  </w:r>
                </w:p>
              </w:tc>
            </w:tr>
            <w:tr w14:paraId="29E20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257FE0F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00" w:type="dxa"/>
                  <w:vMerge w:val="continue"/>
                  <w:tcBorders>
                    <w:tl2br w:val="nil"/>
                    <w:tr2bl w:val="nil"/>
                  </w:tcBorders>
                  <w:vAlign w:val="center"/>
                </w:tcPr>
                <w:p w14:paraId="2E14DB4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400" w:type="dxa"/>
                  <w:tcBorders>
                    <w:tl2br w:val="nil"/>
                    <w:tr2bl w:val="nil"/>
                  </w:tcBorders>
                  <w:shd w:val="clear" w:color="auto" w:fill="auto"/>
                  <w:vAlign w:val="center"/>
                </w:tcPr>
                <w:p w14:paraId="267A3B5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臭气浓度</w:t>
                  </w:r>
                </w:p>
              </w:tc>
              <w:tc>
                <w:tcPr>
                  <w:tcW w:w="888" w:type="dxa"/>
                  <w:tcBorders>
                    <w:tl2br w:val="nil"/>
                    <w:tr2bl w:val="nil"/>
                  </w:tcBorders>
                  <w:shd w:val="clear" w:color="auto" w:fill="auto"/>
                  <w:vAlign w:val="center"/>
                </w:tcPr>
                <w:p w14:paraId="3919C5E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无量纲</w:t>
                  </w:r>
                </w:p>
              </w:tc>
              <w:tc>
                <w:tcPr>
                  <w:tcW w:w="1475" w:type="dxa"/>
                  <w:tcBorders>
                    <w:tl2br w:val="nil"/>
                    <w:tr2bl w:val="nil"/>
                  </w:tcBorders>
                  <w:shd w:val="clear" w:color="auto" w:fill="auto"/>
                  <w:vAlign w:val="center"/>
                </w:tcPr>
                <w:p w14:paraId="432E8F6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&lt;</w:t>
                  </w:r>
                  <w:r>
                    <w:rPr>
                      <w:rFonts w:hint="eastAsia" w:cs="Times New Roman" w:eastAsiaTheme="minorEastAsia"/>
                      <w:color w:val="auto"/>
                      <w:sz w:val="21"/>
                      <w:szCs w:val="21"/>
                      <w:highlight w:val="none"/>
                      <w:lang w:val="en-US" w:eastAsia="zh-CN"/>
                    </w:rPr>
                    <w:t>10</w:t>
                  </w:r>
                </w:p>
              </w:tc>
              <w:tc>
                <w:tcPr>
                  <w:tcW w:w="1060" w:type="dxa"/>
                  <w:tcBorders>
                    <w:tl2br w:val="nil"/>
                    <w:tr2bl w:val="nil"/>
                  </w:tcBorders>
                  <w:shd w:val="clear" w:color="auto" w:fill="auto"/>
                  <w:vAlign w:val="center"/>
                </w:tcPr>
                <w:p w14:paraId="651BBBC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w:t>
                  </w:r>
                </w:p>
              </w:tc>
            </w:tr>
            <w:tr w14:paraId="4457D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5E3A752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00" w:type="dxa"/>
                  <w:vMerge w:val="continue"/>
                  <w:tcBorders>
                    <w:tl2br w:val="nil"/>
                    <w:tr2bl w:val="nil"/>
                  </w:tcBorders>
                  <w:vAlign w:val="center"/>
                </w:tcPr>
                <w:p w14:paraId="56AD998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400" w:type="dxa"/>
                  <w:tcBorders>
                    <w:tl2br w:val="nil"/>
                    <w:tr2bl w:val="nil"/>
                  </w:tcBorders>
                  <w:shd w:val="clear" w:color="auto" w:fill="auto"/>
                  <w:vAlign w:val="center"/>
                </w:tcPr>
                <w:p w14:paraId="5E119BF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颗粒物（与上风向差值）</w:t>
                  </w:r>
                </w:p>
              </w:tc>
              <w:tc>
                <w:tcPr>
                  <w:tcW w:w="888" w:type="dxa"/>
                  <w:tcBorders>
                    <w:tl2br w:val="nil"/>
                    <w:tr2bl w:val="nil"/>
                  </w:tcBorders>
                  <w:shd w:val="clear" w:color="auto" w:fill="auto"/>
                  <w:vAlign w:val="center"/>
                </w:tcPr>
                <w:p w14:paraId="3C21299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mg/m</w:t>
                  </w:r>
                  <w:r>
                    <w:rPr>
                      <w:rFonts w:hint="eastAsia" w:cs="Times New Roman" w:eastAsiaTheme="minorEastAsia"/>
                      <w:color w:val="auto"/>
                      <w:sz w:val="21"/>
                      <w:szCs w:val="21"/>
                      <w:highlight w:val="none"/>
                      <w:vertAlign w:val="superscript"/>
                      <w:lang w:val="en-US" w:eastAsia="zh-CN"/>
                    </w:rPr>
                    <w:t>3</w:t>
                  </w:r>
                </w:p>
              </w:tc>
              <w:tc>
                <w:tcPr>
                  <w:tcW w:w="1475" w:type="dxa"/>
                  <w:tcBorders>
                    <w:tl2br w:val="nil"/>
                    <w:tr2bl w:val="nil"/>
                  </w:tcBorders>
                  <w:shd w:val="clear" w:color="auto" w:fill="auto"/>
                  <w:vAlign w:val="center"/>
                </w:tcPr>
                <w:p w14:paraId="7EA1356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0.362</w:t>
                  </w:r>
                </w:p>
              </w:tc>
              <w:tc>
                <w:tcPr>
                  <w:tcW w:w="1060" w:type="dxa"/>
                  <w:tcBorders>
                    <w:tl2br w:val="nil"/>
                    <w:tr2bl w:val="nil"/>
                  </w:tcBorders>
                  <w:shd w:val="clear" w:color="auto" w:fill="auto"/>
                  <w:vAlign w:val="center"/>
                </w:tcPr>
                <w:p w14:paraId="78DDA7D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0.5</w:t>
                  </w:r>
                </w:p>
              </w:tc>
            </w:tr>
            <w:tr w14:paraId="47E117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0AFD161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00" w:type="dxa"/>
                  <w:vMerge w:val="continue"/>
                  <w:tcBorders>
                    <w:tl2br w:val="nil"/>
                    <w:tr2bl w:val="nil"/>
                  </w:tcBorders>
                  <w:vAlign w:val="center"/>
                </w:tcPr>
                <w:p w14:paraId="4269B5F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400" w:type="dxa"/>
                  <w:tcBorders>
                    <w:tl2br w:val="nil"/>
                    <w:tr2bl w:val="nil"/>
                  </w:tcBorders>
                  <w:shd w:val="clear" w:color="auto" w:fill="auto"/>
                  <w:vAlign w:val="center"/>
                </w:tcPr>
                <w:p w14:paraId="7311D21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非甲烷总烃</w:t>
                  </w:r>
                </w:p>
              </w:tc>
              <w:tc>
                <w:tcPr>
                  <w:tcW w:w="888" w:type="dxa"/>
                  <w:tcBorders>
                    <w:tl2br w:val="nil"/>
                    <w:tr2bl w:val="nil"/>
                  </w:tcBorders>
                  <w:shd w:val="clear" w:color="auto" w:fill="auto"/>
                  <w:vAlign w:val="center"/>
                </w:tcPr>
                <w:p w14:paraId="0A16E64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mg/m</w:t>
                  </w:r>
                  <w:r>
                    <w:rPr>
                      <w:rFonts w:hint="eastAsia" w:cs="Times New Roman" w:eastAsiaTheme="minorEastAsia"/>
                      <w:color w:val="auto"/>
                      <w:sz w:val="21"/>
                      <w:szCs w:val="21"/>
                      <w:highlight w:val="none"/>
                      <w:vertAlign w:val="superscript"/>
                      <w:lang w:val="en-US" w:eastAsia="zh-CN"/>
                    </w:rPr>
                    <w:t>3</w:t>
                  </w:r>
                </w:p>
              </w:tc>
              <w:tc>
                <w:tcPr>
                  <w:tcW w:w="1475" w:type="dxa"/>
                  <w:tcBorders>
                    <w:tl2br w:val="nil"/>
                    <w:tr2bl w:val="nil"/>
                  </w:tcBorders>
                  <w:shd w:val="clear" w:color="auto" w:fill="auto"/>
                  <w:vAlign w:val="center"/>
                </w:tcPr>
                <w:p w14:paraId="24B3A2B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0.51</w:t>
                  </w:r>
                </w:p>
              </w:tc>
              <w:tc>
                <w:tcPr>
                  <w:tcW w:w="1060" w:type="dxa"/>
                  <w:tcBorders>
                    <w:tl2br w:val="nil"/>
                    <w:tr2bl w:val="nil"/>
                  </w:tcBorders>
                  <w:shd w:val="clear" w:color="auto" w:fill="auto"/>
                  <w:vAlign w:val="center"/>
                </w:tcPr>
                <w:p w14:paraId="7B58693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4.0</w:t>
                  </w:r>
                </w:p>
              </w:tc>
            </w:tr>
            <w:tr w14:paraId="24E59D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29A2CBF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00" w:type="dxa"/>
                  <w:vMerge w:val="restart"/>
                  <w:tcBorders>
                    <w:tl2br w:val="nil"/>
                    <w:tr2bl w:val="nil"/>
                  </w:tcBorders>
                  <w:vAlign w:val="center"/>
                </w:tcPr>
                <w:p w14:paraId="3BB2ECC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厂界下风向O3</w:t>
                  </w:r>
                </w:p>
              </w:tc>
              <w:tc>
                <w:tcPr>
                  <w:tcW w:w="2400" w:type="dxa"/>
                  <w:tcBorders>
                    <w:tl2br w:val="nil"/>
                    <w:tr2bl w:val="nil"/>
                  </w:tcBorders>
                  <w:shd w:val="clear" w:color="auto" w:fill="auto"/>
                  <w:vAlign w:val="center"/>
                </w:tcPr>
                <w:p w14:paraId="02A118D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氨</w:t>
                  </w:r>
                </w:p>
              </w:tc>
              <w:tc>
                <w:tcPr>
                  <w:tcW w:w="888" w:type="dxa"/>
                  <w:tcBorders>
                    <w:tl2br w:val="nil"/>
                    <w:tr2bl w:val="nil"/>
                  </w:tcBorders>
                  <w:shd w:val="clear" w:color="auto" w:fill="auto"/>
                  <w:vAlign w:val="center"/>
                </w:tcPr>
                <w:p w14:paraId="70ACD11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mg/m</w:t>
                  </w:r>
                  <w:r>
                    <w:rPr>
                      <w:rFonts w:hint="eastAsia" w:cs="Times New Roman" w:eastAsiaTheme="minorEastAsia"/>
                      <w:color w:val="auto"/>
                      <w:sz w:val="21"/>
                      <w:szCs w:val="21"/>
                      <w:highlight w:val="none"/>
                      <w:vertAlign w:val="superscript"/>
                      <w:lang w:val="en-US" w:eastAsia="zh-CN"/>
                    </w:rPr>
                    <w:t>3</w:t>
                  </w:r>
                </w:p>
              </w:tc>
              <w:tc>
                <w:tcPr>
                  <w:tcW w:w="1475" w:type="dxa"/>
                  <w:tcBorders>
                    <w:tl2br w:val="nil"/>
                    <w:tr2bl w:val="nil"/>
                  </w:tcBorders>
                  <w:shd w:val="clear" w:color="auto" w:fill="auto"/>
                  <w:vAlign w:val="center"/>
                </w:tcPr>
                <w:p w14:paraId="5130412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0.023~0.041</w:t>
                  </w:r>
                </w:p>
              </w:tc>
              <w:tc>
                <w:tcPr>
                  <w:tcW w:w="1060" w:type="dxa"/>
                  <w:tcBorders>
                    <w:tl2br w:val="nil"/>
                    <w:tr2bl w:val="nil"/>
                  </w:tcBorders>
                  <w:shd w:val="clear" w:color="auto" w:fill="auto"/>
                  <w:vAlign w:val="center"/>
                </w:tcPr>
                <w:p w14:paraId="472B652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p>
              </w:tc>
            </w:tr>
            <w:tr w14:paraId="01599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0F0CAD7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00" w:type="dxa"/>
                  <w:vMerge w:val="continue"/>
                  <w:tcBorders>
                    <w:tl2br w:val="nil"/>
                    <w:tr2bl w:val="nil"/>
                  </w:tcBorders>
                  <w:vAlign w:val="center"/>
                </w:tcPr>
                <w:p w14:paraId="5027056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400" w:type="dxa"/>
                  <w:tcBorders>
                    <w:tl2br w:val="nil"/>
                    <w:tr2bl w:val="nil"/>
                  </w:tcBorders>
                  <w:shd w:val="clear" w:color="auto" w:fill="auto"/>
                  <w:vAlign w:val="center"/>
                </w:tcPr>
                <w:p w14:paraId="45DC07C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硫化氢</w:t>
                  </w:r>
                </w:p>
              </w:tc>
              <w:tc>
                <w:tcPr>
                  <w:tcW w:w="888" w:type="dxa"/>
                  <w:tcBorders>
                    <w:tl2br w:val="nil"/>
                    <w:tr2bl w:val="nil"/>
                  </w:tcBorders>
                  <w:shd w:val="clear" w:color="auto" w:fill="auto"/>
                  <w:vAlign w:val="center"/>
                </w:tcPr>
                <w:p w14:paraId="2C45E84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mg/m</w:t>
                  </w:r>
                  <w:r>
                    <w:rPr>
                      <w:rFonts w:hint="eastAsia" w:cs="Times New Roman" w:eastAsiaTheme="minorEastAsia"/>
                      <w:color w:val="auto"/>
                      <w:sz w:val="21"/>
                      <w:szCs w:val="21"/>
                      <w:highlight w:val="none"/>
                      <w:vertAlign w:val="superscript"/>
                      <w:lang w:val="en-US" w:eastAsia="zh-CN"/>
                    </w:rPr>
                    <w:t>3</w:t>
                  </w:r>
                </w:p>
              </w:tc>
              <w:tc>
                <w:tcPr>
                  <w:tcW w:w="1475" w:type="dxa"/>
                  <w:tcBorders>
                    <w:tl2br w:val="nil"/>
                    <w:tr2bl w:val="nil"/>
                  </w:tcBorders>
                  <w:shd w:val="clear" w:color="auto" w:fill="auto"/>
                  <w:vAlign w:val="center"/>
                </w:tcPr>
                <w:p w14:paraId="08FFDCE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&lt;</w:t>
                  </w:r>
                  <w:r>
                    <w:rPr>
                      <w:rFonts w:hint="eastAsia" w:cs="Times New Roman" w:eastAsiaTheme="minorEastAsia"/>
                      <w:color w:val="auto"/>
                      <w:sz w:val="21"/>
                      <w:szCs w:val="21"/>
                      <w:highlight w:val="none"/>
                      <w:lang w:val="en-US" w:eastAsia="zh-CN"/>
                    </w:rPr>
                    <w:t>2</w:t>
                  </w:r>
                  <w:r>
                    <w:rPr>
                      <w:rFonts w:hint="default" w:ascii="Arial" w:hAnsi="Arial" w:cs="Arial" w:eastAsiaTheme="minorEastAsia"/>
                      <w:color w:val="auto"/>
                      <w:sz w:val="21"/>
                      <w:szCs w:val="21"/>
                      <w:highlight w:val="none"/>
                      <w:lang w:val="en-US" w:eastAsia="zh-CN"/>
                    </w:rPr>
                    <w:t>×</w:t>
                  </w:r>
                  <w:r>
                    <w:rPr>
                      <w:rFonts w:hint="eastAsia" w:cs="Times New Roman" w:eastAsiaTheme="minorEastAsia"/>
                      <w:color w:val="auto"/>
                      <w:sz w:val="21"/>
                      <w:szCs w:val="21"/>
                      <w:highlight w:val="none"/>
                      <w:lang w:val="en-US" w:eastAsia="zh-CN"/>
                    </w:rPr>
                    <w:t>10</w:t>
                  </w:r>
                  <w:r>
                    <w:rPr>
                      <w:rFonts w:hint="eastAsia" w:cs="Times New Roman" w:eastAsiaTheme="minorEastAsia"/>
                      <w:color w:val="auto"/>
                      <w:sz w:val="21"/>
                      <w:szCs w:val="21"/>
                      <w:highlight w:val="none"/>
                      <w:vertAlign w:val="superscript"/>
                      <w:lang w:val="en-US" w:eastAsia="zh-CN"/>
                    </w:rPr>
                    <w:t>-4</w:t>
                  </w:r>
                </w:p>
              </w:tc>
              <w:tc>
                <w:tcPr>
                  <w:tcW w:w="1060" w:type="dxa"/>
                  <w:tcBorders>
                    <w:tl2br w:val="nil"/>
                    <w:tr2bl w:val="nil"/>
                  </w:tcBorders>
                  <w:shd w:val="clear" w:color="auto" w:fill="auto"/>
                  <w:vAlign w:val="center"/>
                </w:tcPr>
                <w:p w14:paraId="107CFB2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0.06</w:t>
                  </w:r>
                </w:p>
              </w:tc>
            </w:tr>
            <w:tr w14:paraId="5811A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4E123D9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00" w:type="dxa"/>
                  <w:vMerge w:val="continue"/>
                  <w:tcBorders>
                    <w:tl2br w:val="nil"/>
                    <w:tr2bl w:val="nil"/>
                  </w:tcBorders>
                  <w:vAlign w:val="center"/>
                </w:tcPr>
                <w:p w14:paraId="287E81D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400" w:type="dxa"/>
                  <w:tcBorders>
                    <w:tl2br w:val="nil"/>
                    <w:tr2bl w:val="nil"/>
                  </w:tcBorders>
                  <w:shd w:val="clear" w:color="auto" w:fill="auto"/>
                  <w:vAlign w:val="center"/>
                </w:tcPr>
                <w:p w14:paraId="6F33BA9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臭气浓度</w:t>
                  </w:r>
                </w:p>
              </w:tc>
              <w:tc>
                <w:tcPr>
                  <w:tcW w:w="888" w:type="dxa"/>
                  <w:tcBorders>
                    <w:tl2br w:val="nil"/>
                    <w:tr2bl w:val="nil"/>
                  </w:tcBorders>
                  <w:shd w:val="clear" w:color="auto" w:fill="auto"/>
                  <w:vAlign w:val="center"/>
                </w:tcPr>
                <w:p w14:paraId="16D5897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无量纲</w:t>
                  </w:r>
                </w:p>
              </w:tc>
              <w:tc>
                <w:tcPr>
                  <w:tcW w:w="1475" w:type="dxa"/>
                  <w:tcBorders>
                    <w:tl2br w:val="nil"/>
                    <w:tr2bl w:val="nil"/>
                  </w:tcBorders>
                  <w:shd w:val="clear" w:color="auto" w:fill="auto"/>
                  <w:vAlign w:val="center"/>
                </w:tcPr>
                <w:p w14:paraId="3D5D20F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&lt;</w:t>
                  </w:r>
                  <w:r>
                    <w:rPr>
                      <w:rFonts w:hint="eastAsia" w:cs="Times New Roman" w:eastAsiaTheme="minorEastAsia"/>
                      <w:color w:val="auto"/>
                      <w:sz w:val="21"/>
                      <w:szCs w:val="21"/>
                      <w:highlight w:val="none"/>
                      <w:lang w:val="en-US" w:eastAsia="zh-CN"/>
                    </w:rPr>
                    <w:t>10</w:t>
                  </w:r>
                </w:p>
              </w:tc>
              <w:tc>
                <w:tcPr>
                  <w:tcW w:w="1060" w:type="dxa"/>
                  <w:tcBorders>
                    <w:tl2br w:val="nil"/>
                    <w:tr2bl w:val="nil"/>
                  </w:tcBorders>
                  <w:shd w:val="clear" w:color="auto" w:fill="auto"/>
                  <w:vAlign w:val="center"/>
                </w:tcPr>
                <w:p w14:paraId="1ACAE61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w:t>
                  </w:r>
                </w:p>
              </w:tc>
            </w:tr>
            <w:tr w14:paraId="7E839C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685A8EC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00" w:type="dxa"/>
                  <w:vMerge w:val="continue"/>
                  <w:tcBorders>
                    <w:tl2br w:val="nil"/>
                    <w:tr2bl w:val="nil"/>
                  </w:tcBorders>
                  <w:vAlign w:val="center"/>
                </w:tcPr>
                <w:p w14:paraId="31E7346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400" w:type="dxa"/>
                  <w:tcBorders>
                    <w:tl2br w:val="nil"/>
                    <w:tr2bl w:val="nil"/>
                  </w:tcBorders>
                  <w:shd w:val="clear" w:color="auto" w:fill="auto"/>
                  <w:vAlign w:val="center"/>
                </w:tcPr>
                <w:p w14:paraId="0B11002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颗粒物（与上风向差值）</w:t>
                  </w:r>
                </w:p>
              </w:tc>
              <w:tc>
                <w:tcPr>
                  <w:tcW w:w="888" w:type="dxa"/>
                  <w:tcBorders>
                    <w:tl2br w:val="nil"/>
                    <w:tr2bl w:val="nil"/>
                  </w:tcBorders>
                  <w:shd w:val="clear" w:color="auto" w:fill="auto"/>
                  <w:vAlign w:val="center"/>
                </w:tcPr>
                <w:p w14:paraId="5D6B376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mg/m</w:t>
                  </w:r>
                  <w:r>
                    <w:rPr>
                      <w:rFonts w:hint="eastAsia" w:cs="Times New Roman" w:eastAsiaTheme="minorEastAsia"/>
                      <w:color w:val="auto"/>
                      <w:sz w:val="21"/>
                      <w:szCs w:val="21"/>
                      <w:highlight w:val="none"/>
                      <w:vertAlign w:val="superscript"/>
                      <w:lang w:val="en-US" w:eastAsia="zh-CN"/>
                    </w:rPr>
                    <w:t>3</w:t>
                  </w:r>
                </w:p>
              </w:tc>
              <w:tc>
                <w:tcPr>
                  <w:tcW w:w="1475" w:type="dxa"/>
                  <w:tcBorders>
                    <w:tl2br w:val="nil"/>
                    <w:tr2bl w:val="nil"/>
                  </w:tcBorders>
                  <w:shd w:val="clear" w:color="auto" w:fill="auto"/>
                  <w:vAlign w:val="center"/>
                </w:tcPr>
                <w:p w14:paraId="7B9C8A5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0.170</w:t>
                  </w:r>
                </w:p>
              </w:tc>
              <w:tc>
                <w:tcPr>
                  <w:tcW w:w="1060" w:type="dxa"/>
                  <w:tcBorders>
                    <w:tl2br w:val="nil"/>
                    <w:tr2bl w:val="nil"/>
                  </w:tcBorders>
                  <w:shd w:val="clear" w:color="auto" w:fill="auto"/>
                  <w:vAlign w:val="center"/>
                </w:tcPr>
                <w:p w14:paraId="715C0D6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0.5</w:t>
                  </w:r>
                </w:p>
              </w:tc>
            </w:tr>
            <w:tr w14:paraId="5A7142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1EF990A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00" w:type="dxa"/>
                  <w:vMerge w:val="continue"/>
                  <w:tcBorders>
                    <w:tl2br w:val="nil"/>
                    <w:tr2bl w:val="nil"/>
                  </w:tcBorders>
                  <w:vAlign w:val="center"/>
                </w:tcPr>
                <w:p w14:paraId="04678E2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400" w:type="dxa"/>
                  <w:tcBorders>
                    <w:tl2br w:val="nil"/>
                    <w:tr2bl w:val="nil"/>
                  </w:tcBorders>
                  <w:shd w:val="clear" w:color="auto" w:fill="auto"/>
                  <w:vAlign w:val="center"/>
                </w:tcPr>
                <w:p w14:paraId="6C74E23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非甲烷总烃</w:t>
                  </w:r>
                </w:p>
              </w:tc>
              <w:tc>
                <w:tcPr>
                  <w:tcW w:w="888" w:type="dxa"/>
                  <w:tcBorders>
                    <w:tl2br w:val="nil"/>
                    <w:tr2bl w:val="nil"/>
                  </w:tcBorders>
                  <w:shd w:val="clear" w:color="auto" w:fill="auto"/>
                  <w:vAlign w:val="center"/>
                </w:tcPr>
                <w:p w14:paraId="251FA01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mg/m</w:t>
                  </w:r>
                  <w:r>
                    <w:rPr>
                      <w:rFonts w:hint="eastAsia" w:cs="Times New Roman" w:eastAsiaTheme="minorEastAsia"/>
                      <w:color w:val="auto"/>
                      <w:sz w:val="21"/>
                      <w:szCs w:val="21"/>
                      <w:highlight w:val="none"/>
                      <w:vertAlign w:val="superscript"/>
                      <w:lang w:val="en-US" w:eastAsia="zh-CN"/>
                    </w:rPr>
                    <w:t>3</w:t>
                  </w:r>
                </w:p>
              </w:tc>
              <w:tc>
                <w:tcPr>
                  <w:tcW w:w="1475" w:type="dxa"/>
                  <w:tcBorders>
                    <w:tl2br w:val="nil"/>
                    <w:tr2bl w:val="nil"/>
                  </w:tcBorders>
                  <w:shd w:val="clear" w:color="auto" w:fill="auto"/>
                  <w:vAlign w:val="center"/>
                </w:tcPr>
                <w:p w14:paraId="03F6DE5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0.48</w:t>
                  </w:r>
                </w:p>
              </w:tc>
              <w:tc>
                <w:tcPr>
                  <w:tcW w:w="1060" w:type="dxa"/>
                  <w:tcBorders>
                    <w:tl2br w:val="nil"/>
                    <w:tr2bl w:val="nil"/>
                  </w:tcBorders>
                  <w:shd w:val="clear" w:color="auto" w:fill="auto"/>
                  <w:vAlign w:val="center"/>
                </w:tcPr>
                <w:p w14:paraId="5B8EF7F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4.0</w:t>
                  </w:r>
                </w:p>
              </w:tc>
            </w:tr>
            <w:tr w14:paraId="01966C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34F03C4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00" w:type="dxa"/>
                  <w:vMerge w:val="restart"/>
                  <w:tcBorders>
                    <w:tl2br w:val="nil"/>
                    <w:tr2bl w:val="nil"/>
                  </w:tcBorders>
                  <w:vAlign w:val="center"/>
                </w:tcPr>
                <w:p w14:paraId="7ACAD6C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厂界下风向O4</w:t>
                  </w:r>
                </w:p>
              </w:tc>
              <w:tc>
                <w:tcPr>
                  <w:tcW w:w="2400" w:type="dxa"/>
                  <w:tcBorders>
                    <w:tl2br w:val="nil"/>
                    <w:tr2bl w:val="nil"/>
                  </w:tcBorders>
                  <w:shd w:val="clear" w:color="auto" w:fill="auto"/>
                  <w:vAlign w:val="center"/>
                </w:tcPr>
                <w:p w14:paraId="1F8F21E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氨</w:t>
                  </w:r>
                </w:p>
              </w:tc>
              <w:tc>
                <w:tcPr>
                  <w:tcW w:w="888" w:type="dxa"/>
                  <w:tcBorders>
                    <w:tl2br w:val="nil"/>
                    <w:tr2bl w:val="nil"/>
                  </w:tcBorders>
                  <w:shd w:val="clear" w:color="auto" w:fill="auto"/>
                  <w:vAlign w:val="center"/>
                </w:tcPr>
                <w:p w14:paraId="453A95A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mg/m</w:t>
                  </w:r>
                  <w:r>
                    <w:rPr>
                      <w:rFonts w:hint="eastAsia" w:cs="Times New Roman" w:eastAsiaTheme="minorEastAsia"/>
                      <w:color w:val="auto"/>
                      <w:sz w:val="21"/>
                      <w:szCs w:val="21"/>
                      <w:highlight w:val="none"/>
                      <w:vertAlign w:val="superscript"/>
                      <w:lang w:val="en-US" w:eastAsia="zh-CN"/>
                    </w:rPr>
                    <w:t>3</w:t>
                  </w:r>
                </w:p>
              </w:tc>
              <w:tc>
                <w:tcPr>
                  <w:tcW w:w="1475" w:type="dxa"/>
                  <w:tcBorders>
                    <w:tl2br w:val="nil"/>
                    <w:tr2bl w:val="nil"/>
                  </w:tcBorders>
                  <w:shd w:val="clear" w:color="auto" w:fill="auto"/>
                  <w:vAlign w:val="center"/>
                </w:tcPr>
                <w:p w14:paraId="784E79F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0.029~0.067</w:t>
                  </w:r>
                </w:p>
              </w:tc>
              <w:tc>
                <w:tcPr>
                  <w:tcW w:w="1060" w:type="dxa"/>
                  <w:tcBorders>
                    <w:tl2br w:val="nil"/>
                    <w:tr2bl w:val="nil"/>
                  </w:tcBorders>
                  <w:vAlign w:val="center"/>
                </w:tcPr>
                <w:p w14:paraId="19FDCFE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r w14:paraId="232A1B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6C03810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00" w:type="dxa"/>
                  <w:vMerge w:val="continue"/>
                  <w:tcBorders>
                    <w:tl2br w:val="nil"/>
                    <w:tr2bl w:val="nil"/>
                  </w:tcBorders>
                  <w:vAlign w:val="center"/>
                </w:tcPr>
                <w:p w14:paraId="54E0868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400" w:type="dxa"/>
                  <w:tcBorders>
                    <w:tl2br w:val="nil"/>
                    <w:tr2bl w:val="nil"/>
                  </w:tcBorders>
                  <w:shd w:val="clear" w:color="auto" w:fill="auto"/>
                  <w:vAlign w:val="center"/>
                </w:tcPr>
                <w:p w14:paraId="7269688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硫化氢</w:t>
                  </w:r>
                </w:p>
              </w:tc>
              <w:tc>
                <w:tcPr>
                  <w:tcW w:w="888" w:type="dxa"/>
                  <w:tcBorders>
                    <w:tl2br w:val="nil"/>
                    <w:tr2bl w:val="nil"/>
                  </w:tcBorders>
                  <w:shd w:val="clear" w:color="auto" w:fill="auto"/>
                  <w:vAlign w:val="center"/>
                </w:tcPr>
                <w:p w14:paraId="2FE7F2E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mg/m</w:t>
                  </w:r>
                  <w:r>
                    <w:rPr>
                      <w:rFonts w:hint="eastAsia" w:cs="Times New Roman" w:eastAsiaTheme="minorEastAsia"/>
                      <w:color w:val="auto"/>
                      <w:sz w:val="21"/>
                      <w:szCs w:val="21"/>
                      <w:highlight w:val="none"/>
                      <w:vertAlign w:val="superscript"/>
                      <w:lang w:val="en-US" w:eastAsia="zh-CN"/>
                    </w:rPr>
                    <w:t>3</w:t>
                  </w:r>
                </w:p>
              </w:tc>
              <w:tc>
                <w:tcPr>
                  <w:tcW w:w="1475" w:type="dxa"/>
                  <w:tcBorders>
                    <w:tl2br w:val="nil"/>
                    <w:tr2bl w:val="nil"/>
                  </w:tcBorders>
                  <w:shd w:val="clear" w:color="auto" w:fill="auto"/>
                  <w:vAlign w:val="center"/>
                </w:tcPr>
                <w:p w14:paraId="6A4B326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&lt;</w:t>
                  </w:r>
                  <w:r>
                    <w:rPr>
                      <w:rFonts w:hint="eastAsia" w:cs="Times New Roman" w:eastAsiaTheme="minorEastAsia"/>
                      <w:color w:val="auto"/>
                      <w:sz w:val="21"/>
                      <w:szCs w:val="21"/>
                      <w:highlight w:val="none"/>
                      <w:lang w:val="en-US" w:eastAsia="zh-CN"/>
                    </w:rPr>
                    <w:t>2</w:t>
                  </w:r>
                  <w:r>
                    <w:rPr>
                      <w:rFonts w:hint="default" w:ascii="Arial" w:hAnsi="Arial" w:cs="Arial" w:eastAsiaTheme="minorEastAsia"/>
                      <w:color w:val="auto"/>
                      <w:sz w:val="21"/>
                      <w:szCs w:val="21"/>
                      <w:highlight w:val="none"/>
                      <w:lang w:val="en-US" w:eastAsia="zh-CN"/>
                    </w:rPr>
                    <w:t>×</w:t>
                  </w:r>
                  <w:r>
                    <w:rPr>
                      <w:rFonts w:hint="eastAsia" w:cs="Times New Roman" w:eastAsiaTheme="minorEastAsia"/>
                      <w:color w:val="auto"/>
                      <w:sz w:val="21"/>
                      <w:szCs w:val="21"/>
                      <w:highlight w:val="none"/>
                      <w:lang w:val="en-US" w:eastAsia="zh-CN"/>
                    </w:rPr>
                    <w:t>10</w:t>
                  </w:r>
                  <w:r>
                    <w:rPr>
                      <w:rFonts w:hint="eastAsia" w:cs="Times New Roman" w:eastAsiaTheme="minorEastAsia"/>
                      <w:color w:val="auto"/>
                      <w:sz w:val="21"/>
                      <w:szCs w:val="21"/>
                      <w:highlight w:val="none"/>
                      <w:vertAlign w:val="superscript"/>
                      <w:lang w:val="en-US" w:eastAsia="zh-CN"/>
                    </w:rPr>
                    <w:t>-4</w:t>
                  </w:r>
                </w:p>
              </w:tc>
              <w:tc>
                <w:tcPr>
                  <w:tcW w:w="1060" w:type="dxa"/>
                  <w:tcBorders>
                    <w:tl2br w:val="nil"/>
                    <w:tr2bl w:val="nil"/>
                  </w:tcBorders>
                  <w:vAlign w:val="center"/>
                </w:tcPr>
                <w:p w14:paraId="03144F9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0.06</w:t>
                  </w:r>
                </w:p>
              </w:tc>
            </w:tr>
            <w:tr w14:paraId="57B0B4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6A17158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00" w:type="dxa"/>
                  <w:vMerge w:val="continue"/>
                  <w:tcBorders>
                    <w:tl2br w:val="nil"/>
                    <w:tr2bl w:val="nil"/>
                  </w:tcBorders>
                  <w:vAlign w:val="center"/>
                </w:tcPr>
                <w:p w14:paraId="3F211DF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400" w:type="dxa"/>
                  <w:tcBorders>
                    <w:tl2br w:val="nil"/>
                    <w:tr2bl w:val="nil"/>
                  </w:tcBorders>
                  <w:shd w:val="clear" w:color="auto" w:fill="auto"/>
                  <w:vAlign w:val="center"/>
                </w:tcPr>
                <w:p w14:paraId="2ADAA02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臭气浓度</w:t>
                  </w:r>
                </w:p>
              </w:tc>
              <w:tc>
                <w:tcPr>
                  <w:tcW w:w="888" w:type="dxa"/>
                  <w:tcBorders>
                    <w:tl2br w:val="nil"/>
                    <w:tr2bl w:val="nil"/>
                  </w:tcBorders>
                  <w:shd w:val="clear" w:color="auto" w:fill="auto"/>
                  <w:vAlign w:val="center"/>
                </w:tcPr>
                <w:p w14:paraId="0D2AE65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无量纲</w:t>
                  </w:r>
                </w:p>
              </w:tc>
              <w:tc>
                <w:tcPr>
                  <w:tcW w:w="1475" w:type="dxa"/>
                  <w:tcBorders>
                    <w:tl2br w:val="nil"/>
                    <w:tr2bl w:val="nil"/>
                  </w:tcBorders>
                  <w:shd w:val="clear" w:color="auto" w:fill="auto"/>
                  <w:vAlign w:val="center"/>
                </w:tcPr>
                <w:p w14:paraId="540B1A7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&lt;</w:t>
                  </w:r>
                  <w:r>
                    <w:rPr>
                      <w:rFonts w:hint="eastAsia" w:cs="Times New Roman" w:eastAsiaTheme="minorEastAsia"/>
                      <w:color w:val="auto"/>
                      <w:sz w:val="21"/>
                      <w:szCs w:val="21"/>
                      <w:highlight w:val="none"/>
                      <w:lang w:val="en-US" w:eastAsia="zh-CN"/>
                    </w:rPr>
                    <w:t>10</w:t>
                  </w:r>
                </w:p>
              </w:tc>
              <w:tc>
                <w:tcPr>
                  <w:tcW w:w="1060" w:type="dxa"/>
                  <w:tcBorders>
                    <w:tl2br w:val="nil"/>
                    <w:tr2bl w:val="nil"/>
                  </w:tcBorders>
                  <w:vAlign w:val="center"/>
                </w:tcPr>
                <w:p w14:paraId="23C974E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r>
            <w:tr w14:paraId="55734E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2CFFF28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00" w:type="dxa"/>
                  <w:vMerge w:val="continue"/>
                  <w:tcBorders>
                    <w:tl2br w:val="nil"/>
                    <w:tr2bl w:val="nil"/>
                  </w:tcBorders>
                  <w:vAlign w:val="center"/>
                </w:tcPr>
                <w:p w14:paraId="116A3CE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400" w:type="dxa"/>
                  <w:tcBorders>
                    <w:tl2br w:val="nil"/>
                    <w:tr2bl w:val="nil"/>
                  </w:tcBorders>
                  <w:shd w:val="clear" w:color="auto" w:fill="auto"/>
                  <w:vAlign w:val="center"/>
                </w:tcPr>
                <w:p w14:paraId="077BB47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颗粒物（与上风向差值）</w:t>
                  </w:r>
                </w:p>
              </w:tc>
              <w:tc>
                <w:tcPr>
                  <w:tcW w:w="888" w:type="dxa"/>
                  <w:tcBorders>
                    <w:tl2br w:val="nil"/>
                    <w:tr2bl w:val="nil"/>
                  </w:tcBorders>
                  <w:shd w:val="clear" w:color="auto" w:fill="auto"/>
                  <w:vAlign w:val="center"/>
                </w:tcPr>
                <w:p w14:paraId="36EC769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mg/m</w:t>
                  </w:r>
                  <w:r>
                    <w:rPr>
                      <w:rFonts w:hint="eastAsia" w:cs="Times New Roman" w:eastAsiaTheme="minorEastAsia"/>
                      <w:color w:val="auto"/>
                      <w:sz w:val="21"/>
                      <w:szCs w:val="21"/>
                      <w:highlight w:val="none"/>
                      <w:vertAlign w:val="superscript"/>
                      <w:lang w:val="en-US" w:eastAsia="zh-CN"/>
                    </w:rPr>
                    <w:t>3</w:t>
                  </w:r>
                </w:p>
              </w:tc>
              <w:tc>
                <w:tcPr>
                  <w:tcW w:w="1475" w:type="dxa"/>
                  <w:tcBorders>
                    <w:tl2br w:val="nil"/>
                    <w:tr2bl w:val="nil"/>
                  </w:tcBorders>
                  <w:shd w:val="clear" w:color="auto" w:fill="auto"/>
                  <w:vAlign w:val="center"/>
                </w:tcPr>
                <w:p w14:paraId="339E37C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0.039</w:t>
                  </w:r>
                </w:p>
              </w:tc>
              <w:tc>
                <w:tcPr>
                  <w:tcW w:w="1060" w:type="dxa"/>
                  <w:tcBorders>
                    <w:tl2br w:val="nil"/>
                    <w:tr2bl w:val="nil"/>
                  </w:tcBorders>
                  <w:vAlign w:val="center"/>
                </w:tcPr>
                <w:p w14:paraId="1A291F8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w:t>
                  </w:r>
                </w:p>
              </w:tc>
            </w:tr>
            <w:tr w14:paraId="7A621F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vAlign w:val="center"/>
                </w:tcPr>
                <w:p w14:paraId="00ECC91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00" w:type="dxa"/>
                  <w:vMerge w:val="continue"/>
                  <w:tcBorders>
                    <w:tl2br w:val="nil"/>
                    <w:tr2bl w:val="nil"/>
                  </w:tcBorders>
                  <w:vAlign w:val="center"/>
                </w:tcPr>
                <w:p w14:paraId="35F8D66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400" w:type="dxa"/>
                  <w:tcBorders>
                    <w:tl2br w:val="nil"/>
                    <w:tr2bl w:val="nil"/>
                  </w:tcBorders>
                  <w:shd w:val="clear" w:color="auto" w:fill="auto"/>
                  <w:vAlign w:val="center"/>
                </w:tcPr>
                <w:p w14:paraId="52D26B3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非甲烷总烃</w:t>
                  </w:r>
                </w:p>
              </w:tc>
              <w:tc>
                <w:tcPr>
                  <w:tcW w:w="888" w:type="dxa"/>
                  <w:tcBorders>
                    <w:tl2br w:val="nil"/>
                    <w:tr2bl w:val="nil"/>
                  </w:tcBorders>
                  <w:shd w:val="clear" w:color="auto" w:fill="auto"/>
                  <w:vAlign w:val="center"/>
                </w:tcPr>
                <w:p w14:paraId="6E5A593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mg/m</w:t>
                  </w:r>
                  <w:r>
                    <w:rPr>
                      <w:rFonts w:hint="eastAsia" w:cs="Times New Roman" w:eastAsiaTheme="minorEastAsia"/>
                      <w:color w:val="auto"/>
                      <w:sz w:val="21"/>
                      <w:szCs w:val="21"/>
                      <w:highlight w:val="none"/>
                      <w:vertAlign w:val="superscript"/>
                      <w:lang w:val="en-US" w:eastAsia="zh-CN"/>
                    </w:rPr>
                    <w:t>3</w:t>
                  </w:r>
                </w:p>
              </w:tc>
              <w:tc>
                <w:tcPr>
                  <w:tcW w:w="1475" w:type="dxa"/>
                  <w:tcBorders>
                    <w:tl2br w:val="nil"/>
                    <w:tr2bl w:val="nil"/>
                  </w:tcBorders>
                  <w:shd w:val="clear" w:color="auto" w:fill="auto"/>
                  <w:vAlign w:val="center"/>
                </w:tcPr>
                <w:p w14:paraId="59D152E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0.52</w:t>
                  </w:r>
                </w:p>
              </w:tc>
              <w:tc>
                <w:tcPr>
                  <w:tcW w:w="1060" w:type="dxa"/>
                  <w:tcBorders>
                    <w:tl2br w:val="nil"/>
                    <w:tr2bl w:val="nil"/>
                  </w:tcBorders>
                  <w:vAlign w:val="center"/>
                </w:tcPr>
                <w:p w14:paraId="0832657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w:t>
                  </w:r>
                </w:p>
              </w:tc>
            </w:tr>
          </w:tbl>
          <w:p w14:paraId="732BD83A">
            <w:pPr>
              <w:pStyle w:val="27"/>
              <w:numPr>
                <w:ilvl w:val="0"/>
                <w:numId w:val="0"/>
              </w:numPr>
              <w:spacing w:line="360" w:lineRule="auto"/>
              <w:ind w:right="86" w:rightChars="0" w:firstLine="480" w:firstLineChars="200"/>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由表2-15监测结果可以看出，项目厂界氨、颗粒物的无组织监控点浓度符合《水泥工业大气污染物排放标准》（GB4915-2013）表3大气污染物无组织排放限值要求；硫化氢、臭气浓度的无组织监控点浓度最大值符合《恶臭污染物排放标准》（GB14554-1993）表1恶臭污染物厂界标准值二级要求；非甲烷总烃无组织监控点周界外浓度最高点符合《大气污染物综合排放标准》（GB16297-1996）表2新污染源大气污染物排放限值要求。</w:t>
            </w:r>
          </w:p>
          <w:p w14:paraId="08122E90">
            <w:pPr>
              <w:pStyle w:val="27"/>
              <w:numPr>
                <w:ilvl w:val="0"/>
                <w:numId w:val="7"/>
              </w:numPr>
              <w:spacing w:line="360" w:lineRule="auto"/>
              <w:ind w:left="0" w:leftChars="0" w:right="86" w:rightChars="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废水</w:t>
            </w:r>
          </w:p>
          <w:p w14:paraId="62C71B8B">
            <w:pPr>
              <w:pStyle w:val="27"/>
              <w:numPr>
                <w:ilvl w:val="0"/>
                <w:numId w:val="0"/>
              </w:numPr>
              <w:spacing w:line="360" w:lineRule="auto"/>
              <w:ind w:right="86" w:rightChars="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根据建设单位提供的</w:t>
            </w:r>
            <w:r>
              <w:rPr>
                <w:rFonts w:hint="eastAsia" w:ascii="Times New Roman" w:hAnsi="Times New Roman" w:cs="Times New Roman"/>
                <w:color w:val="auto"/>
                <w:sz w:val="24"/>
                <w:highlight w:val="none"/>
                <w:lang w:val="en-US" w:eastAsia="zh-CN"/>
              </w:rPr>
              <w:t>2024</w:t>
            </w:r>
            <w:r>
              <w:rPr>
                <w:rFonts w:hint="eastAsia" w:ascii="Times New Roman" w:hAnsi="Times New Roman" w:eastAsia="宋体" w:cs="Times New Roman"/>
                <w:color w:val="auto"/>
                <w:sz w:val="24"/>
                <w:highlight w:val="none"/>
                <w:lang w:val="en-US" w:eastAsia="zh-CN"/>
              </w:rPr>
              <w:t>年度第四季度污水处理站自行监测报告，项目污水处理站出口水质监测结果见表2-1</w:t>
            </w:r>
            <w:r>
              <w:rPr>
                <w:rFonts w:hint="eastAsia" w:ascii="Times New Roman" w:hAnsi="Times New Roman" w:cs="Times New Roman"/>
                <w:color w:val="auto"/>
                <w:sz w:val="24"/>
                <w:highlight w:val="none"/>
                <w:lang w:val="en-US" w:eastAsia="zh-CN"/>
              </w:rPr>
              <w:t>6</w:t>
            </w:r>
            <w:r>
              <w:rPr>
                <w:rFonts w:hint="eastAsia" w:ascii="Times New Roman" w:hAnsi="Times New Roman" w:eastAsia="宋体" w:cs="Times New Roman"/>
                <w:color w:val="auto"/>
                <w:sz w:val="24"/>
                <w:highlight w:val="none"/>
                <w:lang w:val="en-US" w:eastAsia="zh-CN"/>
              </w:rPr>
              <w:t>。</w:t>
            </w:r>
          </w:p>
          <w:p w14:paraId="0F226316">
            <w:pPr>
              <w:pStyle w:val="27"/>
              <w:numPr>
                <w:ilvl w:val="0"/>
                <w:numId w:val="0"/>
              </w:numPr>
              <w:spacing w:line="240" w:lineRule="auto"/>
              <w:ind w:right="86" w:rightChars="0" w:firstLine="422" w:firstLineChars="20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表2-1</w:t>
            </w:r>
            <w:r>
              <w:rPr>
                <w:rFonts w:hint="eastAsia" w:ascii="Times New Roman" w:hAnsi="Times New Roman" w:cs="Times New Roman" w:eastAsiaTheme="minorEastAsia"/>
                <w:b/>
                <w:bCs/>
                <w:color w:val="auto"/>
                <w:sz w:val="21"/>
                <w:szCs w:val="21"/>
                <w:highlight w:val="none"/>
                <w:lang w:val="en-US" w:eastAsia="zh-CN"/>
              </w:rPr>
              <w:t>6</w:t>
            </w:r>
            <w:r>
              <w:rPr>
                <w:rFonts w:hint="default" w:ascii="Times New Roman" w:hAnsi="Times New Roman" w:cs="Times New Roman" w:eastAsiaTheme="minorEastAsia"/>
                <w:b/>
                <w:bCs/>
                <w:color w:val="auto"/>
                <w:sz w:val="21"/>
                <w:szCs w:val="21"/>
                <w:highlight w:val="none"/>
                <w:lang w:val="en-US" w:eastAsia="zh-CN"/>
              </w:rPr>
              <w:t xml:space="preserve">  </w:t>
            </w:r>
            <w:r>
              <w:rPr>
                <w:rFonts w:hint="eastAsia" w:ascii="Times New Roman" w:hAnsi="Times New Roman" w:cs="Times New Roman" w:eastAsiaTheme="minorEastAsia"/>
                <w:b/>
                <w:bCs/>
                <w:color w:val="auto"/>
                <w:sz w:val="21"/>
                <w:szCs w:val="21"/>
                <w:highlight w:val="none"/>
                <w:lang w:val="en-US" w:eastAsia="zh-CN"/>
              </w:rPr>
              <w:t>项目2023年第四季度污水处理站出口水质监测结果表</w:t>
            </w:r>
          </w:p>
          <w:tbl>
            <w:tblPr>
              <w:tblStyle w:val="20"/>
              <w:tblW w:w="80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612"/>
              <w:gridCol w:w="1700"/>
              <w:gridCol w:w="3623"/>
            </w:tblGrid>
            <w:tr w14:paraId="16B5E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tcBorders>
                    <w:tl2br w:val="nil"/>
                    <w:tr2bl w:val="nil"/>
                  </w:tcBorders>
                  <w:vAlign w:val="center"/>
                </w:tcPr>
                <w:p w14:paraId="0C60107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监测时间</w:t>
                  </w:r>
                </w:p>
              </w:tc>
              <w:tc>
                <w:tcPr>
                  <w:tcW w:w="1612" w:type="dxa"/>
                  <w:tcBorders>
                    <w:tl2br w:val="nil"/>
                    <w:tr2bl w:val="nil"/>
                  </w:tcBorders>
                  <w:vAlign w:val="center"/>
                </w:tcPr>
                <w:p w14:paraId="5B23F36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监测位置</w:t>
                  </w:r>
                </w:p>
              </w:tc>
              <w:tc>
                <w:tcPr>
                  <w:tcW w:w="1700" w:type="dxa"/>
                  <w:tcBorders>
                    <w:tl2br w:val="nil"/>
                    <w:tr2bl w:val="nil"/>
                  </w:tcBorders>
                  <w:vAlign w:val="center"/>
                </w:tcPr>
                <w:p w14:paraId="66BE25C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监测项目</w:t>
                  </w:r>
                </w:p>
              </w:tc>
              <w:tc>
                <w:tcPr>
                  <w:tcW w:w="3623" w:type="dxa"/>
                  <w:tcBorders>
                    <w:tl2br w:val="nil"/>
                    <w:tr2bl w:val="nil"/>
                  </w:tcBorders>
                  <w:vAlign w:val="center"/>
                </w:tcPr>
                <w:p w14:paraId="3801E57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cs="Times New Roman" w:eastAsiaTheme="minorEastAsia"/>
                      <w:b/>
                      <w:bCs/>
                      <w:color w:val="auto"/>
                      <w:sz w:val="21"/>
                      <w:szCs w:val="21"/>
                      <w:highlight w:val="none"/>
                      <w:lang w:val="en-US" w:eastAsia="zh-CN"/>
                    </w:rPr>
                    <w:t>监测结果mg/L（pH除外）</w:t>
                  </w:r>
                </w:p>
              </w:tc>
            </w:tr>
            <w:tr w14:paraId="5EFEE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restart"/>
                  <w:tcBorders>
                    <w:tl2br w:val="nil"/>
                    <w:tr2bl w:val="nil"/>
                  </w:tcBorders>
                  <w:vAlign w:val="center"/>
                </w:tcPr>
                <w:p w14:paraId="1060B0D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2024年第四季度</w:t>
                  </w:r>
                </w:p>
              </w:tc>
              <w:tc>
                <w:tcPr>
                  <w:tcW w:w="1612" w:type="dxa"/>
                  <w:vMerge w:val="restart"/>
                  <w:tcBorders>
                    <w:tl2br w:val="nil"/>
                    <w:tr2bl w:val="nil"/>
                  </w:tcBorders>
                  <w:vAlign w:val="center"/>
                </w:tcPr>
                <w:p w14:paraId="3946378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污水处理站出口</w:t>
                  </w:r>
                </w:p>
              </w:tc>
              <w:tc>
                <w:tcPr>
                  <w:tcW w:w="1700" w:type="dxa"/>
                  <w:tcBorders>
                    <w:tl2br w:val="nil"/>
                    <w:tr2bl w:val="nil"/>
                  </w:tcBorders>
                  <w:vAlign w:val="center"/>
                </w:tcPr>
                <w:p w14:paraId="2ABA5FB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pH</w:t>
                  </w:r>
                </w:p>
              </w:tc>
              <w:tc>
                <w:tcPr>
                  <w:tcW w:w="3623" w:type="dxa"/>
                  <w:tcBorders>
                    <w:tl2br w:val="nil"/>
                    <w:tr2bl w:val="nil"/>
                  </w:tcBorders>
                  <w:vAlign w:val="center"/>
                </w:tcPr>
                <w:p w14:paraId="27C1246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8.1~8.2</w:t>
                  </w:r>
                </w:p>
              </w:tc>
            </w:tr>
            <w:tr w14:paraId="0B805C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continue"/>
                  <w:tcBorders>
                    <w:tl2br w:val="nil"/>
                    <w:tr2bl w:val="nil"/>
                  </w:tcBorders>
                  <w:vAlign w:val="center"/>
                </w:tcPr>
                <w:p w14:paraId="7FEF739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612" w:type="dxa"/>
                  <w:vMerge w:val="continue"/>
                  <w:tcBorders>
                    <w:tl2br w:val="nil"/>
                    <w:tr2bl w:val="nil"/>
                  </w:tcBorders>
                  <w:vAlign w:val="center"/>
                </w:tcPr>
                <w:p w14:paraId="789DB64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700" w:type="dxa"/>
                  <w:tcBorders>
                    <w:tl2br w:val="nil"/>
                    <w:tr2bl w:val="nil"/>
                  </w:tcBorders>
                  <w:vAlign w:val="center"/>
                </w:tcPr>
                <w:p w14:paraId="49CA091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氨氮</w:t>
                  </w:r>
                </w:p>
              </w:tc>
              <w:tc>
                <w:tcPr>
                  <w:tcW w:w="3623" w:type="dxa"/>
                  <w:tcBorders>
                    <w:tl2br w:val="nil"/>
                    <w:tr2bl w:val="nil"/>
                  </w:tcBorders>
                  <w:vAlign w:val="center"/>
                </w:tcPr>
                <w:p w14:paraId="1F76F95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0.037~0.042</w:t>
                  </w:r>
                </w:p>
              </w:tc>
            </w:tr>
            <w:tr w14:paraId="75F27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continue"/>
                  <w:tcBorders>
                    <w:tl2br w:val="nil"/>
                    <w:tr2bl w:val="nil"/>
                  </w:tcBorders>
                  <w:vAlign w:val="center"/>
                </w:tcPr>
                <w:p w14:paraId="61CBA88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612" w:type="dxa"/>
                  <w:vMerge w:val="continue"/>
                  <w:tcBorders>
                    <w:tl2br w:val="nil"/>
                    <w:tr2bl w:val="nil"/>
                  </w:tcBorders>
                  <w:vAlign w:val="center"/>
                </w:tcPr>
                <w:p w14:paraId="44E1018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700" w:type="dxa"/>
                  <w:tcBorders>
                    <w:tl2br w:val="nil"/>
                    <w:tr2bl w:val="nil"/>
                  </w:tcBorders>
                  <w:vAlign w:val="center"/>
                </w:tcPr>
                <w:p w14:paraId="18B63A4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悬浮物</w:t>
                  </w:r>
                </w:p>
              </w:tc>
              <w:tc>
                <w:tcPr>
                  <w:tcW w:w="3623" w:type="dxa"/>
                  <w:tcBorders>
                    <w:tl2br w:val="nil"/>
                    <w:tr2bl w:val="nil"/>
                  </w:tcBorders>
                  <w:vAlign w:val="center"/>
                </w:tcPr>
                <w:p w14:paraId="1FD3BE5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21~26</w:t>
                  </w:r>
                </w:p>
              </w:tc>
            </w:tr>
            <w:tr w14:paraId="6AEED4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continue"/>
                  <w:tcBorders>
                    <w:tl2br w:val="nil"/>
                    <w:tr2bl w:val="nil"/>
                  </w:tcBorders>
                  <w:vAlign w:val="center"/>
                </w:tcPr>
                <w:p w14:paraId="3FF7315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612" w:type="dxa"/>
                  <w:vMerge w:val="continue"/>
                  <w:tcBorders>
                    <w:tl2br w:val="nil"/>
                    <w:tr2bl w:val="nil"/>
                  </w:tcBorders>
                  <w:vAlign w:val="center"/>
                </w:tcPr>
                <w:p w14:paraId="7407048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700" w:type="dxa"/>
                  <w:tcBorders>
                    <w:tl2br w:val="nil"/>
                    <w:tr2bl w:val="nil"/>
                  </w:tcBorders>
                  <w:vAlign w:val="center"/>
                </w:tcPr>
                <w:p w14:paraId="1F87167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COD</w:t>
                  </w:r>
                </w:p>
              </w:tc>
              <w:tc>
                <w:tcPr>
                  <w:tcW w:w="3623" w:type="dxa"/>
                  <w:tcBorders>
                    <w:tl2br w:val="nil"/>
                    <w:tr2bl w:val="nil"/>
                  </w:tcBorders>
                  <w:vAlign w:val="center"/>
                </w:tcPr>
                <w:p w14:paraId="4A536D7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ND</w:t>
                  </w:r>
                </w:p>
              </w:tc>
            </w:tr>
            <w:tr w14:paraId="0618E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continue"/>
                  <w:tcBorders>
                    <w:tl2br w:val="nil"/>
                    <w:tr2bl w:val="nil"/>
                  </w:tcBorders>
                  <w:vAlign w:val="center"/>
                </w:tcPr>
                <w:p w14:paraId="54FD337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612" w:type="dxa"/>
                  <w:vMerge w:val="continue"/>
                  <w:tcBorders>
                    <w:tl2br w:val="nil"/>
                    <w:tr2bl w:val="nil"/>
                  </w:tcBorders>
                  <w:vAlign w:val="center"/>
                </w:tcPr>
                <w:p w14:paraId="7E6095F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700" w:type="dxa"/>
                  <w:tcBorders>
                    <w:tl2br w:val="nil"/>
                    <w:tr2bl w:val="nil"/>
                  </w:tcBorders>
                  <w:vAlign w:val="center"/>
                </w:tcPr>
                <w:p w14:paraId="3F9F2D2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BOD</w:t>
                  </w:r>
                  <w:r>
                    <w:rPr>
                      <w:rFonts w:hint="eastAsia" w:cs="Times New Roman" w:eastAsiaTheme="minorEastAsia"/>
                      <w:color w:val="auto"/>
                      <w:sz w:val="21"/>
                      <w:szCs w:val="21"/>
                      <w:highlight w:val="none"/>
                      <w:vertAlign w:val="subscript"/>
                      <w:lang w:val="en-US" w:eastAsia="zh-CN"/>
                    </w:rPr>
                    <w:t>5</w:t>
                  </w:r>
                </w:p>
              </w:tc>
              <w:tc>
                <w:tcPr>
                  <w:tcW w:w="3623" w:type="dxa"/>
                  <w:tcBorders>
                    <w:tl2br w:val="nil"/>
                    <w:tr2bl w:val="nil"/>
                  </w:tcBorders>
                  <w:vAlign w:val="center"/>
                </w:tcPr>
                <w:p w14:paraId="17FC0D1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0.6~0.7</w:t>
                  </w:r>
                </w:p>
              </w:tc>
            </w:tr>
            <w:tr w14:paraId="0C8C6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continue"/>
                  <w:tcBorders>
                    <w:tl2br w:val="nil"/>
                    <w:tr2bl w:val="nil"/>
                  </w:tcBorders>
                  <w:vAlign w:val="center"/>
                </w:tcPr>
                <w:p w14:paraId="3320057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612" w:type="dxa"/>
                  <w:vMerge w:val="continue"/>
                  <w:tcBorders>
                    <w:tl2br w:val="nil"/>
                    <w:tr2bl w:val="nil"/>
                  </w:tcBorders>
                  <w:vAlign w:val="center"/>
                </w:tcPr>
                <w:p w14:paraId="25AB90C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700" w:type="dxa"/>
                  <w:tcBorders>
                    <w:tl2br w:val="nil"/>
                    <w:tr2bl w:val="nil"/>
                  </w:tcBorders>
                  <w:vAlign w:val="center"/>
                </w:tcPr>
                <w:p w14:paraId="0D52AFF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TP</w:t>
                  </w:r>
                </w:p>
              </w:tc>
              <w:tc>
                <w:tcPr>
                  <w:tcW w:w="3623" w:type="dxa"/>
                  <w:tcBorders>
                    <w:tl2br w:val="nil"/>
                    <w:tr2bl w:val="nil"/>
                  </w:tcBorders>
                  <w:vAlign w:val="center"/>
                </w:tcPr>
                <w:p w14:paraId="0F50B7E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0.34~0.38</w:t>
                  </w:r>
                </w:p>
              </w:tc>
            </w:tr>
            <w:tr w14:paraId="548613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continue"/>
                  <w:tcBorders>
                    <w:tl2br w:val="nil"/>
                    <w:tr2bl w:val="nil"/>
                  </w:tcBorders>
                  <w:vAlign w:val="center"/>
                </w:tcPr>
                <w:p w14:paraId="6C6D4F9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612" w:type="dxa"/>
                  <w:vMerge w:val="continue"/>
                  <w:tcBorders>
                    <w:tl2br w:val="nil"/>
                    <w:tr2bl w:val="nil"/>
                  </w:tcBorders>
                  <w:vAlign w:val="center"/>
                </w:tcPr>
                <w:p w14:paraId="606023C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700" w:type="dxa"/>
                  <w:tcBorders>
                    <w:tl2br w:val="nil"/>
                    <w:tr2bl w:val="nil"/>
                  </w:tcBorders>
                  <w:vAlign w:val="center"/>
                </w:tcPr>
                <w:p w14:paraId="73029A5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氟化物</w:t>
                  </w:r>
                </w:p>
              </w:tc>
              <w:tc>
                <w:tcPr>
                  <w:tcW w:w="3623" w:type="dxa"/>
                  <w:tcBorders>
                    <w:tl2br w:val="nil"/>
                    <w:tr2bl w:val="nil"/>
                  </w:tcBorders>
                  <w:vAlign w:val="center"/>
                </w:tcPr>
                <w:p w14:paraId="6F11419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0.360~0.377</w:t>
                  </w:r>
                </w:p>
              </w:tc>
            </w:tr>
            <w:tr w14:paraId="090E0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continue"/>
                  <w:tcBorders>
                    <w:tl2br w:val="nil"/>
                    <w:tr2bl w:val="nil"/>
                  </w:tcBorders>
                  <w:vAlign w:val="center"/>
                </w:tcPr>
                <w:p w14:paraId="7E9C249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612" w:type="dxa"/>
                  <w:vMerge w:val="continue"/>
                  <w:tcBorders>
                    <w:tl2br w:val="nil"/>
                    <w:tr2bl w:val="nil"/>
                  </w:tcBorders>
                  <w:vAlign w:val="center"/>
                </w:tcPr>
                <w:p w14:paraId="3DE2AFD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700" w:type="dxa"/>
                  <w:tcBorders>
                    <w:tl2br w:val="nil"/>
                    <w:tr2bl w:val="nil"/>
                  </w:tcBorders>
                  <w:vAlign w:val="center"/>
                </w:tcPr>
                <w:p w14:paraId="68B1377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石油类</w:t>
                  </w:r>
                </w:p>
              </w:tc>
              <w:tc>
                <w:tcPr>
                  <w:tcW w:w="3623" w:type="dxa"/>
                  <w:tcBorders>
                    <w:tl2br w:val="nil"/>
                    <w:tr2bl w:val="nil"/>
                  </w:tcBorders>
                  <w:vAlign w:val="center"/>
                </w:tcPr>
                <w:p w14:paraId="7AA31D2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ND</w:t>
                  </w:r>
                </w:p>
              </w:tc>
            </w:tr>
          </w:tbl>
          <w:p w14:paraId="0E99BC04">
            <w:pPr>
              <w:pStyle w:val="27"/>
              <w:numPr>
                <w:ilvl w:val="0"/>
                <w:numId w:val="7"/>
              </w:numPr>
              <w:spacing w:line="360" w:lineRule="auto"/>
              <w:ind w:left="0" w:leftChars="0" w:right="86" w:firstLine="480" w:firstLineChars="200"/>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噪声</w:t>
            </w:r>
          </w:p>
          <w:p w14:paraId="627990D3">
            <w:pPr>
              <w:pStyle w:val="27"/>
              <w:numPr>
                <w:ilvl w:val="0"/>
                <w:numId w:val="0"/>
              </w:numPr>
              <w:spacing w:line="360" w:lineRule="auto"/>
              <w:ind w:right="86" w:rightChars="0" w:firstLine="480" w:firstLineChars="200"/>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根据建设单位提供的2024年第四季度厂界噪声监测报告（详见附件5），项目厂界噪声监测结果见表2-17。</w:t>
            </w:r>
          </w:p>
          <w:p w14:paraId="51104601">
            <w:pPr>
              <w:pStyle w:val="27"/>
              <w:numPr>
                <w:ilvl w:val="0"/>
                <w:numId w:val="0"/>
              </w:numPr>
              <w:spacing w:line="240" w:lineRule="auto"/>
              <w:ind w:right="86" w:rightChars="0" w:firstLine="422" w:firstLineChars="20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表2-</w:t>
            </w:r>
            <w:r>
              <w:rPr>
                <w:rFonts w:hint="eastAsia" w:ascii="Times New Roman" w:hAnsi="Times New Roman" w:cs="Times New Roman" w:eastAsiaTheme="minorEastAsia"/>
                <w:b/>
                <w:bCs/>
                <w:color w:val="auto"/>
                <w:sz w:val="21"/>
                <w:szCs w:val="21"/>
                <w:highlight w:val="none"/>
                <w:lang w:val="en-US" w:eastAsia="zh-CN"/>
              </w:rPr>
              <w:t>17</w:t>
            </w:r>
            <w:r>
              <w:rPr>
                <w:rFonts w:hint="default" w:ascii="Times New Roman" w:hAnsi="Times New Roman" w:cs="Times New Roman" w:eastAsiaTheme="minorEastAsia"/>
                <w:b/>
                <w:bCs/>
                <w:color w:val="auto"/>
                <w:sz w:val="21"/>
                <w:szCs w:val="21"/>
                <w:highlight w:val="none"/>
                <w:lang w:val="en-US" w:eastAsia="zh-CN"/>
              </w:rPr>
              <w:t xml:space="preserve">  </w:t>
            </w:r>
            <w:r>
              <w:rPr>
                <w:rFonts w:hint="eastAsia" w:ascii="Times New Roman" w:hAnsi="Times New Roman" w:cs="Times New Roman" w:eastAsiaTheme="minorEastAsia"/>
                <w:b/>
                <w:bCs/>
                <w:color w:val="auto"/>
                <w:sz w:val="21"/>
                <w:szCs w:val="21"/>
                <w:highlight w:val="none"/>
                <w:lang w:val="en-US" w:eastAsia="zh-CN"/>
              </w:rPr>
              <w:t>项目2024年第二季度厂界噪声监测结果表</w:t>
            </w:r>
          </w:p>
          <w:tbl>
            <w:tblPr>
              <w:tblStyle w:val="20"/>
              <w:tblW w:w="80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1825"/>
              <w:gridCol w:w="1687"/>
              <w:gridCol w:w="1850"/>
              <w:gridCol w:w="1323"/>
            </w:tblGrid>
            <w:tr w14:paraId="5399BB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tcBorders>
                    <w:tl2br w:val="nil"/>
                    <w:tr2bl w:val="nil"/>
                  </w:tcBorders>
                  <w:vAlign w:val="center"/>
                </w:tcPr>
                <w:p w14:paraId="5D12F20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监测</w:t>
                  </w:r>
                  <w:r>
                    <w:rPr>
                      <w:rFonts w:hint="eastAsia" w:cs="Times New Roman" w:eastAsiaTheme="minorEastAsia"/>
                      <w:b/>
                      <w:bCs/>
                      <w:color w:val="auto"/>
                      <w:sz w:val="21"/>
                      <w:szCs w:val="21"/>
                      <w:highlight w:val="none"/>
                      <w:lang w:val="en-US" w:eastAsia="zh-CN"/>
                    </w:rPr>
                    <w:t>日期</w:t>
                  </w:r>
                </w:p>
              </w:tc>
              <w:tc>
                <w:tcPr>
                  <w:tcW w:w="1825" w:type="dxa"/>
                  <w:tcBorders>
                    <w:tl2br w:val="nil"/>
                    <w:tr2bl w:val="nil"/>
                  </w:tcBorders>
                  <w:vAlign w:val="center"/>
                </w:tcPr>
                <w:p w14:paraId="76CE18A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监测</w:t>
                  </w:r>
                  <w:r>
                    <w:rPr>
                      <w:rFonts w:hint="eastAsia" w:cs="Times New Roman" w:eastAsiaTheme="minorEastAsia"/>
                      <w:b/>
                      <w:bCs/>
                      <w:color w:val="auto"/>
                      <w:sz w:val="21"/>
                      <w:szCs w:val="21"/>
                      <w:highlight w:val="none"/>
                      <w:lang w:val="en-US" w:eastAsia="zh-CN"/>
                    </w:rPr>
                    <w:t>点位</w:t>
                  </w:r>
                </w:p>
              </w:tc>
              <w:tc>
                <w:tcPr>
                  <w:tcW w:w="1687" w:type="dxa"/>
                  <w:tcBorders>
                    <w:tl2br w:val="nil"/>
                    <w:tr2bl w:val="nil"/>
                  </w:tcBorders>
                  <w:vAlign w:val="center"/>
                </w:tcPr>
                <w:p w14:paraId="6B6B587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监测</w:t>
                  </w:r>
                  <w:r>
                    <w:rPr>
                      <w:rFonts w:hint="eastAsia" w:cs="Times New Roman" w:eastAsiaTheme="minorEastAsia"/>
                      <w:b/>
                      <w:bCs/>
                      <w:color w:val="auto"/>
                      <w:sz w:val="21"/>
                      <w:szCs w:val="21"/>
                      <w:highlight w:val="none"/>
                      <w:lang w:val="en-US" w:eastAsia="zh-CN"/>
                    </w:rPr>
                    <w:t>时间</w:t>
                  </w:r>
                </w:p>
              </w:tc>
              <w:tc>
                <w:tcPr>
                  <w:tcW w:w="1850" w:type="dxa"/>
                  <w:tcBorders>
                    <w:tl2br w:val="nil"/>
                    <w:tr2bl w:val="nil"/>
                  </w:tcBorders>
                  <w:vAlign w:val="center"/>
                </w:tcPr>
                <w:p w14:paraId="745F5ED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cs="Times New Roman" w:eastAsiaTheme="minorEastAsia"/>
                      <w:b/>
                      <w:bCs/>
                      <w:color w:val="auto"/>
                      <w:sz w:val="21"/>
                      <w:szCs w:val="21"/>
                      <w:highlight w:val="none"/>
                      <w:lang w:val="en-US" w:eastAsia="zh-CN"/>
                    </w:rPr>
                    <w:t>监测结果</w:t>
                  </w:r>
                </w:p>
              </w:tc>
              <w:tc>
                <w:tcPr>
                  <w:tcW w:w="1323" w:type="dxa"/>
                  <w:tcBorders>
                    <w:tl2br w:val="nil"/>
                    <w:tr2bl w:val="nil"/>
                  </w:tcBorders>
                  <w:vAlign w:val="center"/>
                </w:tcPr>
                <w:p w14:paraId="01811E1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cs="Times New Roman" w:eastAsiaTheme="minorEastAsia"/>
                      <w:b/>
                      <w:bCs/>
                      <w:color w:val="auto"/>
                      <w:sz w:val="21"/>
                      <w:szCs w:val="21"/>
                      <w:highlight w:val="none"/>
                      <w:lang w:val="en-US" w:eastAsia="zh-CN"/>
                    </w:rPr>
                    <w:t>评价标准</w:t>
                  </w:r>
                </w:p>
              </w:tc>
            </w:tr>
            <w:tr w14:paraId="61A15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restart"/>
                  <w:tcBorders>
                    <w:tl2br w:val="nil"/>
                    <w:tr2bl w:val="nil"/>
                  </w:tcBorders>
                  <w:vAlign w:val="center"/>
                </w:tcPr>
                <w:p w14:paraId="607818D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2024.11.06</w:t>
                  </w:r>
                </w:p>
              </w:tc>
              <w:tc>
                <w:tcPr>
                  <w:tcW w:w="1825" w:type="dxa"/>
                  <w:tcBorders>
                    <w:tl2br w:val="nil"/>
                    <w:tr2bl w:val="nil"/>
                  </w:tcBorders>
                  <w:vAlign w:val="center"/>
                </w:tcPr>
                <w:p w14:paraId="1B6B8B3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厂界西北侧</w:t>
                  </w:r>
                </w:p>
              </w:tc>
              <w:tc>
                <w:tcPr>
                  <w:tcW w:w="1687" w:type="dxa"/>
                  <w:tcBorders>
                    <w:tl2br w:val="nil"/>
                    <w:tr2bl w:val="nil"/>
                  </w:tcBorders>
                  <w:vAlign w:val="center"/>
                </w:tcPr>
                <w:p w14:paraId="1DB0D74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17:07</w:t>
                  </w:r>
                </w:p>
              </w:tc>
              <w:tc>
                <w:tcPr>
                  <w:tcW w:w="1850" w:type="dxa"/>
                  <w:tcBorders>
                    <w:tl2br w:val="nil"/>
                    <w:tr2bl w:val="nil"/>
                  </w:tcBorders>
                  <w:vAlign w:val="center"/>
                </w:tcPr>
                <w:p w14:paraId="3829A1A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57</w:t>
                  </w:r>
                </w:p>
              </w:tc>
              <w:tc>
                <w:tcPr>
                  <w:tcW w:w="1323" w:type="dxa"/>
                  <w:tcBorders>
                    <w:tl2br w:val="nil"/>
                    <w:tr2bl w:val="nil"/>
                  </w:tcBorders>
                  <w:vAlign w:val="center"/>
                </w:tcPr>
                <w:p w14:paraId="11EF10A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65</w:t>
                  </w:r>
                </w:p>
              </w:tc>
            </w:tr>
            <w:tr w14:paraId="70CF0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2E97F83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825" w:type="dxa"/>
                  <w:tcBorders>
                    <w:tl2br w:val="nil"/>
                    <w:tr2bl w:val="nil"/>
                  </w:tcBorders>
                  <w:vAlign w:val="center"/>
                </w:tcPr>
                <w:p w14:paraId="24508F8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厂界西侧</w:t>
                  </w:r>
                </w:p>
              </w:tc>
              <w:tc>
                <w:tcPr>
                  <w:tcW w:w="1687" w:type="dxa"/>
                  <w:tcBorders>
                    <w:tl2br w:val="nil"/>
                    <w:tr2bl w:val="nil"/>
                  </w:tcBorders>
                  <w:vAlign w:val="center"/>
                </w:tcPr>
                <w:p w14:paraId="4BDEE29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17:45</w:t>
                  </w:r>
                </w:p>
              </w:tc>
              <w:tc>
                <w:tcPr>
                  <w:tcW w:w="1850" w:type="dxa"/>
                  <w:tcBorders>
                    <w:tl2br w:val="nil"/>
                    <w:tr2bl w:val="nil"/>
                  </w:tcBorders>
                  <w:vAlign w:val="center"/>
                </w:tcPr>
                <w:p w14:paraId="34D8E69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58</w:t>
                  </w:r>
                </w:p>
              </w:tc>
              <w:tc>
                <w:tcPr>
                  <w:tcW w:w="1323" w:type="dxa"/>
                  <w:tcBorders>
                    <w:tl2br w:val="nil"/>
                    <w:tr2bl w:val="nil"/>
                  </w:tcBorders>
                  <w:vAlign w:val="center"/>
                </w:tcPr>
                <w:p w14:paraId="0C3D2EF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65</w:t>
                  </w:r>
                </w:p>
              </w:tc>
            </w:tr>
            <w:tr w14:paraId="3897D8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3BBFFA0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825" w:type="dxa"/>
                  <w:tcBorders>
                    <w:tl2br w:val="nil"/>
                    <w:tr2bl w:val="nil"/>
                  </w:tcBorders>
                  <w:vAlign w:val="center"/>
                </w:tcPr>
                <w:p w14:paraId="2806DA3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厂界西侧</w:t>
                  </w:r>
                </w:p>
              </w:tc>
              <w:tc>
                <w:tcPr>
                  <w:tcW w:w="1687" w:type="dxa"/>
                  <w:tcBorders>
                    <w:tl2br w:val="nil"/>
                    <w:tr2bl w:val="nil"/>
                  </w:tcBorders>
                  <w:vAlign w:val="center"/>
                </w:tcPr>
                <w:p w14:paraId="2A3A453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17:59</w:t>
                  </w:r>
                </w:p>
              </w:tc>
              <w:tc>
                <w:tcPr>
                  <w:tcW w:w="1850" w:type="dxa"/>
                  <w:tcBorders>
                    <w:tl2br w:val="nil"/>
                    <w:tr2bl w:val="nil"/>
                  </w:tcBorders>
                  <w:vAlign w:val="center"/>
                </w:tcPr>
                <w:p w14:paraId="3C33AE5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55</w:t>
                  </w:r>
                </w:p>
              </w:tc>
              <w:tc>
                <w:tcPr>
                  <w:tcW w:w="1323" w:type="dxa"/>
                  <w:tcBorders>
                    <w:tl2br w:val="nil"/>
                    <w:tr2bl w:val="nil"/>
                  </w:tcBorders>
                  <w:vAlign w:val="center"/>
                </w:tcPr>
                <w:p w14:paraId="200810A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65</w:t>
                  </w:r>
                </w:p>
              </w:tc>
            </w:tr>
            <w:tr w14:paraId="68794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28B69B1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825" w:type="dxa"/>
                  <w:tcBorders>
                    <w:tl2br w:val="nil"/>
                    <w:tr2bl w:val="nil"/>
                  </w:tcBorders>
                  <w:vAlign w:val="center"/>
                </w:tcPr>
                <w:p w14:paraId="761121B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厂界西侧</w:t>
                  </w:r>
                </w:p>
              </w:tc>
              <w:tc>
                <w:tcPr>
                  <w:tcW w:w="1687" w:type="dxa"/>
                  <w:tcBorders>
                    <w:tl2br w:val="nil"/>
                    <w:tr2bl w:val="nil"/>
                  </w:tcBorders>
                  <w:vAlign w:val="center"/>
                </w:tcPr>
                <w:p w14:paraId="3F73924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18:19</w:t>
                  </w:r>
                </w:p>
              </w:tc>
              <w:tc>
                <w:tcPr>
                  <w:tcW w:w="1850" w:type="dxa"/>
                  <w:tcBorders>
                    <w:tl2br w:val="nil"/>
                    <w:tr2bl w:val="nil"/>
                  </w:tcBorders>
                  <w:vAlign w:val="center"/>
                </w:tcPr>
                <w:p w14:paraId="70AA6E6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51</w:t>
                  </w:r>
                </w:p>
              </w:tc>
              <w:tc>
                <w:tcPr>
                  <w:tcW w:w="1323" w:type="dxa"/>
                  <w:tcBorders>
                    <w:tl2br w:val="nil"/>
                    <w:tr2bl w:val="nil"/>
                  </w:tcBorders>
                  <w:vAlign w:val="center"/>
                </w:tcPr>
                <w:p w14:paraId="521BBF3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65</w:t>
                  </w:r>
                </w:p>
              </w:tc>
            </w:tr>
            <w:tr w14:paraId="2D6DC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6C40A51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825" w:type="dxa"/>
                  <w:tcBorders>
                    <w:tl2br w:val="nil"/>
                    <w:tr2bl w:val="nil"/>
                  </w:tcBorders>
                  <w:vAlign w:val="center"/>
                </w:tcPr>
                <w:p w14:paraId="56CC904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厂界南侧</w:t>
                  </w:r>
                </w:p>
              </w:tc>
              <w:tc>
                <w:tcPr>
                  <w:tcW w:w="1687" w:type="dxa"/>
                  <w:tcBorders>
                    <w:tl2br w:val="nil"/>
                    <w:tr2bl w:val="nil"/>
                  </w:tcBorders>
                  <w:vAlign w:val="center"/>
                </w:tcPr>
                <w:p w14:paraId="63DD41D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18:32</w:t>
                  </w:r>
                </w:p>
              </w:tc>
              <w:tc>
                <w:tcPr>
                  <w:tcW w:w="1850" w:type="dxa"/>
                  <w:tcBorders>
                    <w:tl2br w:val="nil"/>
                    <w:tr2bl w:val="nil"/>
                  </w:tcBorders>
                  <w:vAlign w:val="center"/>
                </w:tcPr>
                <w:p w14:paraId="74C0E57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48</w:t>
                  </w:r>
                </w:p>
              </w:tc>
              <w:tc>
                <w:tcPr>
                  <w:tcW w:w="1323" w:type="dxa"/>
                  <w:tcBorders>
                    <w:tl2br w:val="nil"/>
                    <w:tr2bl w:val="nil"/>
                  </w:tcBorders>
                  <w:vAlign w:val="center"/>
                </w:tcPr>
                <w:p w14:paraId="674C6A2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65</w:t>
                  </w:r>
                </w:p>
              </w:tc>
            </w:tr>
            <w:tr w14:paraId="4817F7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1EAE49D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825" w:type="dxa"/>
                  <w:tcBorders>
                    <w:tl2br w:val="nil"/>
                    <w:tr2bl w:val="nil"/>
                  </w:tcBorders>
                  <w:vAlign w:val="center"/>
                </w:tcPr>
                <w:p w14:paraId="6E43896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厂界东侧</w:t>
                  </w:r>
                </w:p>
              </w:tc>
              <w:tc>
                <w:tcPr>
                  <w:tcW w:w="1687" w:type="dxa"/>
                  <w:tcBorders>
                    <w:tl2br w:val="nil"/>
                    <w:tr2bl w:val="nil"/>
                  </w:tcBorders>
                  <w:vAlign w:val="center"/>
                </w:tcPr>
                <w:p w14:paraId="35A832C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18:45</w:t>
                  </w:r>
                </w:p>
              </w:tc>
              <w:tc>
                <w:tcPr>
                  <w:tcW w:w="1850" w:type="dxa"/>
                  <w:tcBorders>
                    <w:tl2br w:val="nil"/>
                    <w:tr2bl w:val="nil"/>
                  </w:tcBorders>
                  <w:vAlign w:val="center"/>
                </w:tcPr>
                <w:p w14:paraId="43ED572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54</w:t>
                  </w:r>
                </w:p>
              </w:tc>
              <w:tc>
                <w:tcPr>
                  <w:tcW w:w="1323" w:type="dxa"/>
                  <w:tcBorders>
                    <w:tl2br w:val="nil"/>
                    <w:tr2bl w:val="nil"/>
                  </w:tcBorders>
                  <w:vAlign w:val="center"/>
                </w:tcPr>
                <w:p w14:paraId="25E16C6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w:t>
                  </w:r>
                </w:p>
              </w:tc>
            </w:tr>
            <w:tr w14:paraId="2B6EB1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45F3C18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825" w:type="dxa"/>
                  <w:tcBorders>
                    <w:tl2br w:val="nil"/>
                    <w:tr2bl w:val="nil"/>
                  </w:tcBorders>
                  <w:vAlign w:val="center"/>
                </w:tcPr>
                <w:p w14:paraId="64881AF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厂界北侧</w:t>
                  </w:r>
                </w:p>
              </w:tc>
              <w:tc>
                <w:tcPr>
                  <w:tcW w:w="1687" w:type="dxa"/>
                  <w:tcBorders>
                    <w:tl2br w:val="nil"/>
                    <w:tr2bl w:val="nil"/>
                  </w:tcBorders>
                  <w:vAlign w:val="center"/>
                </w:tcPr>
                <w:p w14:paraId="1339AA0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19:06</w:t>
                  </w:r>
                </w:p>
              </w:tc>
              <w:tc>
                <w:tcPr>
                  <w:tcW w:w="1850" w:type="dxa"/>
                  <w:tcBorders>
                    <w:tl2br w:val="nil"/>
                    <w:tr2bl w:val="nil"/>
                  </w:tcBorders>
                  <w:vAlign w:val="center"/>
                </w:tcPr>
                <w:p w14:paraId="579E64C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49</w:t>
                  </w:r>
                </w:p>
              </w:tc>
              <w:tc>
                <w:tcPr>
                  <w:tcW w:w="1323" w:type="dxa"/>
                  <w:tcBorders>
                    <w:tl2br w:val="nil"/>
                    <w:tr2bl w:val="nil"/>
                  </w:tcBorders>
                  <w:vAlign w:val="center"/>
                </w:tcPr>
                <w:p w14:paraId="656CC32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65</w:t>
                  </w:r>
                </w:p>
              </w:tc>
            </w:tr>
            <w:tr w14:paraId="44713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restart"/>
                  <w:tcBorders>
                    <w:tl2br w:val="nil"/>
                    <w:tr2bl w:val="nil"/>
                  </w:tcBorders>
                  <w:vAlign w:val="center"/>
                </w:tcPr>
                <w:p w14:paraId="18E78EA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2024.11.06~11.07</w:t>
                  </w:r>
                </w:p>
              </w:tc>
              <w:tc>
                <w:tcPr>
                  <w:tcW w:w="1825" w:type="dxa"/>
                  <w:tcBorders>
                    <w:tl2br w:val="nil"/>
                    <w:tr2bl w:val="nil"/>
                  </w:tcBorders>
                  <w:shd w:val="clear" w:color="auto" w:fill="auto"/>
                  <w:vAlign w:val="center"/>
                </w:tcPr>
                <w:p w14:paraId="36DD8D3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厂界西北侧</w:t>
                  </w:r>
                </w:p>
              </w:tc>
              <w:tc>
                <w:tcPr>
                  <w:tcW w:w="1687" w:type="dxa"/>
                  <w:tcBorders>
                    <w:tl2br w:val="nil"/>
                    <w:tr2bl w:val="nil"/>
                  </w:tcBorders>
                  <w:shd w:val="clear" w:color="auto" w:fill="auto"/>
                  <w:vAlign w:val="center"/>
                </w:tcPr>
                <w:p w14:paraId="3379A37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22:01</w:t>
                  </w:r>
                </w:p>
              </w:tc>
              <w:tc>
                <w:tcPr>
                  <w:tcW w:w="1850" w:type="dxa"/>
                  <w:tcBorders>
                    <w:tl2br w:val="nil"/>
                    <w:tr2bl w:val="nil"/>
                  </w:tcBorders>
                  <w:vAlign w:val="center"/>
                </w:tcPr>
                <w:p w14:paraId="73F4333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51</w:t>
                  </w:r>
                </w:p>
              </w:tc>
              <w:tc>
                <w:tcPr>
                  <w:tcW w:w="1323" w:type="dxa"/>
                  <w:tcBorders>
                    <w:tl2br w:val="nil"/>
                    <w:tr2bl w:val="nil"/>
                  </w:tcBorders>
                  <w:vAlign w:val="center"/>
                </w:tcPr>
                <w:p w14:paraId="4817A73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55</w:t>
                  </w:r>
                </w:p>
              </w:tc>
            </w:tr>
            <w:tr w14:paraId="19C71C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6118885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825" w:type="dxa"/>
                  <w:tcBorders>
                    <w:tl2br w:val="nil"/>
                    <w:tr2bl w:val="nil"/>
                  </w:tcBorders>
                  <w:shd w:val="clear" w:color="auto" w:fill="auto"/>
                  <w:vAlign w:val="center"/>
                </w:tcPr>
                <w:p w14:paraId="2BD7073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厂界西侧</w:t>
                  </w:r>
                </w:p>
              </w:tc>
              <w:tc>
                <w:tcPr>
                  <w:tcW w:w="1687" w:type="dxa"/>
                  <w:tcBorders>
                    <w:tl2br w:val="nil"/>
                    <w:tr2bl w:val="nil"/>
                  </w:tcBorders>
                  <w:shd w:val="clear" w:color="auto" w:fill="auto"/>
                  <w:vAlign w:val="center"/>
                </w:tcPr>
                <w:p w14:paraId="4CEF737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22:20</w:t>
                  </w:r>
                </w:p>
              </w:tc>
              <w:tc>
                <w:tcPr>
                  <w:tcW w:w="1850" w:type="dxa"/>
                  <w:tcBorders>
                    <w:tl2br w:val="nil"/>
                    <w:tr2bl w:val="nil"/>
                  </w:tcBorders>
                  <w:vAlign w:val="center"/>
                </w:tcPr>
                <w:p w14:paraId="1C020A2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54</w:t>
                  </w:r>
                </w:p>
              </w:tc>
              <w:tc>
                <w:tcPr>
                  <w:tcW w:w="1323" w:type="dxa"/>
                  <w:tcBorders>
                    <w:tl2br w:val="nil"/>
                    <w:tr2bl w:val="nil"/>
                  </w:tcBorders>
                  <w:vAlign w:val="center"/>
                </w:tcPr>
                <w:p w14:paraId="2CF069D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55</w:t>
                  </w:r>
                </w:p>
              </w:tc>
            </w:tr>
            <w:tr w14:paraId="080CB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7D49C66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825" w:type="dxa"/>
                  <w:tcBorders>
                    <w:tl2br w:val="nil"/>
                    <w:tr2bl w:val="nil"/>
                  </w:tcBorders>
                  <w:shd w:val="clear" w:color="auto" w:fill="auto"/>
                  <w:vAlign w:val="center"/>
                </w:tcPr>
                <w:p w14:paraId="74434A2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厂界西侧</w:t>
                  </w:r>
                </w:p>
              </w:tc>
              <w:tc>
                <w:tcPr>
                  <w:tcW w:w="1687" w:type="dxa"/>
                  <w:tcBorders>
                    <w:tl2br w:val="nil"/>
                    <w:tr2bl w:val="nil"/>
                  </w:tcBorders>
                  <w:shd w:val="clear" w:color="auto" w:fill="auto"/>
                  <w:vAlign w:val="center"/>
                </w:tcPr>
                <w:p w14:paraId="02A585F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22:35</w:t>
                  </w:r>
                </w:p>
              </w:tc>
              <w:tc>
                <w:tcPr>
                  <w:tcW w:w="1850" w:type="dxa"/>
                  <w:tcBorders>
                    <w:tl2br w:val="nil"/>
                    <w:tr2bl w:val="nil"/>
                  </w:tcBorders>
                  <w:vAlign w:val="center"/>
                </w:tcPr>
                <w:p w14:paraId="3F79501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54</w:t>
                  </w:r>
                </w:p>
              </w:tc>
              <w:tc>
                <w:tcPr>
                  <w:tcW w:w="1323" w:type="dxa"/>
                  <w:tcBorders>
                    <w:tl2br w:val="nil"/>
                    <w:tr2bl w:val="nil"/>
                  </w:tcBorders>
                  <w:vAlign w:val="center"/>
                </w:tcPr>
                <w:p w14:paraId="628CBA4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55</w:t>
                  </w:r>
                </w:p>
              </w:tc>
            </w:tr>
            <w:tr w14:paraId="6E7678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4750730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825" w:type="dxa"/>
                  <w:tcBorders>
                    <w:tl2br w:val="nil"/>
                    <w:tr2bl w:val="nil"/>
                  </w:tcBorders>
                  <w:shd w:val="clear" w:color="auto" w:fill="auto"/>
                  <w:vAlign w:val="center"/>
                </w:tcPr>
                <w:p w14:paraId="67D23DA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厂界西侧</w:t>
                  </w:r>
                </w:p>
              </w:tc>
              <w:tc>
                <w:tcPr>
                  <w:tcW w:w="1687" w:type="dxa"/>
                  <w:tcBorders>
                    <w:tl2br w:val="nil"/>
                    <w:tr2bl w:val="nil"/>
                  </w:tcBorders>
                  <w:shd w:val="clear" w:color="auto" w:fill="auto"/>
                  <w:vAlign w:val="center"/>
                </w:tcPr>
                <w:p w14:paraId="3B6AECD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22:49</w:t>
                  </w:r>
                </w:p>
              </w:tc>
              <w:tc>
                <w:tcPr>
                  <w:tcW w:w="1850" w:type="dxa"/>
                  <w:tcBorders>
                    <w:tl2br w:val="nil"/>
                    <w:tr2bl w:val="nil"/>
                  </w:tcBorders>
                  <w:vAlign w:val="center"/>
                </w:tcPr>
                <w:p w14:paraId="49D27CF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52</w:t>
                  </w:r>
                </w:p>
              </w:tc>
              <w:tc>
                <w:tcPr>
                  <w:tcW w:w="1323" w:type="dxa"/>
                  <w:tcBorders>
                    <w:tl2br w:val="nil"/>
                    <w:tr2bl w:val="nil"/>
                  </w:tcBorders>
                  <w:vAlign w:val="center"/>
                </w:tcPr>
                <w:p w14:paraId="76A4431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55</w:t>
                  </w:r>
                </w:p>
              </w:tc>
            </w:tr>
            <w:tr w14:paraId="425C9A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207F929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825" w:type="dxa"/>
                  <w:tcBorders>
                    <w:tl2br w:val="nil"/>
                    <w:tr2bl w:val="nil"/>
                  </w:tcBorders>
                  <w:shd w:val="clear" w:color="auto" w:fill="auto"/>
                  <w:vAlign w:val="center"/>
                </w:tcPr>
                <w:p w14:paraId="143F6CC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厂界南侧</w:t>
                  </w:r>
                </w:p>
              </w:tc>
              <w:tc>
                <w:tcPr>
                  <w:tcW w:w="1687" w:type="dxa"/>
                  <w:tcBorders>
                    <w:tl2br w:val="nil"/>
                    <w:tr2bl w:val="nil"/>
                  </w:tcBorders>
                  <w:shd w:val="clear" w:color="auto" w:fill="auto"/>
                  <w:vAlign w:val="center"/>
                </w:tcPr>
                <w:p w14:paraId="4042CC4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23:01</w:t>
                  </w:r>
                </w:p>
              </w:tc>
              <w:tc>
                <w:tcPr>
                  <w:tcW w:w="1850" w:type="dxa"/>
                  <w:tcBorders>
                    <w:tl2br w:val="nil"/>
                    <w:tr2bl w:val="nil"/>
                  </w:tcBorders>
                  <w:vAlign w:val="center"/>
                </w:tcPr>
                <w:p w14:paraId="57E5695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48</w:t>
                  </w:r>
                </w:p>
              </w:tc>
              <w:tc>
                <w:tcPr>
                  <w:tcW w:w="1323" w:type="dxa"/>
                  <w:tcBorders>
                    <w:tl2br w:val="nil"/>
                    <w:tr2bl w:val="nil"/>
                  </w:tcBorders>
                  <w:vAlign w:val="center"/>
                </w:tcPr>
                <w:p w14:paraId="6AF3DC3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55</w:t>
                  </w:r>
                </w:p>
              </w:tc>
            </w:tr>
            <w:tr w14:paraId="573D62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613CAC6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825" w:type="dxa"/>
                  <w:tcBorders>
                    <w:tl2br w:val="nil"/>
                    <w:tr2bl w:val="nil"/>
                  </w:tcBorders>
                  <w:shd w:val="clear" w:color="auto" w:fill="auto"/>
                  <w:vAlign w:val="center"/>
                </w:tcPr>
                <w:p w14:paraId="7FB91A3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厂界东侧</w:t>
                  </w:r>
                </w:p>
              </w:tc>
              <w:tc>
                <w:tcPr>
                  <w:tcW w:w="1687" w:type="dxa"/>
                  <w:tcBorders>
                    <w:tl2br w:val="nil"/>
                    <w:tr2bl w:val="nil"/>
                  </w:tcBorders>
                  <w:shd w:val="clear" w:color="auto" w:fill="auto"/>
                  <w:vAlign w:val="center"/>
                </w:tcPr>
                <w:p w14:paraId="74B41BD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23:13</w:t>
                  </w:r>
                </w:p>
              </w:tc>
              <w:tc>
                <w:tcPr>
                  <w:tcW w:w="1850" w:type="dxa"/>
                  <w:tcBorders>
                    <w:tl2br w:val="nil"/>
                    <w:tr2bl w:val="nil"/>
                  </w:tcBorders>
                  <w:vAlign w:val="center"/>
                </w:tcPr>
                <w:p w14:paraId="0E141D9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52</w:t>
                  </w:r>
                </w:p>
              </w:tc>
              <w:tc>
                <w:tcPr>
                  <w:tcW w:w="1323" w:type="dxa"/>
                  <w:tcBorders>
                    <w:tl2br w:val="nil"/>
                    <w:tr2bl w:val="nil"/>
                  </w:tcBorders>
                  <w:vAlign w:val="center"/>
                </w:tcPr>
                <w:p w14:paraId="1EC0ED5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55</w:t>
                  </w:r>
                </w:p>
              </w:tc>
            </w:tr>
            <w:tr w14:paraId="7D9963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tcBorders>
                    <w:tl2br w:val="nil"/>
                    <w:tr2bl w:val="nil"/>
                  </w:tcBorders>
                  <w:vAlign w:val="center"/>
                </w:tcPr>
                <w:p w14:paraId="7C67630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825" w:type="dxa"/>
                  <w:tcBorders>
                    <w:tl2br w:val="nil"/>
                    <w:tr2bl w:val="nil"/>
                  </w:tcBorders>
                  <w:shd w:val="clear" w:color="auto" w:fill="auto"/>
                  <w:vAlign w:val="center"/>
                </w:tcPr>
                <w:p w14:paraId="1800BD3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厂界北侧</w:t>
                  </w:r>
                </w:p>
              </w:tc>
              <w:tc>
                <w:tcPr>
                  <w:tcW w:w="1687" w:type="dxa"/>
                  <w:tcBorders>
                    <w:tl2br w:val="nil"/>
                    <w:tr2bl w:val="nil"/>
                  </w:tcBorders>
                  <w:shd w:val="clear" w:color="auto" w:fill="auto"/>
                  <w:vAlign w:val="center"/>
                </w:tcPr>
                <w:p w14:paraId="4C161FC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23:30</w:t>
                  </w:r>
                </w:p>
              </w:tc>
              <w:tc>
                <w:tcPr>
                  <w:tcW w:w="1850" w:type="dxa"/>
                  <w:tcBorders>
                    <w:tl2br w:val="nil"/>
                    <w:tr2bl w:val="nil"/>
                  </w:tcBorders>
                  <w:vAlign w:val="center"/>
                </w:tcPr>
                <w:p w14:paraId="2F208F4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50</w:t>
                  </w:r>
                </w:p>
              </w:tc>
              <w:tc>
                <w:tcPr>
                  <w:tcW w:w="1323" w:type="dxa"/>
                  <w:tcBorders>
                    <w:tl2br w:val="nil"/>
                    <w:tr2bl w:val="nil"/>
                  </w:tcBorders>
                  <w:vAlign w:val="center"/>
                </w:tcPr>
                <w:p w14:paraId="0D988C3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55</w:t>
                  </w:r>
                </w:p>
              </w:tc>
            </w:tr>
          </w:tbl>
          <w:p w14:paraId="4DD87328">
            <w:pPr>
              <w:pStyle w:val="27"/>
              <w:spacing w:line="360" w:lineRule="auto"/>
              <w:ind w:right="86" w:firstLine="480" w:firstLineChars="200"/>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由表2-19监测结果可以看出，项目厂界各监测点位昼间和夜间厂界环境噪声监测结果均符合《工业企业厂界环境噪声排放标准》（GB12348-2008）表1中3类区标准限值。</w:t>
            </w:r>
          </w:p>
          <w:p w14:paraId="0082077C">
            <w:pPr>
              <w:pStyle w:val="27"/>
              <w:numPr>
                <w:ilvl w:val="0"/>
                <w:numId w:val="7"/>
              </w:numPr>
              <w:spacing w:line="360" w:lineRule="auto"/>
              <w:ind w:left="0" w:leftChars="0" w:right="86" w:firstLine="480" w:firstLineChars="200"/>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固体废物</w:t>
            </w:r>
          </w:p>
          <w:p w14:paraId="105E42F1">
            <w:pPr>
              <w:pStyle w:val="27"/>
              <w:numPr>
                <w:ilvl w:val="0"/>
                <w:numId w:val="0"/>
              </w:numPr>
              <w:spacing w:line="360" w:lineRule="auto"/>
              <w:ind w:right="86" w:rightChars="0" w:firstLine="480" w:firstLineChars="200"/>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现有工程产生的固体废物主要为职工生活垃圾、一般工业固体废物及危险废物。</w:t>
            </w:r>
          </w:p>
          <w:p w14:paraId="2B249BD3">
            <w:pPr>
              <w:pStyle w:val="27"/>
              <w:numPr>
                <w:ilvl w:val="0"/>
                <w:numId w:val="0"/>
              </w:numPr>
              <w:spacing w:line="360" w:lineRule="auto"/>
              <w:ind w:right="86" w:rightChars="0" w:firstLine="480" w:firstLineChars="200"/>
              <w:rPr>
                <w:rFonts w:hint="default"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职工生活垃圾厂内设置垃圾桶，集中收集后经厂区水泥窑协同处置系统处理；布袋除尘器收集粉尘作为原料直接回用于生产工序；废包装袋、污水处理站污泥收集后经厂区水泥窑协同处置系统处理；危险废物主要为废矿物油与含矿物油废物、废活性炭及废油桶等，经厂区内危废贮存库暂存后由厂区危险废物协同处置系统处置。</w:t>
            </w:r>
          </w:p>
          <w:p w14:paraId="072F6D79">
            <w:pPr>
              <w:pStyle w:val="27"/>
              <w:numPr>
                <w:ilvl w:val="0"/>
                <w:numId w:val="0"/>
              </w:numPr>
              <w:spacing w:line="360" w:lineRule="auto"/>
              <w:ind w:leftChars="200" w:right="86" w:rightChars="0"/>
              <w:rPr>
                <w:rFonts w:hint="eastAsia" w:ascii="Times New Roman" w:hAnsi="Times New Roman" w:cs="Times New Roman" w:eastAsiaTheme="minorEastAsia"/>
                <w:b/>
                <w:bCs/>
                <w:color w:val="auto"/>
                <w:sz w:val="24"/>
                <w:highlight w:val="none"/>
                <w:lang w:val="en-US" w:eastAsia="zh-CN"/>
              </w:rPr>
            </w:pPr>
            <w:r>
              <w:rPr>
                <w:rFonts w:hint="eastAsia" w:ascii="Times New Roman" w:hAnsi="Times New Roman" w:cs="Times New Roman" w:eastAsiaTheme="minorEastAsia"/>
                <w:b/>
                <w:bCs/>
                <w:color w:val="auto"/>
                <w:sz w:val="24"/>
                <w:highlight w:val="none"/>
                <w:lang w:val="en-US" w:eastAsia="zh-CN"/>
              </w:rPr>
              <w:t>3.现有工程主要污染物排放情况</w:t>
            </w:r>
          </w:p>
          <w:p w14:paraId="04691751">
            <w:pPr>
              <w:pStyle w:val="27"/>
              <w:numPr>
                <w:ilvl w:val="0"/>
                <w:numId w:val="0"/>
              </w:numPr>
              <w:spacing w:line="360" w:lineRule="auto"/>
              <w:ind w:right="86" w:rightChars="0" w:firstLine="480" w:firstLineChars="200"/>
              <w:rPr>
                <w:rFonts w:hint="default"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根据该企业排污许可资料，现有工程主要污染物排放情况汇总表见表2-18。</w:t>
            </w:r>
          </w:p>
          <w:p w14:paraId="69DD0305">
            <w:pPr>
              <w:pStyle w:val="27"/>
              <w:numPr>
                <w:ilvl w:val="0"/>
                <w:numId w:val="0"/>
              </w:numPr>
              <w:spacing w:line="240" w:lineRule="auto"/>
              <w:ind w:right="86" w:rightChars="0" w:firstLine="422" w:firstLineChars="20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表2-</w:t>
            </w:r>
            <w:r>
              <w:rPr>
                <w:rFonts w:hint="eastAsia" w:ascii="Times New Roman" w:hAnsi="Times New Roman" w:cs="Times New Roman" w:eastAsiaTheme="minorEastAsia"/>
                <w:b/>
                <w:bCs/>
                <w:color w:val="auto"/>
                <w:sz w:val="21"/>
                <w:szCs w:val="21"/>
                <w:highlight w:val="none"/>
                <w:lang w:val="en-US" w:eastAsia="zh-CN"/>
              </w:rPr>
              <w:t>18</w:t>
            </w:r>
            <w:r>
              <w:rPr>
                <w:rFonts w:hint="default" w:ascii="Times New Roman" w:hAnsi="Times New Roman" w:cs="Times New Roman" w:eastAsiaTheme="minorEastAsia"/>
                <w:b/>
                <w:bCs/>
                <w:color w:val="auto"/>
                <w:sz w:val="21"/>
                <w:szCs w:val="21"/>
                <w:highlight w:val="none"/>
                <w:lang w:val="en-US" w:eastAsia="zh-CN"/>
              </w:rPr>
              <w:t xml:space="preserve">  </w:t>
            </w:r>
            <w:r>
              <w:rPr>
                <w:rFonts w:hint="eastAsia" w:ascii="Times New Roman" w:hAnsi="Times New Roman" w:cs="Times New Roman" w:eastAsiaTheme="minorEastAsia"/>
                <w:b/>
                <w:bCs/>
                <w:color w:val="auto"/>
                <w:sz w:val="21"/>
                <w:szCs w:val="21"/>
                <w:highlight w:val="none"/>
                <w:lang w:val="en-US" w:eastAsia="zh-CN"/>
              </w:rPr>
              <w:t>现有工程主要污染物排放情况汇总表</w:t>
            </w:r>
          </w:p>
          <w:tbl>
            <w:tblPr>
              <w:tblStyle w:val="20"/>
              <w:tblW w:w="8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5"/>
              <w:gridCol w:w="3714"/>
              <w:gridCol w:w="3510"/>
            </w:tblGrid>
            <w:tr w14:paraId="3E2929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35" w:type="dxa"/>
                  <w:tcBorders>
                    <w:tl2br w:val="nil"/>
                    <w:tr2bl w:val="nil"/>
                  </w:tcBorders>
                  <w:vAlign w:val="center"/>
                </w:tcPr>
                <w:p w14:paraId="2ED2170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cs="Times New Roman" w:eastAsiaTheme="minorEastAsia"/>
                      <w:b/>
                      <w:bCs/>
                      <w:color w:val="auto"/>
                      <w:sz w:val="21"/>
                      <w:szCs w:val="21"/>
                      <w:highlight w:val="none"/>
                      <w:lang w:val="en-US" w:eastAsia="zh-CN"/>
                    </w:rPr>
                    <w:t>类别</w:t>
                  </w:r>
                </w:p>
              </w:tc>
              <w:tc>
                <w:tcPr>
                  <w:tcW w:w="3714" w:type="dxa"/>
                  <w:tcBorders>
                    <w:tl2br w:val="nil"/>
                    <w:tr2bl w:val="nil"/>
                  </w:tcBorders>
                  <w:vAlign w:val="center"/>
                </w:tcPr>
                <w:p w14:paraId="53C1F70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cs="Times New Roman" w:eastAsiaTheme="minorEastAsia"/>
                      <w:b/>
                      <w:bCs/>
                      <w:color w:val="auto"/>
                      <w:sz w:val="21"/>
                      <w:szCs w:val="21"/>
                      <w:highlight w:val="none"/>
                      <w:lang w:val="en-US" w:eastAsia="zh-CN"/>
                    </w:rPr>
                    <w:t>污染因子</w:t>
                  </w:r>
                </w:p>
              </w:tc>
              <w:tc>
                <w:tcPr>
                  <w:tcW w:w="3510" w:type="dxa"/>
                  <w:tcBorders>
                    <w:tl2br w:val="nil"/>
                    <w:tr2bl w:val="nil"/>
                  </w:tcBorders>
                  <w:vAlign w:val="center"/>
                </w:tcPr>
                <w:p w14:paraId="48F79A5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cs="Times New Roman" w:eastAsiaTheme="minorEastAsia"/>
                      <w:b/>
                      <w:bCs/>
                      <w:color w:val="auto"/>
                      <w:sz w:val="21"/>
                      <w:szCs w:val="21"/>
                      <w:highlight w:val="none"/>
                      <w:lang w:val="en-US" w:eastAsia="zh-CN"/>
                    </w:rPr>
                    <w:t>现有工程污染物排放量（t/a）</w:t>
                  </w:r>
                </w:p>
              </w:tc>
            </w:tr>
            <w:tr w14:paraId="0A5DD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 w:type="dxa"/>
                  <w:vMerge w:val="restart"/>
                  <w:tcBorders>
                    <w:tl2br w:val="nil"/>
                    <w:tr2bl w:val="nil"/>
                  </w:tcBorders>
                  <w:vAlign w:val="center"/>
                </w:tcPr>
                <w:p w14:paraId="1CA3036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废气</w:t>
                  </w:r>
                </w:p>
              </w:tc>
              <w:tc>
                <w:tcPr>
                  <w:tcW w:w="3714" w:type="dxa"/>
                  <w:tcBorders>
                    <w:tl2br w:val="nil"/>
                    <w:tr2bl w:val="nil"/>
                  </w:tcBorders>
                  <w:shd w:val="clear" w:color="auto" w:fill="auto"/>
                  <w:vAlign w:val="center"/>
                </w:tcPr>
                <w:p w14:paraId="4B1D6D8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颗粒物</w:t>
                  </w:r>
                </w:p>
              </w:tc>
              <w:tc>
                <w:tcPr>
                  <w:tcW w:w="3510" w:type="dxa"/>
                  <w:tcBorders>
                    <w:tl2br w:val="nil"/>
                    <w:tr2bl w:val="nil"/>
                  </w:tcBorders>
                  <w:vAlign w:val="center"/>
                </w:tcPr>
                <w:p w14:paraId="255F155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101.757</w:t>
                  </w:r>
                </w:p>
              </w:tc>
            </w:tr>
            <w:tr w14:paraId="4270D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 w:type="dxa"/>
                  <w:vMerge w:val="continue"/>
                  <w:tcBorders>
                    <w:tl2br w:val="nil"/>
                    <w:tr2bl w:val="nil"/>
                  </w:tcBorders>
                  <w:vAlign w:val="center"/>
                </w:tcPr>
                <w:p w14:paraId="76E6F8C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714" w:type="dxa"/>
                  <w:tcBorders>
                    <w:tl2br w:val="nil"/>
                    <w:tr2bl w:val="nil"/>
                  </w:tcBorders>
                  <w:shd w:val="clear" w:color="auto" w:fill="auto"/>
                  <w:vAlign w:val="center"/>
                </w:tcPr>
                <w:p w14:paraId="6C96287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SO</w:t>
                  </w:r>
                  <w:r>
                    <w:rPr>
                      <w:rFonts w:hint="eastAsia" w:cs="Times New Roman" w:eastAsiaTheme="minorEastAsia"/>
                      <w:color w:val="auto"/>
                      <w:sz w:val="21"/>
                      <w:szCs w:val="21"/>
                      <w:highlight w:val="none"/>
                      <w:vertAlign w:val="subscript"/>
                      <w:lang w:val="en-US" w:eastAsia="zh-CN"/>
                    </w:rPr>
                    <w:t>2</w:t>
                  </w:r>
                </w:p>
              </w:tc>
              <w:tc>
                <w:tcPr>
                  <w:tcW w:w="3510" w:type="dxa"/>
                  <w:tcBorders>
                    <w:tl2br w:val="nil"/>
                    <w:tr2bl w:val="nil"/>
                  </w:tcBorders>
                  <w:vAlign w:val="center"/>
                </w:tcPr>
                <w:p w14:paraId="5E37A44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52.74</w:t>
                  </w:r>
                </w:p>
              </w:tc>
            </w:tr>
            <w:tr w14:paraId="021CC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 w:type="dxa"/>
                  <w:vMerge w:val="continue"/>
                  <w:tcBorders>
                    <w:tl2br w:val="nil"/>
                    <w:tr2bl w:val="nil"/>
                  </w:tcBorders>
                  <w:vAlign w:val="center"/>
                </w:tcPr>
                <w:p w14:paraId="0DB019F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714" w:type="dxa"/>
                  <w:tcBorders>
                    <w:tl2br w:val="nil"/>
                    <w:tr2bl w:val="nil"/>
                  </w:tcBorders>
                  <w:shd w:val="clear" w:color="auto" w:fill="auto"/>
                  <w:vAlign w:val="center"/>
                </w:tcPr>
                <w:p w14:paraId="7A68101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NO</w:t>
                  </w:r>
                  <w:r>
                    <w:rPr>
                      <w:rFonts w:hint="eastAsia" w:cs="Times New Roman" w:eastAsiaTheme="minorEastAsia"/>
                      <w:color w:val="auto"/>
                      <w:sz w:val="21"/>
                      <w:szCs w:val="21"/>
                      <w:highlight w:val="none"/>
                      <w:vertAlign w:val="subscript"/>
                      <w:lang w:val="en-US" w:eastAsia="zh-CN"/>
                    </w:rPr>
                    <w:t>X</w:t>
                  </w:r>
                </w:p>
              </w:tc>
              <w:tc>
                <w:tcPr>
                  <w:tcW w:w="3510" w:type="dxa"/>
                  <w:tcBorders>
                    <w:tl2br w:val="nil"/>
                    <w:tr2bl w:val="nil"/>
                  </w:tcBorders>
                  <w:vAlign w:val="center"/>
                </w:tcPr>
                <w:p w14:paraId="2CAE742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421.12</w:t>
                  </w:r>
                </w:p>
              </w:tc>
            </w:tr>
            <w:tr w14:paraId="31C6BF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 w:type="dxa"/>
                  <w:vMerge w:val="continue"/>
                  <w:tcBorders>
                    <w:tl2br w:val="nil"/>
                    <w:tr2bl w:val="nil"/>
                  </w:tcBorders>
                  <w:vAlign w:val="center"/>
                </w:tcPr>
                <w:p w14:paraId="73A9681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714" w:type="dxa"/>
                  <w:tcBorders>
                    <w:tl2br w:val="nil"/>
                    <w:tr2bl w:val="nil"/>
                  </w:tcBorders>
                  <w:shd w:val="clear" w:color="auto" w:fill="auto"/>
                  <w:vAlign w:val="center"/>
                </w:tcPr>
                <w:p w14:paraId="085FCDD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NH</w:t>
                  </w:r>
                  <w:r>
                    <w:rPr>
                      <w:rFonts w:hint="eastAsia" w:cs="Times New Roman" w:eastAsiaTheme="minorEastAsia"/>
                      <w:color w:val="auto"/>
                      <w:sz w:val="21"/>
                      <w:szCs w:val="21"/>
                      <w:highlight w:val="none"/>
                      <w:vertAlign w:val="subscript"/>
                      <w:lang w:val="en-US" w:eastAsia="zh-CN"/>
                    </w:rPr>
                    <w:t>3</w:t>
                  </w:r>
                </w:p>
              </w:tc>
              <w:tc>
                <w:tcPr>
                  <w:tcW w:w="3510" w:type="dxa"/>
                  <w:tcBorders>
                    <w:tl2br w:val="nil"/>
                    <w:tr2bl w:val="nil"/>
                  </w:tcBorders>
                  <w:vAlign w:val="center"/>
                </w:tcPr>
                <w:p w14:paraId="6FC13F8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9.742</w:t>
                  </w:r>
                </w:p>
              </w:tc>
            </w:tr>
            <w:tr w14:paraId="7815BC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 w:type="dxa"/>
                  <w:vMerge w:val="continue"/>
                  <w:tcBorders>
                    <w:tl2br w:val="nil"/>
                    <w:tr2bl w:val="nil"/>
                  </w:tcBorders>
                  <w:vAlign w:val="center"/>
                </w:tcPr>
                <w:p w14:paraId="7017F08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714" w:type="dxa"/>
                  <w:tcBorders>
                    <w:tl2br w:val="nil"/>
                    <w:tr2bl w:val="nil"/>
                  </w:tcBorders>
                  <w:shd w:val="clear" w:color="auto" w:fill="auto"/>
                  <w:vAlign w:val="center"/>
                </w:tcPr>
                <w:p w14:paraId="1A286E3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H</w:t>
                  </w:r>
                  <w:r>
                    <w:rPr>
                      <w:rFonts w:hint="eastAsia" w:cs="Times New Roman" w:eastAsiaTheme="minorEastAsia"/>
                      <w:color w:val="auto"/>
                      <w:sz w:val="21"/>
                      <w:szCs w:val="21"/>
                      <w:highlight w:val="none"/>
                      <w:vertAlign w:val="subscript"/>
                      <w:lang w:val="en-US" w:eastAsia="zh-CN"/>
                    </w:rPr>
                    <w:t>2</w:t>
                  </w:r>
                  <w:r>
                    <w:rPr>
                      <w:rFonts w:hint="eastAsia" w:cs="Times New Roman" w:eastAsiaTheme="minorEastAsia"/>
                      <w:color w:val="auto"/>
                      <w:sz w:val="21"/>
                      <w:szCs w:val="21"/>
                      <w:highlight w:val="none"/>
                      <w:lang w:val="en-US" w:eastAsia="zh-CN"/>
                    </w:rPr>
                    <w:t>S</w:t>
                  </w:r>
                </w:p>
              </w:tc>
              <w:tc>
                <w:tcPr>
                  <w:tcW w:w="3510" w:type="dxa"/>
                  <w:tcBorders>
                    <w:tl2br w:val="nil"/>
                    <w:tr2bl w:val="nil"/>
                  </w:tcBorders>
                  <w:vAlign w:val="center"/>
                </w:tcPr>
                <w:p w14:paraId="7332F8F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0.0404</w:t>
                  </w:r>
                </w:p>
              </w:tc>
            </w:tr>
            <w:tr w14:paraId="0FB5E3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 w:type="dxa"/>
                  <w:vMerge w:val="continue"/>
                  <w:tcBorders>
                    <w:tl2br w:val="nil"/>
                    <w:tr2bl w:val="nil"/>
                  </w:tcBorders>
                  <w:vAlign w:val="center"/>
                </w:tcPr>
                <w:p w14:paraId="7050D64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714" w:type="dxa"/>
                  <w:tcBorders>
                    <w:tl2br w:val="nil"/>
                    <w:tr2bl w:val="nil"/>
                  </w:tcBorders>
                  <w:shd w:val="clear" w:color="auto" w:fill="auto"/>
                  <w:vAlign w:val="center"/>
                </w:tcPr>
                <w:p w14:paraId="09B5F2A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氟化物</w:t>
                  </w:r>
                </w:p>
              </w:tc>
              <w:tc>
                <w:tcPr>
                  <w:tcW w:w="3510" w:type="dxa"/>
                  <w:tcBorders>
                    <w:tl2br w:val="nil"/>
                    <w:tr2bl w:val="nil"/>
                  </w:tcBorders>
                  <w:vAlign w:val="center"/>
                </w:tcPr>
                <w:p w14:paraId="6688252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3.889</w:t>
                  </w:r>
                </w:p>
              </w:tc>
            </w:tr>
            <w:tr w14:paraId="749FE9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 w:type="dxa"/>
                  <w:vMerge w:val="continue"/>
                  <w:tcBorders>
                    <w:tl2br w:val="nil"/>
                    <w:tr2bl w:val="nil"/>
                  </w:tcBorders>
                  <w:vAlign w:val="center"/>
                </w:tcPr>
                <w:p w14:paraId="24C2B2E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714" w:type="dxa"/>
                  <w:tcBorders>
                    <w:tl2br w:val="nil"/>
                    <w:tr2bl w:val="nil"/>
                  </w:tcBorders>
                  <w:shd w:val="clear" w:color="auto" w:fill="auto"/>
                  <w:vAlign w:val="center"/>
                </w:tcPr>
                <w:p w14:paraId="7FB415A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HF</w:t>
                  </w:r>
                </w:p>
              </w:tc>
              <w:tc>
                <w:tcPr>
                  <w:tcW w:w="3510" w:type="dxa"/>
                  <w:tcBorders>
                    <w:tl2br w:val="nil"/>
                    <w:tr2bl w:val="nil"/>
                  </w:tcBorders>
                  <w:vAlign w:val="center"/>
                </w:tcPr>
                <w:p w14:paraId="1F958D0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3.534</w:t>
                  </w:r>
                </w:p>
              </w:tc>
            </w:tr>
            <w:tr w14:paraId="446F7D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 w:type="dxa"/>
                  <w:vMerge w:val="continue"/>
                  <w:tcBorders>
                    <w:tl2br w:val="nil"/>
                    <w:tr2bl w:val="nil"/>
                  </w:tcBorders>
                  <w:vAlign w:val="center"/>
                </w:tcPr>
                <w:p w14:paraId="66FC3F2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714" w:type="dxa"/>
                  <w:tcBorders>
                    <w:tl2br w:val="nil"/>
                    <w:tr2bl w:val="nil"/>
                  </w:tcBorders>
                  <w:shd w:val="clear" w:color="auto" w:fill="auto"/>
                  <w:vAlign w:val="center"/>
                </w:tcPr>
                <w:p w14:paraId="5A018AE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HCl</w:t>
                  </w:r>
                </w:p>
              </w:tc>
              <w:tc>
                <w:tcPr>
                  <w:tcW w:w="3510" w:type="dxa"/>
                  <w:tcBorders>
                    <w:tl2br w:val="nil"/>
                    <w:tr2bl w:val="nil"/>
                  </w:tcBorders>
                  <w:vAlign w:val="center"/>
                </w:tcPr>
                <w:p w14:paraId="5CCADAE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14.556</w:t>
                  </w:r>
                </w:p>
              </w:tc>
            </w:tr>
            <w:tr w14:paraId="686A1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 w:type="dxa"/>
                  <w:vMerge w:val="continue"/>
                  <w:tcBorders>
                    <w:tl2br w:val="nil"/>
                    <w:tr2bl w:val="nil"/>
                  </w:tcBorders>
                  <w:vAlign w:val="center"/>
                </w:tcPr>
                <w:p w14:paraId="39A6FBA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714" w:type="dxa"/>
                  <w:tcBorders>
                    <w:tl2br w:val="nil"/>
                    <w:tr2bl w:val="nil"/>
                  </w:tcBorders>
                  <w:shd w:val="clear" w:color="auto" w:fill="auto"/>
                  <w:vAlign w:val="center"/>
                </w:tcPr>
                <w:p w14:paraId="6A9EBFD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汞及其化合物（以Hg计）</w:t>
                  </w:r>
                </w:p>
              </w:tc>
              <w:tc>
                <w:tcPr>
                  <w:tcW w:w="3510" w:type="dxa"/>
                  <w:tcBorders>
                    <w:tl2br w:val="nil"/>
                    <w:tr2bl w:val="nil"/>
                  </w:tcBorders>
                  <w:vAlign w:val="center"/>
                </w:tcPr>
                <w:p w14:paraId="7FB34B2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48.221kg/a</w:t>
                  </w:r>
                </w:p>
              </w:tc>
            </w:tr>
            <w:tr w14:paraId="4AB81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35" w:type="dxa"/>
                  <w:vMerge w:val="continue"/>
                  <w:tcBorders>
                    <w:tl2br w:val="nil"/>
                    <w:tr2bl w:val="nil"/>
                  </w:tcBorders>
                  <w:vAlign w:val="center"/>
                </w:tcPr>
                <w:p w14:paraId="01A67E4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714" w:type="dxa"/>
                  <w:tcBorders>
                    <w:tl2br w:val="nil"/>
                    <w:tr2bl w:val="nil"/>
                  </w:tcBorders>
                  <w:shd w:val="clear" w:color="auto" w:fill="auto"/>
                  <w:vAlign w:val="center"/>
                </w:tcPr>
                <w:p w14:paraId="3C686CF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铊、镉、铅、砷及其化合物（以Ti+Cd+Pb+As计）</w:t>
                  </w:r>
                </w:p>
              </w:tc>
              <w:tc>
                <w:tcPr>
                  <w:tcW w:w="3510" w:type="dxa"/>
                  <w:tcBorders>
                    <w:tl2br w:val="nil"/>
                    <w:tr2bl w:val="nil"/>
                  </w:tcBorders>
                  <w:vAlign w:val="center"/>
                </w:tcPr>
                <w:p w14:paraId="053FA91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95.374kg/a</w:t>
                  </w:r>
                </w:p>
              </w:tc>
            </w:tr>
            <w:tr w14:paraId="7A57A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35" w:type="dxa"/>
                  <w:vMerge w:val="continue"/>
                  <w:tcBorders>
                    <w:tl2br w:val="nil"/>
                    <w:tr2bl w:val="nil"/>
                  </w:tcBorders>
                  <w:vAlign w:val="center"/>
                </w:tcPr>
                <w:p w14:paraId="15E3CB5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714" w:type="dxa"/>
                  <w:tcBorders>
                    <w:tl2br w:val="nil"/>
                    <w:tr2bl w:val="nil"/>
                  </w:tcBorders>
                  <w:shd w:val="clear" w:color="auto" w:fill="auto"/>
                  <w:vAlign w:val="center"/>
                </w:tcPr>
                <w:p w14:paraId="783201A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铍、铬、锡、锑、铜、钴、锰、镍、钒及其化合物</w:t>
                  </w:r>
                </w:p>
              </w:tc>
              <w:tc>
                <w:tcPr>
                  <w:tcW w:w="3510" w:type="dxa"/>
                  <w:tcBorders>
                    <w:tl2br w:val="nil"/>
                    <w:tr2bl w:val="nil"/>
                  </w:tcBorders>
                  <w:vAlign w:val="center"/>
                </w:tcPr>
                <w:p w14:paraId="6DD9303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523.622kg/a</w:t>
                  </w:r>
                </w:p>
              </w:tc>
            </w:tr>
            <w:tr w14:paraId="1705C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 w:type="dxa"/>
                  <w:vMerge w:val="continue"/>
                  <w:tcBorders>
                    <w:tl2br w:val="nil"/>
                    <w:tr2bl w:val="nil"/>
                  </w:tcBorders>
                  <w:vAlign w:val="center"/>
                </w:tcPr>
                <w:p w14:paraId="1FC474C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p>
              </w:tc>
              <w:tc>
                <w:tcPr>
                  <w:tcW w:w="3714" w:type="dxa"/>
                  <w:tcBorders>
                    <w:tl2br w:val="nil"/>
                    <w:tr2bl w:val="nil"/>
                  </w:tcBorders>
                  <w:shd w:val="clear" w:color="auto" w:fill="auto"/>
                  <w:vAlign w:val="center"/>
                </w:tcPr>
                <w:p w14:paraId="6E255FE5">
                  <w:pPr>
                    <w:pStyle w:val="32"/>
                    <w:spacing w:before="21" w:line="205" w:lineRule="auto"/>
                    <w:ind w:left="120" w:leftChars="0"/>
                    <w:jc w:val="center"/>
                    <w:rPr>
                      <w:rFonts w:ascii="Times New Roman" w:hAnsi="Times New Roman" w:eastAsia="Times New Roman" w:cs="Times New Roman"/>
                      <w:color w:val="auto"/>
                      <w:highlight w:val="none"/>
                    </w:rPr>
                  </w:pPr>
                  <w:r>
                    <w:rPr>
                      <w:color w:val="auto"/>
                      <w:spacing w:val="-3"/>
                      <w:highlight w:val="none"/>
                    </w:rPr>
                    <w:t>二噁英</w:t>
                  </w:r>
                </w:p>
              </w:tc>
              <w:tc>
                <w:tcPr>
                  <w:tcW w:w="3510" w:type="dxa"/>
                  <w:tcBorders>
                    <w:tl2br w:val="nil"/>
                    <w:tr2bl w:val="nil"/>
                  </w:tcBorders>
                  <w:vAlign w:val="center"/>
                </w:tcPr>
                <w:p w14:paraId="2198F15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0.0668gTEQ/a</w:t>
                  </w:r>
                </w:p>
              </w:tc>
            </w:tr>
            <w:tr w14:paraId="6EE6F6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 w:type="dxa"/>
                  <w:vMerge w:val="restart"/>
                  <w:tcBorders>
                    <w:tl2br w:val="nil"/>
                    <w:tr2bl w:val="nil"/>
                  </w:tcBorders>
                  <w:vAlign w:val="center"/>
                </w:tcPr>
                <w:p w14:paraId="6212A90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废水</w:t>
                  </w:r>
                </w:p>
              </w:tc>
              <w:tc>
                <w:tcPr>
                  <w:tcW w:w="3714" w:type="dxa"/>
                  <w:tcBorders>
                    <w:tl2br w:val="nil"/>
                    <w:tr2bl w:val="nil"/>
                  </w:tcBorders>
                  <w:vAlign w:val="center"/>
                </w:tcPr>
                <w:p w14:paraId="5652432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生产废水</w:t>
                  </w:r>
                </w:p>
              </w:tc>
              <w:tc>
                <w:tcPr>
                  <w:tcW w:w="3510" w:type="dxa"/>
                  <w:tcBorders>
                    <w:tl2br w:val="nil"/>
                    <w:tr2bl w:val="nil"/>
                  </w:tcBorders>
                  <w:vAlign w:val="center"/>
                </w:tcPr>
                <w:p w14:paraId="6EC7956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cs="Times New Roman" w:eastAsiaTheme="minorEastAsia"/>
                      <w:b w:val="0"/>
                      <w:bCs w:val="0"/>
                      <w:color w:val="auto"/>
                      <w:kern w:val="2"/>
                      <w:sz w:val="21"/>
                      <w:szCs w:val="21"/>
                      <w:highlight w:val="none"/>
                      <w:lang w:val="en-US" w:eastAsia="zh-CN" w:bidi="ar-SA"/>
                    </w:rPr>
                    <w:t>0</w:t>
                  </w:r>
                </w:p>
              </w:tc>
            </w:tr>
            <w:tr w14:paraId="4D7306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 w:type="dxa"/>
                  <w:vMerge w:val="continue"/>
                  <w:tcBorders>
                    <w:tl2br w:val="nil"/>
                    <w:tr2bl w:val="nil"/>
                  </w:tcBorders>
                  <w:vAlign w:val="center"/>
                </w:tcPr>
                <w:p w14:paraId="3C46683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p>
              </w:tc>
              <w:tc>
                <w:tcPr>
                  <w:tcW w:w="3714" w:type="dxa"/>
                  <w:tcBorders>
                    <w:tl2br w:val="nil"/>
                    <w:tr2bl w:val="nil"/>
                  </w:tcBorders>
                  <w:vAlign w:val="center"/>
                </w:tcPr>
                <w:p w14:paraId="56D7FC0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渗滤液</w:t>
                  </w:r>
                </w:p>
              </w:tc>
              <w:tc>
                <w:tcPr>
                  <w:tcW w:w="3510" w:type="dxa"/>
                  <w:tcBorders>
                    <w:tl2br w:val="nil"/>
                    <w:tr2bl w:val="nil"/>
                  </w:tcBorders>
                  <w:vAlign w:val="center"/>
                </w:tcPr>
                <w:p w14:paraId="4524EF5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cs="Times New Roman" w:eastAsiaTheme="minorEastAsia"/>
                      <w:b w:val="0"/>
                      <w:bCs w:val="0"/>
                      <w:color w:val="auto"/>
                      <w:kern w:val="2"/>
                      <w:sz w:val="21"/>
                      <w:szCs w:val="21"/>
                      <w:highlight w:val="none"/>
                      <w:lang w:val="en-US" w:eastAsia="zh-CN" w:bidi="ar-SA"/>
                    </w:rPr>
                    <w:t>0</w:t>
                  </w:r>
                </w:p>
              </w:tc>
            </w:tr>
            <w:tr w14:paraId="523F86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 w:type="dxa"/>
                  <w:vMerge w:val="continue"/>
                  <w:tcBorders>
                    <w:tl2br w:val="nil"/>
                    <w:tr2bl w:val="nil"/>
                  </w:tcBorders>
                  <w:vAlign w:val="center"/>
                </w:tcPr>
                <w:p w14:paraId="167FF6B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p>
              </w:tc>
              <w:tc>
                <w:tcPr>
                  <w:tcW w:w="3714" w:type="dxa"/>
                  <w:tcBorders>
                    <w:tl2br w:val="nil"/>
                    <w:tr2bl w:val="nil"/>
                  </w:tcBorders>
                  <w:vAlign w:val="center"/>
                </w:tcPr>
                <w:p w14:paraId="415D3ED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生活污水</w:t>
                  </w:r>
                </w:p>
              </w:tc>
              <w:tc>
                <w:tcPr>
                  <w:tcW w:w="3510" w:type="dxa"/>
                  <w:tcBorders>
                    <w:tl2br w:val="nil"/>
                    <w:tr2bl w:val="nil"/>
                  </w:tcBorders>
                  <w:vAlign w:val="center"/>
                </w:tcPr>
                <w:p w14:paraId="2A4AAF1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cs="Times New Roman" w:eastAsiaTheme="minorEastAsia"/>
                      <w:b w:val="0"/>
                      <w:bCs w:val="0"/>
                      <w:color w:val="auto"/>
                      <w:kern w:val="2"/>
                      <w:sz w:val="21"/>
                      <w:szCs w:val="21"/>
                      <w:highlight w:val="none"/>
                      <w:lang w:val="en-US" w:eastAsia="zh-CN" w:bidi="ar-SA"/>
                    </w:rPr>
                    <w:t>0</w:t>
                  </w:r>
                </w:p>
              </w:tc>
            </w:tr>
            <w:tr w14:paraId="4F4FB8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 w:type="dxa"/>
                  <w:vMerge w:val="restart"/>
                  <w:tcBorders>
                    <w:tl2br w:val="nil"/>
                    <w:tr2bl w:val="nil"/>
                  </w:tcBorders>
                  <w:vAlign w:val="center"/>
                </w:tcPr>
                <w:p w14:paraId="4E43F9F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固体废物</w:t>
                  </w:r>
                </w:p>
              </w:tc>
              <w:tc>
                <w:tcPr>
                  <w:tcW w:w="3714" w:type="dxa"/>
                  <w:tcBorders>
                    <w:tl2br w:val="nil"/>
                    <w:tr2bl w:val="nil"/>
                  </w:tcBorders>
                  <w:shd w:val="clear" w:color="auto" w:fill="auto"/>
                  <w:vAlign w:val="center"/>
                </w:tcPr>
                <w:p w14:paraId="4A26274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布袋除尘器收集粉尘</w:t>
                  </w:r>
                </w:p>
              </w:tc>
              <w:tc>
                <w:tcPr>
                  <w:tcW w:w="3510" w:type="dxa"/>
                  <w:tcBorders>
                    <w:tl2br w:val="nil"/>
                    <w:tr2bl w:val="nil"/>
                  </w:tcBorders>
                  <w:vAlign w:val="center"/>
                </w:tcPr>
                <w:p w14:paraId="1D2F4A8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cs="Times New Roman" w:eastAsiaTheme="minorEastAsia"/>
                      <w:b w:val="0"/>
                      <w:bCs w:val="0"/>
                      <w:color w:val="auto"/>
                      <w:sz w:val="21"/>
                      <w:szCs w:val="21"/>
                      <w:highlight w:val="none"/>
                      <w:lang w:val="en-US" w:eastAsia="zh-CN"/>
                    </w:rPr>
                    <w:t>8.145</w:t>
                  </w:r>
                </w:p>
              </w:tc>
            </w:tr>
            <w:tr w14:paraId="5C1EB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 w:type="dxa"/>
                  <w:vMerge w:val="continue"/>
                  <w:tcBorders>
                    <w:tl2br w:val="nil"/>
                    <w:tr2bl w:val="nil"/>
                  </w:tcBorders>
                  <w:vAlign w:val="center"/>
                </w:tcPr>
                <w:p w14:paraId="657EA3D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cs="Times New Roman" w:eastAsiaTheme="minorEastAsia"/>
                      <w:b w:val="0"/>
                      <w:bCs w:val="0"/>
                      <w:color w:val="auto"/>
                      <w:sz w:val="21"/>
                      <w:szCs w:val="21"/>
                      <w:highlight w:val="none"/>
                      <w:lang w:val="en-US" w:eastAsia="zh-CN"/>
                    </w:rPr>
                  </w:pPr>
                </w:p>
              </w:tc>
              <w:tc>
                <w:tcPr>
                  <w:tcW w:w="3714" w:type="dxa"/>
                  <w:tcBorders>
                    <w:tl2br w:val="nil"/>
                    <w:tr2bl w:val="nil"/>
                  </w:tcBorders>
                  <w:shd w:val="clear" w:color="auto" w:fill="auto"/>
                  <w:vAlign w:val="center"/>
                </w:tcPr>
                <w:p w14:paraId="5762923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废包装袋</w:t>
                  </w:r>
                </w:p>
              </w:tc>
              <w:tc>
                <w:tcPr>
                  <w:tcW w:w="3510" w:type="dxa"/>
                  <w:tcBorders>
                    <w:tl2br w:val="nil"/>
                    <w:tr2bl w:val="nil"/>
                  </w:tcBorders>
                  <w:vAlign w:val="center"/>
                </w:tcPr>
                <w:p w14:paraId="1193A5D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cs="Times New Roman" w:eastAsiaTheme="minorEastAsia"/>
                      <w:b w:val="0"/>
                      <w:bCs w:val="0"/>
                      <w:color w:val="auto"/>
                      <w:kern w:val="2"/>
                      <w:sz w:val="21"/>
                      <w:szCs w:val="21"/>
                      <w:highlight w:val="none"/>
                      <w:lang w:val="en-US" w:eastAsia="zh-CN" w:bidi="ar-SA"/>
                    </w:rPr>
                    <w:t>4.0</w:t>
                  </w:r>
                </w:p>
              </w:tc>
            </w:tr>
            <w:tr w14:paraId="0D691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 w:type="dxa"/>
                  <w:vMerge w:val="continue"/>
                  <w:tcBorders>
                    <w:tl2br w:val="nil"/>
                    <w:tr2bl w:val="nil"/>
                  </w:tcBorders>
                  <w:vAlign w:val="center"/>
                </w:tcPr>
                <w:p w14:paraId="4FAEE3B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p>
              </w:tc>
              <w:tc>
                <w:tcPr>
                  <w:tcW w:w="3714" w:type="dxa"/>
                  <w:tcBorders>
                    <w:tl2br w:val="nil"/>
                    <w:tr2bl w:val="nil"/>
                  </w:tcBorders>
                  <w:shd w:val="clear" w:color="auto" w:fill="auto"/>
                  <w:vAlign w:val="center"/>
                </w:tcPr>
                <w:p w14:paraId="6D05AFB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污水处理站污泥</w:t>
                  </w:r>
                </w:p>
              </w:tc>
              <w:tc>
                <w:tcPr>
                  <w:tcW w:w="3510" w:type="dxa"/>
                  <w:tcBorders>
                    <w:tl2br w:val="nil"/>
                    <w:tr2bl w:val="nil"/>
                  </w:tcBorders>
                  <w:vAlign w:val="center"/>
                </w:tcPr>
                <w:p w14:paraId="1F8CF8B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cs="Times New Roman" w:eastAsiaTheme="minorEastAsia"/>
                      <w:b w:val="0"/>
                      <w:bCs w:val="0"/>
                      <w:color w:val="auto"/>
                      <w:sz w:val="21"/>
                      <w:szCs w:val="21"/>
                      <w:highlight w:val="none"/>
                      <w:lang w:val="en-US" w:eastAsia="zh-CN"/>
                    </w:rPr>
                    <w:t>3.0</w:t>
                  </w:r>
                </w:p>
              </w:tc>
            </w:tr>
            <w:tr w14:paraId="6B5BD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 w:type="dxa"/>
                  <w:vMerge w:val="continue"/>
                  <w:tcBorders>
                    <w:tl2br w:val="nil"/>
                    <w:tr2bl w:val="nil"/>
                  </w:tcBorders>
                  <w:vAlign w:val="center"/>
                </w:tcPr>
                <w:p w14:paraId="58C7A48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p>
              </w:tc>
              <w:tc>
                <w:tcPr>
                  <w:tcW w:w="3714" w:type="dxa"/>
                  <w:tcBorders>
                    <w:tl2br w:val="nil"/>
                    <w:tr2bl w:val="nil"/>
                  </w:tcBorders>
                  <w:shd w:val="clear" w:color="auto" w:fill="auto"/>
                  <w:vAlign w:val="center"/>
                </w:tcPr>
                <w:p w14:paraId="527CFF0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废包装和废活性炭</w:t>
                  </w:r>
                </w:p>
              </w:tc>
              <w:tc>
                <w:tcPr>
                  <w:tcW w:w="3510" w:type="dxa"/>
                  <w:tcBorders>
                    <w:tl2br w:val="nil"/>
                    <w:tr2bl w:val="nil"/>
                  </w:tcBorders>
                  <w:vAlign w:val="center"/>
                </w:tcPr>
                <w:p w14:paraId="1B989CC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cs="Times New Roman" w:eastAsiaTheme="minorEastAsia"/>
                      <w:b w:val="0"/>
                      <w:bCs w:val="0"/>
                      <w:color w:val="auto"/>
                      <w:sz w:val="21"/>
                      <w:szCs w:val="21"/>
                      <w:highlight w:val="none"/>
                      <w:lang w:val="en-US" w:eastAsia="zh-CN"/>
                    </w:rPr>
                    <w:t>11.5</w:t>
                  </w:r>
                </w:p>
              </w:tc>
            </w:tr>
            <w:tr w14:paraId="390C03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 w:type="dxa"/>
                  <w:vMerge w:val="continue"/>
                  <w:tcBorders>
                    <w:tl2br w:val="nil"/>
                    <w:tr2bl w:val="nil"/>
                  </w:tcBorders>
                  <w:vAlign w:val="center"/>
                </w:tcPr>
                <w:p w14:paraId="6E57275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p>
              </w:tc>
              <w:tc>
                <w:tcPr>
                  <w:tcW w:w="3714" w:type="dxa"/>
                  <w:tcBorders>
                    <w:tl2br w:val="nil"/>
                    <w:tr2bl w:val="nil"/>
                  </w:tcBorders>
                  <w:shd w:val="clear" w:color="auto" w:fill="auto"/>
                  <w:vAlign w:val="center"/>
                </w:tcPr>
                <w:p w14:paraId="4FF9307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生活垃圾</w:t>
                  </w:r>
                </w:p>
              </w:tc>
              <w:tc>
                <w:tcPr>
                  <w:tcW w:w="3510" w:type="dxa"/>
                  <w:tcBorders>
                    <w:tl2br w:val="nil"/>
                    <w:tr2bl w:val="nil"/>
                  </w:tcBorders>
                  <w:vAlign w:val="center"/>
                </w:tcPr>
                <w:p w14:paraId="02BAC8A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cs="Times New Roman" w:eastAsiaTheme="minorEastAsia"/>
                      <w:b w:val="0"/>
                      <w:bCs w:val="0"/>
                      <w:color w:val="auto"/>
                      <w:sz w:val="21"/>
                      <w:szCs w:val="21"/>
                      <w:highlight w:val="none"/>
                      <w:lang w:val="en-US" w:eastAsia="zh-CN"/>
                    </w:rPr>
                    <w:t>128.5</w:t>
                  </w:r>
                </w:p>
              </w:tc>
            </w:tr>
            <w:tr w14:paraId="7A1F0C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 w:type="dxa"/>
                  <w:vMerge w:val="continue"/>
                  <w:tcBorders>
                    <w:tl2br w:val="nil"/>
                    <w:tr2bl w:val="nil"/>
                  </w:tcBorders>
                  <w:vAlign w:val="center"/>
                </w:tcPr>
                <w:p w14:paraId="5B25632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p>
              </w:tc>
              <w:tc>
                <w:tcPr>
                  <w:tcW w:w="3714" w:type="dxa"/>
                  <w:tcBorders>
                    <w:tl2br w:val="nil"/>
                    <w:tr2bl w:val="nil"/>
                  </w:tcBorders>
                  <w:shd w:val="clear" w:color="auto" w:fill="auto"/>
                  <w:vAlign w:val="center"/>
                </w:tcPr>
                <w:p w14:paraId="2482B67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废矿物油与含矿物油废物</w:t>
                  </w:r>
                </w:p>
              </w:tc>
              <w:tc>
                <w:tcPr>
                  <w:tcW w:w="3510" w:type="dxa"/>
                  <w:tcBorders>
                    <w:tl2br w:val="nil"/>
                    <w:tr2bl w:val="nil"/>
                  </w:tcBorders>
                  <w:vAlign w:val="center"/>
                </w:tcPr>
                <w:p w14:paraId="6A07DBB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cs="Times New Roman" w:eastAsiaTheme="minorEastAsia"/>
                      <w:b w:val="0"/>
                      <w:bCs w:val="0"/>
                      <w:color w:val="auto"/>
                      <w:sz w:val="21"/>
                      <w:szCs w:val="21"/>
                      <w:highlight w:val="none"/>
                      <w:lang w:val="en-US" w:eastAsia="zh-CN"/>
                    </w:rPr>
                    <w:t>3.17</w:t>
                  </w:r>
                </w:p>
              </w:tc>
            </w:tr>
            <w:tr w14:paraId="689298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 w:type="dxa"/>
                  <w:vMerge w:val="continue"/>
                  <w:tcBorders>
                    <w:tl2br w:val="nil"/>
                    <w:tr2bl w:val="nil"/>
                  </w:tcBorders>
                  <w:vAlign w:val="center"/>
                </w:tcPr>
                <w:p w14:paraId="54F7579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p>
              </w:tc>
              <w:tc>
                <w:tcPr>
                  <w:tcW w:w="3714" w:type="dxa"/>
                  <w:tcBorders>
                    <w:tl2br w:val="nil"/>
                    <w:tr2bl w:val="nil"/>
                  </w:tcBorders>
                  <w:shd w:val="clear" w:color="auto" w:fill="auto"/>
                  <w:vAlign w:val="center"/>
                </w:tcPr>
                <w:p w14:paraId="20B787A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含油抹布、手套</w:t>
                  </w:r>
                </w:p>
              </w:tc>
              <w:tc>
                <w:tcPr>
                  <w:tcW w:w="3510" w:type="dxa"/>
                  <w:tcBorders>
                    <w:tl2br w:val="nil"/>
                    <w:tr2bl w:val="nil"/>
                  </w:tcBorders>
                  <w:vAlign w:val="center"/>
                </w:tcPr>
                <w:p w14:paraId="34A2763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3.5</w:t>
                  </w:r>
                  <w:r>
                    <w:rPr>
                      <w:rFonts w:hint="eastAsia" w:ascii="Times New Roman" w:hAnsi="Times New Roman" w:cs="Times New Roman" w:eastAsiaTheme="minorEastAsia"/>
                      <w:b w:val="0"/>
                      <w:bCs w:val="0"/>
                      <w:color w:val="auto"/>
                      <w:sz w:val="21"/>
                      <w:szCs w:val="21"/>
                      <w:highlight w:val="none"/>
                      <w:lang w:val="en-US" w:eastAsia="zh-CN"/>
                    </w:rPr>
                    <w:t>t</w:t>
                  </w:r>
                </w:p>
              </w:tc>
            </w:tr>
            <w:tr w14:paraId="49721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5" w:type="dxa"/>
                  <w:vMerge w:val="continue"/>
                  <w:tcBorders>
                    <w:tl2br w:val="nil"/>
                    <w:tr2bl w:val="nil"/>
                  </w:tcBorders>
                  <w:vAlign w:val="center"/>
                </w:tcPr>
                <w:p w14:paraId="389765C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p>
              </w:tc>
              <w:tc>
                <w:tcPr>
                  <w:tcW w:w="3714" w:type="dxa"/>
                  <w:tcBorders>
                    <w:tl2br w:val="nil"/>
                    <w:tr2bl w:val="nil"/>
                  </w:tcBorders>
                  <w:shd w:val="clear" w:color="auto" w:fill="auto"/>
                  <w:vAlign w:val="center"/>
                </w:tcPr>
                <w:p w14:paraId="6E7A123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废油桶</w:t>
                  </w:r>
                </w:p>
              </w:tc>
              <w:tc>
                <w:tcPr>
                  <w:tcW w:w="3510" w:type="dxa"/>
                  <w:tcBorders>
                    <w:tl2br w:val="nil"/>
                    <w:tr2bl w:val="nil"/>
                  </w:tcBorders>
                  <w:vAlign w:val="center"/>
                </w:tcPr>
                <w:p w14:paraId="573B7CD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cs="Times New Roman" w:eastAsiaTheme="minorEastAsia"/>
                      <w:b w:val="0"/>
                      <w:bCs w:val="0"/>
                      <w:color w:val="auto"/>
                      <w:sz w:val="21"/>
                      <w:szCs w:val="21"/>
                      <w:highlight w:val="none"/>
                      <w:lang w:val="en-US" w:eastAsia="zh-CN"/>
                    </w:rPr>
                    <w:t>0.1</w:t>
                  </w:r>
                </w:p>
              </w:tc>
            </w:tr>
          </w:tbl>
          <w:p w14:paraId="2C15C301">
            <w:pPr>
              <w:pStyle w:val="27"/>
              <w:spacing w:line="360" w:lineRule="auto"/>
              <w:ind w:right="86" w:firstLine="482" w:firstLineChars="200"/>
              <w:rPr>
                <w:rFonts w:hint="eastAsia" w:ascii="Times New Roman" w:hAnsi="Times New Roman" w:cs="Times New Roman" w:eastAsiaTheme="minorEastAsia"/>
                <w:b/>
                <w:bCs/>
                <w:color w:val="auto"/>
                <w:sz w:val="24"/>
                <w:highlight w:val="none"/>
                <w:lang w:val="en-US" w:eastAsia="zh-CN"/>
              </w:rPr>
            </w:pPr>
            <w:r>
              <w:rPr>
                <w:rFonts w:hint="eastAsia" w:ascii="Times New Roman" w:hAnsi="Times New Roman" w:cs="Times New Roman" w:eastAsiaTheme="minorEastAsia"/>
                <w:b/>
                <w:bCs/>
                <w:color w:val="auto"/>
                <w:sz w:val="24"/>
                <w:highlight w:val="none"/>
                <w:lang w:val="en-US" w:eastAsia="zh-CN"/>
              </w:rPr>
              <w:t>4.排污许可证申领情况</w:t>
            </w:r>
          </w:p>
          <w:p w14:paraId="174497FB">
            <w:pPr>
              <w:pStyle w:val="27"/>
              <w:spacing w:line="360" w:lineRule="auto"/>
              <w:ind w:right="86" w:firstLine="480" w:firstLineChars="200"/>
              <w:rPr>
                <w:rFonts w:hint="eastAsia" w:ascii="Times New Roman" w:hAnsi="Times New Roman" w:cs="Times New Roman" w:eastAsiaTheme="minorEastAsia"/>
                <w:b/>
                <w:bCs/>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根据建设单位提供的资料，金隅冀东凤翔环保科技有限公司于2017年12月1日首次申领排污许可证，企业最近一次于2024年9月14日重新申领了排污许可证（详见附件7），许可证编号为91610322684763120N001P，有效期2024年9月14日至2029年9月13日。</w:t>
            </w:r>
          </w:p>
          <w:p w14:paraId="1D685F7F">
            <w:pPr>
              <w:pStyle w:val="27"/>
              <w:numPr>
                <w:ilvl w:val="0"/>
                <w:numId w:val="0"/>
              </w:numPr>
              <w:spacing w:line="360" w:lineRule="auto"/>
              <w:ind w:right="86" w:rightChars="0" w:firstLine="482" w:firstLineChars="200"/>
              <w:rPr>
                <w:rFonts w:hint="default" w:ascii="Times New Roman" w:hAnsi="Times New Roman" w:cs="Times New Roman" w:eastAsiaTheme="minorEastAsia"/>
                <w:b/>
                <w:bCs/>
                <w:color w:val="auto"/>
                <w:sz w:val="24"/>
                <w:highlight w:val="none"/>
                <w:lang w:val="en-US" w:eastAsia="zh-CN"/>
              </w:rPr>
            </w:pPr>
            <w:r>
              <w:rPr>
                <w:rFonts w:hint="eastAsia" w:ascii="Times New Roman" w:hAnsi="Times New Roman" w:cs="Times New Roman" w:eastAsiaTheme="minorEastAsia"/>
                <w:b/>
                <w:bCs/>
                <w:color w:val="auto"/>
                <w:sz w:val="24"/>
                <w:highlight w:val="none"/>
                <w:lang w:val="en-US" w:eastAsia="zh-CN"/>
              </w:rPr>
              <w:t>5.现有工程污染物总量控制指标</w:t>
            </w:r>
          </w:p>
          <w:p w14:paraId="3BA36B4A">
            <w:pPr>
              <w:pStyle w:val="27"/>
              <w:spacing w:line="360" w:lineRule="auto"/>
              <w:ind w:right="86" w:firstLine="480" w:firstLineChars="200"/>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排污许可证许可排放量及执行情况见表2-19。</w:t>
            </w:r>
          </w:p>
          <w:p w14:paraId="55031075">
            <w:pPr>
              <w:pStyle w:val="27"/>
              <w:numPr>
                <w:ilvl w:val="0"/>
                <w:numId w:val="0"/>
              </w:numPr>
              <w:spacing w:line="240" w:lineRule="auto"/>
              <w:ind w:right="86" w:rightChars="0" w:firstLine="422" w:firstLineChars="20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表2-</w:t>
            </w:r>
            <w:r>
              <w:rPr>
                <w:rFonts w:hint="eastAsia" w:ascii="Times New Roman" w:hAnsi="Times New Roman" w:cs="Times New Roman" w:eastAsiaTheme="minorEastAsia"/>
                <w:b/>
                <w:bCs/>
                <w:color w:val="auto"/>
                <w:sz w:val="21"/>
                <w:szCs w:val="21"/>
                <w:highlight w:val="none"/>
                <w:lang w:val="en-US" w:eastAsia="zh-CN"/>
              </w:rPr>
              <w:t>19</w:t>
            </w:r>
            <w:r>
              <w:rPr>
                <w:rFonts w:hint="default" w:ascii="Times New Roman" w:hAnsi="Times New Roman" w:cs="Times New Roman" w:eastAsiaTheme="minorEastAsia"/>
                <w:b/>
                <w:bCs/>
                <w:color w:val="auto"/>
                <w:sz w:val="21"/>
                <w:szCs w:val="21"/>
                <w:highlight w:val="none"/>
                <w:lang w:val="en-US" w:eastAsia="zh-CN"/>
              </w:rPr>
              <w:t xml:space="preserve">  </w:t>
            </w:r>
            <w:r>
              <w:rPr>
                <w:rFonts w:hint="eastAsia" w:ascii="Times New Roman" w:hAnsi="Times New Roman" w:cs="Times New Roman" w:eastAsiaTheme="minorEastAsia"/>
                <w:b/>
                <w:bCs/>
                <w:color w:val="auto"/>
                <w:sz w:val="21"/>
                <w:szCs w:val="21"/>
                <w:highlight w:val="none"/>
                <w:lang w:val="en-US" w:eastAsia="zh-CN"/>
              </w:rPr>
              <w:t>污染物排放总量情况</w:t>
            </w:r>
          </w:p>
          <w:tbl>
            <w:tblPr>
              <w:tblStyle w:val="20"/>
              <w:tblW w:w="80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72"/>
              <w:gridCol w:w="2672"/>
              <w:gridCol w:w="2672"/>
            </w:tblGrid>
            <w:tr w14:paraId="6CB28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2" w:type="dxa"/>
                  <w:tcBorders>
                    <w:tl2br w:val="nil"/>
                    <w:tr2bl w:val="nil"/>
                  </w:tcBorders>
                  <w:vAlign w:val="center"/>
                </w:tcPr>
                <w:p w14:paraId="4E00525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cs="Times New Roman" w:eastAsiaTheme="minorEastAsia"/>
                      <w:b/>
                      <w:bCs/>
                      <w:color w:val="auto"/>
                      <w:sz w:val="21"/>
                      <w:szCs w:val="21"/>
                      <w:highlight w:val="none"/>
                      <w:lang w:val="en-US" w:eastAsia="zh-CN"/>
                    </w:rPr>
                    <w:t>总量控制污染因子</w:t>
                  </w:r>
                </w:p>
              </w:tc>
              <w:tc>
                <w:tcPr>
                  <w:tcW w:w="2672" w:type="dxa"/>
                  <w:tcBorders>
                    <w:tl2br w:val="nil"/>
                    <w:tr2bl w:val="nil"/>
                  </w:tcBorders>
                  <w:vAlign w:val="center"/>
                </w:tcPr>
                <w:p w14:paraId="19F1F64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cs="Times New Roman" w:eastAsiaTheme="minorEastAsia"/>
                      <w:b/>
                      <w:bCs/>
                      <w:color w:val="auto"/>
                      <w:sz w:val="21"/>
                      <w:szCs w:val="21"/>
                      <w:highlight w:val="none"/>
                      <w:lang w:val="en-US" w:eastAsia="zh-CN"/>
                    </w:rPr>
                    <w:t>现有工程排放量（t/a）</w:t>
                  </w:r>
                </w:p>
              </w:tc>
              <w:tc>
                <w:tcPr>
                  <w:tcW w:w="2672" w:type="dxa"/>
                  <w:tcBorders>
                    <w:tl2br w:val="nil"/>
                    <w:tr2bl w:val="nil"/>
                  </w:tcBorders>
                  <w:vAlign w:val="center"/>
                </w:tcPr>
                <w:p w14:paraId="1E720B6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eastAsia" w:cs="Times New Roman" w:eastAsiaTheme="minorEastAsia"/>
                      <w:b/>
                      <w:bCs/>
                      <w:color w:val="auto"/>
                      <w:sz w:val="21"/>
                      <w:szCs w:val="21"/>
                      <w:highlight w:val="none"/>
                      <w:lang w:val="en-US" w:eastAsia="zh-CN"/>
                    </w:rPr>
                    <w:t>排污许可量（t/a）</w:t>
                  </w:r>
                </w:p>
              </w:tc>
            </w:tr>
            <w:tr w14:paraId="682BF3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2" w:type="dxa"/>
                  <w:tcBorders>
                    <w:tl2br w:val="nil"/>
                    <w:tr2bl w:val="nil"/>
                  </w:tcBorders>
                  <w:vAlign w:val="center"/>
                </w:tcPr>
                <w:p w14:paraId="42AE1C8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颗粒物</w:t>
                  </w:r>
                </w:p>
              </w:tc>
              <w:tc>
                <w:tcPr>
                  <w:tcW w:w="2672" w:type="dxa"/>
                  <w:tcBorders>
                    <w:tl2br w:val="nil"/>
                    <w:tr2bl w:val="nil"/>
                  </w:tcBorders>
                  <w:shd w:val="clear" w:color="auto" w:fill="auto"/>
                  <w:vAlign w:val="center"/>
                </w:tcPr>
                <w:p w14:paraId="60AD2F2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101.757</w:t>
                  </w:r>
                </w:p>
              </w:tc>
              <w:tc>
                <w:tcPr>
                  <w:tcW w:w="2672" w:type="dxa"/>
                  <w:tcBorders>
                    <w:tl2br w:val="nil"/>
                    <w:tr2bl w:val="nil"/>
                  </w:tcBorders>
                  <w:vAlign w:val="center"/>
                </w:tcPr>
                <w:p w14:paraId="71F5E26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125.76</w:t>
                  </w:r>
                </w:p>
              </w:tc>
            </w:tr>
            <w:tr w14:paraId="64BE82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2" w:type="dxa"/>
                  <w:tcBorders>
                    <w:tl2br w:val="nil"/>
                    <w:tr2bl w:val="nil"/>
                  </w:tcBorders>
                  <w:shd w:val="clear" w:color="auto" w:fill="auto"/>
                  <w:vAlign w:val="center"/>
                </w:tcPr>
                <w:p w14:paraId="6E209A3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SO</w:t>
                  </w:r>
                  <w:r>
                    <w:rPr>
                      <w:rFonts w:hint="eastAsia" w:cs="Times New Roman" w:eastAsiaTheme="minorEastAsia"/>
                      <w:color w:val="auto"/>
                      <w:sz w:val="21"/>
                      <w:szCs w:val="21"/>
                      <w:highlight w:val="none"/>
                      <w:vertAlign w:val="subscript"/>
                      <w:lang w:val="en-US" w:eastAsia="zh-CN"/>
                    </w:rPr>
                    <w:t>2</w:t>
                  </w:r>
                </w:p>
              </w:tc>
              <w:tc>
                <w:tcPr>
                  <w:tcW w:w="2672" w:type="dxa"/>
                  <w:tcBorders>
                    <w:tl2br w:val="nil"/>
                    <w:tr2bl w:val="nil"/>
                  </w:tcBorders>
                  <w:shd w:val="clear" w:color="auto" w:fill="auto"/>
                  <w:vAlign w:val="center"/>
                </w:tcPr>
                <w:p w14:paraId="278BD45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52.47</w:t>
                  </w:r>
                </w:p>
              </w:tc>
              <w:tc>
                <w:tcPr>
                  <w:tcW w:w="2672" w:type="dxa"/>
                  <w:tcBorders>
                    <w:tl2br w:val="nil"/>
                    <w:tr2bl w:val="nil"/>
                  </w:tcBorders>
                  <w:vAlign w:val="center"/>
                </w:tcPr>
                <w:p w14:paraId="5760D05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63.28</w:t>
                  </w:r>
                </w:p>
              </w:tc>
            </w:tr>
            <w:tr w14:paraId="7AB95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2" w:type="dxa"/>
                  <w:tcBorders>
                    <w:tl2br w:val="nil"/>
                    <w:tr2bl w:val="nil"/>
                  </w:tcBorders>
                  <w:shd w:val="clear" w:color="auto" w:fill="auto"/>
                  <w:vAlign w:val="center"/>
                </w:tcPr>
                <w:p w14:paraId="36FE12D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NO</w:t>
                  </w:r>
                  <w:r>
                    <w:rPr>
                      <w:rFonts w:hint="eastAsia" w:cs="Times New Roman" w:eastAsiaTheme="minorEastAsia"/>
                      <w:color w:val="auto"/>
                      <w:sz w:val="21"/>
                      <w:szCs w:val="21"/>
                      <w:highlight w:val="none"/>
                      <w:vertAlign w:val="subscript"/>
                      <w:lang w:val="en-US" w:eastAsia="zh-CN"/>
                    </w:rPr>
                    <w:t>X</w:t>
                  </w:r>
                </w:p>
              </w:tc>
              <w:tc>
                <w:tcPr>
                  <w:tcW w:w="2672" w:type="dxa"/>
                  <w:tcBorders>
                    <w:tl2br w:val="nil"/>
                    <w:tr2bl w:val="nil"/>
                  </w:tcBorders>
                  <w:shd w:val="clear" w:color="auto" w:fill="auto"/>
                  <w:vAlign w:val="center"/>
                </w:tcPr>
                <w:p w14:paraId="3581ADB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421.12</w:t>
                  </w:r>
                </w:p>
              </w:tc>
              <w:tc>
                <w:tcPr>
                  <w:tcW w:w="2672" w:type="dxa"/>
                  <w:tcBorders>
                    <w:tl2br w:val="nil"/>
                    <w:tr2bl w:val="nil"/>
                  </w:tcBorders>
                  <w:vAlign w:val="center"/>
                </w:tcPr>
                <w:p w14:paraId="5C9CEE4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651.78</w:t>
                  </w:r>
                </w:p>
              </w:tc>
            </w:tr>
          </w:tbl>
          <w:p w14:paraId="727654B3">
            <w:pPr>
              <w:pStyle w:val="27"/>
              <w:spacing w:line="360" w:lineRule="auto"/>
              <w:ind w:right="86" w:firstLine="480" w:firstLineChars="200"/>
              <w:rPr>
                <w:rFonts w:hint="default"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由表2-21可以看出，现有工程实际排污量小于排污许可量。</w:t>
            </w:r>
          </w:p>
          <w:p w14:paraId="5D848ACD">
            <w:pPr>
              <w:pStyle w:val="27"/>
              <w:spacing w:line="360" w:lineRule="auto"/>
              <w:ind w:right="86" w:firstLine="482" w:firstLineChars="200"/>
              <w:rPr>
                <w:rFonts w:hint="default" w:ascii="Times New Roman" w:hAnsi="Times New Roman" w:cs="Times New Roman" w:eastAsiaTheme="minorEastAsia"/>
                <w:b/>
                <w:bCs/>
                <w:color w:val="auto"/>
                <w:sz w:val="24"/>
                <w:highlight w:val="none"/>
                <w:lang w:val="en-US" w:eastAsia="zh-CN"/>
              </w:rPr>
            </w:pPr>
            <w:r>
              <w:rPr>
                <w:rFonts w:hint="eastAsia" w:ascii="Times New Roman" w:hAnsi="Times New Roman" w:cs="Times New Roman" w:eastAsiaTheme="minorEastAsia"/>
                <w:b/>
                <w:bCs/>
                <w:color w:val="auto"/>
                <w:sz w:val="24"/>
                <w:highlight w:val="none"/>
                <w:lang w:val="en-US" w:eastAsia="zh-CN"/>
              </w:rPr>
              <w:t>6.突发环境事件应急预案情况</w:t>
            </w:r>
          </w:p>
          <w:p w14:paraId="3237ED1C">
            <w:pPr>
              <w:pStyle w:val="27"/>
              <w:spacing w:line="360" w:lineRule="auto"/>
              <w:ind w:right="86" w:firstLine="480" w:firstLineChars="200"/>
              <w:rPr>
                <w:rFonts w:ascii="Times New Roman" w:hAnsi="Times New Roman" w:cs="Times New Roman" w:eastAsiaTheme="minorEastAsia"/>
                <w:color w:val="auto"/>
                <w:sz w:val="24"/>
                <w:highlight w:val="none"/>
                <w:lang w:val="en-US"/>
              </w:rPr>
            </w:pPr>
            <w:r>
              <w:rPr>
                <w:rFonts w:hint="eastAsia" w:ascii="Times New Roman" w:hAnsi="Times New Roman" w:cs="Times New Roman" w:eastAsiaTheme="minorEastAsia"/>
                <w:color w:val="auto"/>
                <w:sz w:val="24"/>
                <w:highlight w:val="none"/>
                <w:lang w:val="en-US"/>
              </w:rPr>
              <w:t>针对可能发生的环境</w:t>
            </w:r>
            <w:r>
              <w:rPr>
                <w:rFonts w:hint="eastAsia" w:ascii="Times New Roman" w:hAnsi="Times New Roman" w:cs="Times New Roman" w:eastAsiaTheme="minorEastAsia"/>
                <w:color w:val="auto"/>
                <w:sz w:val="24"/>
                <w:highlight w:val="none"/>
                <w:lang w:val="en-US" w:eastAsia="zh-CN"/>
              </w:rPr>
              <w:t>风险</w:t>
            </w:r>
            <w:r>
              <w:rPr>
                <w:rFonts w:hint="eastAsia" w:ascii="Times New Roman" w:hAnsi="Times New Roman" w:cs="Times New Roman" w:eastAsiaTheme="minorEastAsia"/>
                <w:color w:val="auto"/>
                <w:sz w:val="24"/>
                <w:highlight w:val="none"/>
                <w:lang w:val="en-US"/>
              </w:rPr>
              <w:t>事故，</w:t>
            </w:r>
            <w:r>
              <w:rPr>
                <w:rFonts w:hint="eastAsia" w:ascii="Times New Roman" w:hAnsi="Times New Roman" w:cs="Times New Roman" w:eastAsiaTheme="minorEastAsia"/>
                <w:color w:val="auto"/>
                <w:sz w:val="24"/>
                <w:highlight w:val="none"/>
                <w:lang w:val="en-US" w:eastAsia="zh-CN"/>
              </w:rPr>
              <w:t>金隅冀东凤翔环保科技有限公司</w:t>
            </w:r>
            <w:r>
              <w:rPr>
                <w:rFonts w:hint="eastAsia" w:ascii="Times New Roman" w:hAnsi="Times New Roman" w:cs="Times New Roman" w:eastAsiaTheme="minorEastAsia"/>
                <w:color w:val="auto"/>
                <w:sz w:val="24"/>
                <w:highlight w:val="none"/>
                <w:lang w:val="en-US"/>
              </w:rPr>
              <w:t>于202</w:t>
            </w:r>
            <w:r>
              <w:rPr>
                <w:rFonts w:hint="eastAsia" w:ascii="Times New Roman" w:hAnsi="Times New Roman" w:cs="Times New Roman" w:eastAsiaTheme="minorEastAsia"/>
                <w:color w:val="auto"/>
                <w:sz w:val="24"/>
                <w:highlight w:val="none"/>
                <w:lang w:val="en-US" w:eastAsia="zh-CN"/>
              </w:rPr>
              <w:t>4</w:t>
            </w:r>
            <w:r>
              <w:rPr>
                <w:rFonts w:hint="eastAsia" w:ascii="Times New Roman" w:hAnsi="Times New Roman" w:cs="Times New Roman" w:eastAsiaTheme="minorEastAsia"/>
                <w:color w:val="auto"/>
                <w:sz w:val="24"/>
                <w:highlight w:val="none"/>
                <w:lang w:val="en-US"/>
              </w:rPr>
              <w:t>年</w:t>
            </w:r>
            <w:r>
              <w:rPr>
                <w:rFonts w:hint="eastAsia" w:ascii="Times New Roman" w:hAnsi="Times New Roman" w:cs="Times New Roman" w:eastAsiaTheme="minorEastAsia"/>
                <w:color w:val="auto"/>
                <w:sz w:val="24"/>
                <w:highlight w:val="none"/>
                <w:lang w:val="en-US" w:eastAsia="zh-CN"/>
              </w:rPr>
              <w:t>7月10日签署发布了</w:t>
            </w:r>
            <w:r>
              <w:rPr>
                <w:rFonts w:hint="eastAsia" w:ascii="Times New Roman" w:hAnsi="Times New Roman" w:cs="Times New Roman" w:eastAsiaTheme="minorEastAsia"/>
                <w:color w:val="auto"/>
                <w:sz w:val="24"/>
                <w:highlight w:val="none"/>
                <w:lang w:val="en-US"/>
              </w:rPr>
              <w:t>《金隅冀东凤翔环保科技有限公司突发环境事件应急预案》</w:t>
            </w:r>
            <w:r>
              <w:rPr>
                <w:rFonts w:hint="eastAsia" w:ascii="Times New Roman" w:hAnsi="Times New Roman" w:cs="Times New Roman" w:eastAsiaTheme="minorEastAsia"/>
                <w:color w:val="auto"/>
                <w:sz w:val="24"/>
                <w:highlight w:val="none"/>
                <w:lang w:val="en-US" w:eastAsia="zh-CN"/>
              </w:rPr>
              <w:t>，</w:t>
            </w:r>
            <w:r>
              <w:rPr>
                <w:rFonts w:hint="eastAsia" w:ascii="Times New Roman" w:hAnsi="Times New Roman" w:cs="Times New Roman" w:eastAsiaTheme="minorEastAsia"/>
                <w:color w:val="auto"/>
                <w:sz w:val="24"/>
                <w:highlight w:val="none"/>
                <w:lang w:val="en-US"/>
              </w:rPr>
              <w:t>并在宝鸡市生态环境局凤翔分局进行了备案，备案</w:t>
            </w:r>
            <w:r>
              <w:rPr>
                <w:rFonts w:hint="eastAsia" w:ascii="Times New Roman" w:hAnsi="Times New Roman" w:cs="Times New Roman" w:eastAsiaTheme="minorEastAsia"/>
                <w:color w:val="auto"/>
                <w:sz w:val="24"/>
                <w:highlight w:val="none"/>
                <w:lang w:val="en-US" w:eastAsia="zh-CN"/>
              </w:rPr>
              <w:t>编号</w:t>
            </w:r>
            <w:r>
              <w:rPr>
                <w:rFonts w:hint="eastAsia" w:ascii="Times New Roman" w:hAnsi="Times New Roman" w:cs="Times New Roman" w:eastAsiaTheme="minorEastAsia"/>
                <w:color w:val="auto"/>
                <w:sz w:val="24"/>
                <w:highlight w:val="none"/>
                <w:lang w:val="en-US"/>
              </w:rPr>
              <w:t>为610305-2024-22M</w:t>
            </w:r>
            <w:r>
              <w:rPr>
                <w:rFonts w:hint="eastAsia" w:ascii="Times New Roman" w:hAnsi="Times New Roman" w:cs="Times New Roman" w:eastAsiaTheme="minorEastAsia"/>
                <w:color w:val="auto"/>
                <w:sz w:val="24"/>
                <w:highlight w:val="none"/>
                <w:lang w:val="en-US" w:eastAsia="zh-CN"/>
              </w:rPr>
              <w:t>（详见附件6）</w:t>
            </w:r>
            <w:r>
              <w:rPr>
                <w:rFonts w:hint="eastAsia" w:ascii="Times New Roman" w:hAnsi="Times New Roman" w:cs="Times New Roman" w:eastAsiaTheme="minorEastAsia"/>
                <w:color w:val="auto"/>
                <w:sz w:val="24"/>
                <w:highlight w:val="none"/>
                <w:lang w:val="en-US"/>
              </w:rPr>
              <w:t>。</w:t>
            </w:r>
            <w:r>
              <w:rPr>
                <w:rFonts w:hint="eastAsia" w:ascii="Times New Roman" w:hAnsi="Times New Roman" w:cs="Times New Roman" w:eastAsiaTheme="minorEastAsia"/>
                <w:color w:val="auto"/>
                <w:sz w:val="24"/>
                <w:highlight w:val="none"/>
                <w:lang w:val="en-US" w:eastAsia="zh-CN"/>
              </w:rPr>
              <w:t>按照突发环境事件应急预案，企业</w:t>
            </w:r>
            <w:r>
              <w:rPr>
                <w:rFonts w:hint="eastAsia" w:ascii="Times New Roman" w:hAnsi="Times New Roman" w:cs="Times New Roman" w:eastAsiaTheme="minorEastAsia"/>
                <w:color w:val="auto"/>
                <w:sz w:val="24"/>
                <w:highlight w:val="none"/>
                <w:lang w:val="en-US"/>
              </w:rPr>
              <w:t>定期开展环境安全隐患排查，进行应急物资储备并组织应急培训和演练。</w:t>
            </w:r>
          </w:p>
          <w:p w14:paraId="671472F3">
            <w:pPr>
              <w:pStyle w:val="27"/>
              <w:numPr>
                <w:ilvl w:val="0"/>
                <w:numId w:val="0"/>
              </w:numPr>
              <w:spacing w:line="360" w:lineRule="auto"/>
              <w:ind w:right="86" w:rightChars="0" w:firstLine="482" w:firstLineChars="200"/>
              <w:rPr>
                <w:rFonts w:hint="eastAsia" w:ascii="Times New Roman" w:hAnsi="Times New Roman" w:cs="Times New Roman" w:eastAsiaTheme="minorEastAsia"/>
                <w:b/>
                <w:bCs/>
                <w:color w:val="auto"/>
                <w:sz w:val="24"/>
                <w:highlight w:val="none"/>
                <w:lang w:val="en-US" w:eastAsia="zh-CN"/>
              </w:rPr>
            </w:pPr>
            <w:r>
              <w:rPr>
                <w:rFonts w:hint="eastAsia" w:ascii="Times New Roman" w:hAnsi="Times New Roman" w:cs="Times New Roman" w:eastAsiaTheme="minorEastAsia"/>
                <w:b/>
                <w:bCs/>
                <w:color w:val="auto"/>
                <w:sz w:val="24"/>
                <w:highlight w:val="none"/>
                <w:lang w:val="en-US" w:eastAsia="zh-CN"/>
              </w:rPr>
              <w:t>7.现有工程环保绩效达标情况</w:t>
            </w:r>
          </w:p>
          <w:p w14:paraId="03BE6AC7">
            <w:pPr>
              <w:pStyle w:val="27"/>
              <w:numPr>
                <w:ilvl w:val="0"/>
                <w:numId w:val="0"/>
              </w:numPr>
              <w:spacing w:line="360" w:lineRule="auto"/>
              <w:ind w:right="86" w:rightChars="0" w:firstLine="480" w:firstLineChars="200"/>
              <w:rPr>
                <w:rFonts w:hint="eastAsia"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根据</w:t>
            </w:r>
            <w:r>
              <w:rPr>
                <w:rFonts w:hint="default" w:ascii="Times New Roman" w:hAnsi="Times New Roman" w:cs="Times New Roman"/>
                <w:bCs/>
                <w:color w:val="auto"/>
                <w:sz w:val="24"/>
                <w:highlight w:val="none"/>
              </w:rPr>
              <w:t>《重污染天气重点行业应急减排措施制定技术指南（2020年修订版）》（环办大气函〔2020〕340号）</w:t>
            </w:r>
            <w:r>
              <w:rPr>
                <w:rFonts w:hint="eastAsia" w:ascii="Times New Roman" w:hAnsi="Times New Roman" w:cs="Times New Roman"/>
                <w:bCs/>
                <w:color w:val="auto"/>
                <w:sz w:val="24"/>
                <w:highlight w:val="none"/>
                <w:lang w:eastAsia="zh-CN"/>
              </w:rPr>
              <w:t>，</w:t>
            </w:r>
            <w:r>
              <w:rPr>
                <w:rFonts w:hint="eastAsia" w:ascii="Times New Roman" w:hAnsi="Times New Roman" w:cs="Times New Roman"/>
                <w:bCs/>
                <w:color w:val="auto"/>
                <w:sz w:val="24"/>
                <w:highlight w:val="none"/>
                <w:lang w:val="en-US" w:eastAsia="zh-CN"/>
              </w:rPr>
              <w:t>现有工程属于三十九个重点行业中的水泥行业。根据现场勘探，企业已实施窑尾烟气超低排放改造，增设SCR脱硝设施且于2023年7月正式运行。2023年12月23日，陕西省生态环境厅下发《关于2023年度重污染天气重点行业第五批环保绩效分级企业评定结果的函》（陕环大气函〔2023〕68号）（见附件11），企业获评为水泥熟料行业环保绩效A级企业。</w:t>
            </w:r>
          </w:p>
          <w:p w14:paraId="225601E5">
            <w:pPr>
              <w:pStyle w:val="27"/>
              <w:numPr>
                <w:ilvl w:val="0"/>
                <w:numId w:val="0"/>
              </w:numPr>
              <w:spacing w:line="360" w:lineRule="auto"/>
              <w:ind w:right="86" w:rightChars="0" w:firstLine="480"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cs="Times New Roman"/>
                <w:bCs/>
                <w:color w:val="auto"/>
                <w:sz w:val="24"/>
                <w:highlight w:val="none"/>
                <w:lang w:val="en-US" w:eastAsia="zh-CN"/>
              </w:rPr>
              <w:t>根据建设单位提供的2024年6月份窑尾废气自行监测结果，窑尾排气筒中颗粒物、二氧化硫、氮氧化物排放浓度及氨逃逸浓度分别为</w:t>
            </w:r>
            <w:r>
              <w:rPr>
                <w:rFonts w:hint="default" w:ascii="Times New Roman" w:hAnsi="Times New Roman" w:cs="Times New Roman"/>
                <w:bCs/>
                <w:color w:val="auto"/>
                <w:sz w:val="24"/>
                <w:highlight w:val="none"/>
                <w:lang w:val="en-US" w:eastAsia="zh-CN"/>
              </w:rPr>
              <w:t>&lt;</w:t>
            </w:r>
            <w:r>
              <w:rPr>
                <w:rFonts w:hint="eastAsia" w:ascii="Times New Roman" w:hAnsi="Times New Roman" w:cs="Times New Roman"/>
                <w:bCs/>
                <w:color w:val="auto"/>
                <w:sz w:val="24"/>
                <w:highlight w:val="none"/>
                <w:lang w:val="en-US" w:eastAsia="zh-CN"/>
              </w:rPr>
              <w:t>0.8mg/m</w:t>
            </w:r>
            <w:r>
              <w:rPr>
                <w:rFonts w:hint="eastAsia" w:ascii="Times New Roman" w:hAnsi="Times New Roman" w:cs="Times New Roman"/>
                <w:bCs/>
                <w:color w:val="auto"/>
                <w:sz w:val="24"/>
                <w:highlight w:val="none"/>
                <w:vertAlign w:val="superscript"/>
                <w:lang w:val="en-US" w:eastAsia="zh-CN"/>
              </w:rPr>
              <w:t>3</w:t>
            </w:r>
            <w:r>
              <w:rPr>
                <w:rFonts w:hint="eastAsia" w:ascii="Times New Roman" w:hAnsi="Times New Roman" w:cs="Times New Roman"/>
                <w:bCs/>
                <w:color w:val="auto"/>
                <w:sz w:val="24"/>
                <w:highlight w:val="none"/>
                <w:lang w:val="en-US" w:eastAsia="zh-CN"/>
              </w:rPr>
              <w:t>、</w:t>
            </w:r>
            <w:r>
              <w:rPr>
                <w:rFonts w:hint="default" w:ascii="Times New Roman" w:hAnsi="Times New Roman" w:cs="Times New Roman"/>
                <w:bCs/>
                <w:color w:val="auto"/>
                <w:sz w:val="24"/>
                <w:highlight w:val="none"/>
                <w:lang w:val="en-US" w:eastAsia="zh-CN"/>
              </w:rPr>
              <w:t>&lt;</w:t>
            </w:r>
            <w:r>
              <w:rPr>
                <w:rFonts w:hint="eastAsia" w:ascii="Times New Roman" w:hAnsi="Times New Roman" w:cs="Times New Roman"/>
                <w:bCs/>
                <w:color w:val="auto"/>
                <w:sz w:val="24"/>
                <w:highlight w:val="none"/>
                <w:lang w:val="en-US" w:eastAsia="zh-CN"/>
              </w:rPr>
              <w:t>3.0mg/m</w:t>
            </w:r>
            <w:r>
              <w:rPr>
                <w:rFonts w:hint="eastAsia" w:ascii="Times New Roman" w:hAnsi="Times New Roman" w:cs="Times New Roman"/>
                <w:bCs/>
                <w:color w:val="auto"/>
                <w:sz w:val="24"/>
                <w:highlight w:val="none"/>
                <w:vertAlign w:val="superscript"/>
                <w:lang w:val="en-US" w:eastAsia="zh-CN"/>
              </w:rPr>
              <w:t>3</w:t>
            </w:r>
            <w:r>
              <w:rPr>
                <w:rFonts w:hint="eastAsia" w:ascii="Times New Roman" w:hAnsi="Times New Roman" w:cs="Times New Roman"/>
                <w:bCs/>
                <w:color w:val="auto"/>
                <w:sz w:val="24"/>
                <w:highlight w:val="none"/>
                <w:lang w:val="en-US" w:eastAsia="zh-CN"/>
              </w:rPr>
              <w:t>、36mg/m</w:t>
            </w:r>
            <w:r>
              <w:rPr>
                <w:rFonts w:hint="eastAsia" w:ascii="Times New Roman" w:hAnsi="Times New Roman" w:cs="Times New Roman"/>
                <w:bCs/>
                <w:color w:val="auto"/>
                <w:sz w:val="24"/>
                <w:highlight w:val="none"/>
                <w:vertAlign w:val="superscript"/>
                <w:lang w:val="en-US" w:eastAsia="zh-CN"/>
              </w:rPr>
              <w:t>3</w:t>
            </w:r>
            <w:r>
              <w:rPr>
                <w:rFonts w:hint="eastAsia" w:ascii="Times New Roman" w:hAnsi="Times New Roman" w:cs="Times New Roman"/>
                <w:bCs/>
                <w:color w:val="auto"/>
                <w:sz w:val="24"/>
                <w:highlight w:val="none"/>
                <w:lang w:val="en-US" w:eastAsia="zh-CN"/>
              </w:rPr>
              <w:t>、0.30mg/m</w:t>
            </w:r>
            <w:r>
              <w:rPr>
                <w:rFonts w:hint="eastAsia" w:ascii="Times New Roman" w:hAnsi="Times New Roman" w:cs="Times New Roman"/>
                <w:bCs/>
                <w:color w:val="auto"/>
                <w:sz w:val="24"/>
                <w:highlight w:val="none"/>
                <w:vertAlign w:val="superscript"/>
                <w:lang w:val="en-US" w:eastAsia="zh-CN"/>
              </w:rPr>
              <w:t>3</w:t>
            </w:r>
            <w:r>
              <w:rPr>
                <w:rFonts w:hint="eastAsia" w:ascii="Times New Roman" w:hAnsi="Times New Roman" w:cs="Times New Roman"/>
                <w:bCs/>
                <w:color w:val="auto"/>
                <w:sz w:val="24"/>
                <w:highlight w:val="none"/>
                <w:lang w:val="en-US" w:eastAsia="zh-CN"/>
              </w:rPr>
              <w:t>，均符合水泥熟料企业A级绩效污染物排放标准限值要求：PM、SO</w:t>
            </w:r>
            <w:r>
              <w:rPr>
                <w:rFonts w:hint="eastAsia" w:ascii="Times New Roman" w:hAnsi="Times New Roman" w:cs="Times New Roman"/>
                <w:bCs/>
                <w:color w:val="auto"/>
                <w:sz w:val="24"/>
                <w:highlight w:val="none"/>
                <w:vertAlign w:val="subscript"/>
                <w:lang w:val="en-US" w:eastAsia="zh-CN"/>
              </w:rPr>
              <w:t>2</w:t>
            </w:r>
            <w:r>
              <w:rPr>
                <w:rFonts w:hint="eastAsia" w:ascii="Times New Roman" w:hAnsi="Times New Roman" w:cs="Times New Roman"/>
                <w:bCs/>
                <w:color w:val="auto"/>
                <w:sz w:val="24"/>
                <w:highlight w:val="none"/>
                <w:lang w:val="en-US" w:eastAsia="zh-CN"/>
              </w:rPr>
              <w:t>、NOx排放浓度分别不高于10mg/m</w:t>
            </w:r>
            <w:r>
              <w:rPr>
                <w:rFonts w:hint="eastAsia" w:ascii="Times New Roman" w:hAnsi="Times New Roman" w:cs="Times New Roman"/>
                <w:bCs/>
                <w:color w:val="auto"/>
                <w:sz w:val="24"/>
                <w:highlight w:val="none"/>
                <w:vertAlign w:val="superscript"/>
                <w:lang w:val="en-US" w:eastAsia="zh-CN"/>
              </w:rPr>
              <w:t>3</w:t>
            </w:r>
            <w:r>
              <w:rPr>
                <w:rFonts w:hint="eastAsia" w:ascii="Times New Roman" w:hAnsi="Times New Roman" w:cs="Times New Roman"/>
                <w:bCs/>
                <w:color w:val="auto"/>
                <w:sz w:val="24"/>
                <w:highlight w:val="none"/>
                <w:lang w:val="en-US" w:eastAsia="zh-CN"/>
              </w:rPr>
              <w:t>、35mg/m</w:t>
            </w:r>
            <w:r>
              <w:rPr>
                <w:rFonts w:hint="eastAsia" w:ascii="Times New Roman" w:hAnsi="Times New Roman" w:cs="Times New Roman"/>
                <w:bCs/>
                <w:color w:val="auto"/>
                <w:sz w:val="24"/>
                <w:highlight w:val="none"/>
                <w:vertAlign w:val="superscript"/>
                <w:lang w:val="en-US" w:eastAsia="zh-CN"/>
              </w:rPr>
              <w:t>3</w:t>
            </w:r>
            <w:r>
              <w:rPr>
                <w:rFonts w:hint="eastAsia" w:ascii="Times New Roman" w:hAnsi="Times New Roman" w:cs="Times New Roman"/>
                <w:bCs/>
                <w:color w:val="auto"/>
                <w:sz w:val="24"/>
                <w:highlight w:val="none"/>
                <w:lang w:val="en-US" w:eastAsia="zh-CN"/>
              </w:rPr>
              <w:t>、50mg/m</w:t>
            </w:r>
            <w:r>
              <w:rPr>
                <w:rFonts w:hint="eastAsia" w:ascii="Times New Roman" w:hAnsi="Times New Roman" w:cs="Times New Roman"/>
                <w:bCs/>
                <w:color w:val="auto"/>
                <w:sz w:val="24"/>
                <w:highlight w:val="none"/>
                <w:vertAlign w:val="superscript"/>
                <w:lang w:val="en-US" w:eastAsia="zh-CN"/>
              </w:rPr>
              <w:t>3</w:t>
            </w:r>
            <w:r>
              <w:rPr>
                <w:rFonts w:hint="eastAsia" w:ascii="Times New Roman" w:hAnsi="Times New Roman" w:cs="Times New Roman"/>
                <w:bCs/>
                <w:color w:val="auto"/>
                <w:sz w:val="24"/>
                <w:highlight w:val="none"/>
                <w:lang w:val="en-US" w:eastAsia="zh-CN"/>
              </w:rPr>
              <w:t>，氨逃逸≤5mg/m</w:t>
            </w:r>
            <w:r>
              <w:rPr>
                <w:rFonts w:hint="eastAsia" w:ascii="Times New Roman" w:hAnsi="Times New Roman" w:cs="Times New Roman"/>
                <w:bCs/>
                <w:color w:val="auto"/>
                <w:sz w:val="24"/>
                <w:highlight w:val="none"/>
                <w:vertAlign w:val="superscript"/>
                <w:lang w:val="en-US" w:eastAsia="zh-CN"/>
              </w:rPr>
              <w:t>3</w:t>
            </w:r>
            <w:r>
              <w:rPr>
                <w:rFonts w:hint="eastAsia" w:ascii="Times New Roman" w:hAnsi="Times New Roman" w:cs="Times New Roman"/>
                <w:bCs/>
                <w:color w:val="auto"/>
                <w:sz w:val="24"/>
                <w:highlight w:val="none"/>
                <w:lang w:val="en-US" w:eastAsia="zh-CN"/>
              </w:rPr>
              <w:t>（窑尾基准氧含量10%）。</w:t>
            </w:r>
          </w:p>
          <w:p w14:paraId="61ECD7C3">
            <w:pPr>
              <w:pStyle w:val="27"/>
              <w:numPr>
                <w:ilvl w:val="0"/>
                <w:numId w:val="0"/>
              </w:numPr>
              <w:spacing w:line="360" w:lineRule="auto"/>
              <w:ind w:right="86" w:rightChars="0" w:firstLine="482" w:firstLineChars="200"/>
              <w:rPr>
                <w:rFonts w:hint="eastAsia" w:ascii="Times New Roman" w:hAnsi="Times New Roman" w:cs="Times New Roman" w:eastAsiaTheme="minorEastAsia"/>
                <w:b/>
                <w:bCs/>
                <w:color w:val="auto"/>
                <w:sz w:val="24"/>
                <w:highlight w:val="none"/>
                <w:lang w:val="en-US"/>
              </w:rPr>
            </w:pPr>
            <w:r>
              <w:rPr>
                <w:rFonts w:hint="eastAsia" w:ascii="Times New Roman" w:hAnsi="Times New Roman" w:cs="Times New Roman" w:eastAsiaTheme="minorEastAsia"/>
                <w:b/>
                <w:bCs/>
                <w:color w:val="auto"/>
                <w:sz w:val="24"/>
                <w:highlight w:val="none"/>
                <w:lang w:val="en-US" w:eastAsia="zh-CN"/>
              </w:rPr>
              <w:t>8.</w:t>
            </w:r>
            <w:r>
              <w:rPr>
                <w:rFonts w:hint="eastAsia" w:ascii="Times New Roman" w:hAnsi="Times New Roman" w:cs="Times New Roman" w:eastAsiaTheme="minorEastAsia"/>
                <w:b/>
                <w:bCs/>
                <w:color w:val="auto"/>
                <w:sz w:val="24"/>
                <w:highlight w:val="none"/>
                <w:lang w:val="en-US"/>
              </w:rPr>
              <w:t>环境管理制度和监测计划落实情况</w:t>
            </w:r>
          </w:p>
          <w:p w14:paraId="57B176B6">
            <w:pPr>
              <w:pStyle w:val="27"/>
              <w:spacing w:line="360" w:lineRule="auto"/>
              <w:ind w:right="86" w:firstLine="480" w:firstLineChars="200"/>
              <w:rPr>
                <w:rFonts w:hint="eastAsia" w:ascii="Times New Roman" w:hAnsi="Times New Roman" w:cs="Times New Roman" w:eastAsiaTheme="minorEastAsia"/>
                <w:color w:val="auto"/>
                <w:sz w:val="24"/>
                <w:highlight w:val="none"/>
                <w:lang w:val="en-US"/>
              </w:rPr>
            </w:pPr>
            <w:r>
              <w:rPr>
                <w:rFonts w:hint="eastAsia" w:ascii="Times New Roman" w:hAnsi="Times New Roman" w:cs="Times New Roman" w:eastAsiaTheme="minorEastAsia"/>
                <w:color w:val="auto"/>
                <w:sz w:val="24"/>
                <w:highlight w:val="none"/>
                <w:lang w:val="en-US"/>
              </w:rPr>
              <w:t>根据现有工程竣工环境保护验收监测报告结论、验收批复结论、现有工程</w:t>
            </w:r>
            <w:r>
              <w:rPr>
                <w:rFonts w:hint="eastAsia" w:ascii="Times New Roman" w:hAnsi="Times New Roman" w:cs="Times New Roman" w:eastAsiaTheme="minorEastAsia"/>
                <w:color w:val="auto"/>
                <w:sz w:val="24"/>
                <w:highlight w:val="none"/>
                <w:lang w:val="en-US" w:eastAsia="zh-CN"/>
              </w:rPr>
              <w:t>环评批复</w:t>
            </w:r>
            <w:r>
              <w:rPr>
                <w:rFonts w:hint="eastAsia" w:ascii="Times New Roman" w:hAnsi="Times New Roman" w:cs="Times New Roman" w:eastAsiaTheme="minorEastAsia"/>
                <w:color w:val="auto"/>
                <w:sz w:val="24"/>
                <w:highlight w:val="none"/>
                <w:lang w:val="en-US"/>
              </w:rPr>
              <w:t>结论及现场踏勘结果，项目建设运营过程执行</w:t>
            </w:r>
            <w:r>
              <w:rPr>
                <w:rFonts w:hint="eastAsia" w:ascii="Times New Roman" w:hAnsi="Times New Roman" w:cs="Times New Roman" w:eastAsiaTheme="minorEastAsia"/>
                <w:color w:val="auto"/>
                <w:sz w:val="24"/>
                <w:highlight w:val="none"/>
                <w:lang w:val="en-US" w:eastAsia="zh-CN"/>
              </w:rPr>
              <w:t>了</w:t>
            </w:r>
            <w:r>
              <w:rPr>
                <w:rFonts w:hint="eastAsia" w:ascii="Times New Roman" w:hAnsi="Times New Roman" w:cs="Times New Roman" w:eastAsiaTheme="minorEastAsia"/>
                <w:color w:val="auto"/>
                <w:sz w:val="24"/>
                <w:highlight w:val="none"/>
                <w:lang w:val="en-US"/>
              </w:rPr>
              <w:t>环境影响评价</w:t>
            </w:r>
            <w:r>
              <w:rPr>
                <w:rFonts w:hint="eastAsia" w:ascii="Times New Roman" w:hAnsi="Times New Roman" w:cs="Times New Roman" w:eastAsiaTheme="minorEastAsia"/>
                <w:color w:val="auto"/>
                <w:sz w:val="24"/>
                <w:highlight w:val="none"/>
                <w:lang w:val="en-US" w:eastAsia="zh-CN"/>
              </w:rPr>
              <w:t>及</w:t>
            </w:r>
            <w:r>
              <w:rPr>
                <w:rFonts w:hint="eastAsia" w:ascii="Times New Roman" w:hAnsi="Times New Roman" w:cs="Times New Roman" w:eastAsiaTheme="minorEastAsia"/>
                <w:color w:val="auto"/>
                <w:sz w:val="24"/>
                <w:highlight w:val="none"/>
                <w:lang w:val="en-US"/>
              </w:rPr>
              <w:t>“三同时”制度，建立了企业环境管理制度，制定了突发环境</w:t>
            </w:r>
            <w:r>
              <w:rPr>
                <w:rFonts w:hint="eastAsia" w:ascii="Times New Roman" w:hAnsi="Times New Roman" w:cs="Times New Roman" w:eastAsiaTheme="minorEastAsia"/>
                <w:color w:val="auto"/>
                <w:sz w:val="24"/>
                <w:highlight w:val="none"/>
                <w:lang w:val="en-US" w:eastAsia="zh-CN"/>
              </w:rPr>
              <w:t>事件</w:t>
            </w:r>
            <w:r>
              <w:rPr>
                <w:rFonts w:hint="eastAsia" w:ascii="Times New Roman" w:hAnsi="Times New Roman" w:cs="Times New Roman" w:eastAsiaTheme="minorEastAsia"/>
                <w:color w:val="auto"/>
                <w:sz w:val="24"/>
                <w:highlight w:val="none"/>
                <w:lang w:val="en-US"/>
              </w:rPr>
              <w:t>应急预案。</w:t>
            </w:r>
          </w:p>
          <w:p w14:paraId="7DF6448E">
            <w:pPr>
              <w:pStyle w:val="27"/>
              <w:spacing w:line="360" w:lineRule="auto"/>
              <w:ind w:right="86" w:firstLine="480" w:firstLineChars="200"/>
              <w:rPr>
                <w:rFonts w:hint="eastAsia" w:ascii="Times New Roman" w:hAnsi="Times New Roman" w:cs="Times New Roman" w:eastAsiaTheme="minorEastAsia"/>
                <w:color w:val="auto"/>
                <w:sz w:val="24"/>
                <w:highlight w:val="none"/>
                <w:lang w:val="en-US"/>
              </w:rPr>
            </w:pPr>
            <w:r>
              <w:rPr>
                <w:rFonts w:hint="eastAsia" w:ascii="Times New Roman" w:hAnsi="Times New Roman" w:cs="Times New Roman" w:eastAsiaTheme="minorEastAsia"/>
                <w:color w:val="auto"/>
                <w:sz w:val="24"/>
                <w:highlight w:val="none"/>
                <w:lang w:val="en-US"/>
              </w:rPr>
              <w:t>经现场调查，建设单位成立</w:t>
            </w:r>
            <w:r>
              <w:rPr>
                <w:rFonts w:hint="eastAsia" w:ascii="Times New Roman" w:hAnsi="Times New Roman" w:cs="Times New Roman" w:eastAsiaTheme="minorEastAsia"/>
                <w:color w:val="auto"/>
                <w:sz w:val="24"/>
                <w:highlight w:val="none"/>
                <w:lang w:val="en-US" w:eastAsia="zh-CN"/>
              </w:rPr>
              <w:t>了专门</w:t>
            </w:r>
            <w:r>
              <w:rPr>
                <w:rFonts w:hint="eastAsia" w:ascii="Times New Roman" w:hAnsi="Times New Roman" w:cs="Times New Roman" w:eastAsiaTheme="minorEastAsia"/>
                <w:color w:val="auto"/>
                <w:sz w:val="24"/>
                <w:highlight w:val="none"/>
                <w:lang w:val="en-US"/>
              </w:rPr>
              <w:t>的环境管理机构，配备相应</w:t>
            </w:r>
            <w:r>
              <w:rPr>
                <w:rFonts w:hint="eastAsia" w:ascii="Times New Roman" w:hAnsi="Times New Roman" w:cs="Times New Roman" w:eastAsiaTheme="minorEastAsia"/>
                <w:color w:val="auto"/>
                <w:sz w:val="24"/>
                <w:highlight w:val="none"/>
                <w:lang w:val="en-US" w:eastAsia="zh-CN"/>
              </w:rPr>
              <w:t>环保</w:t>
            </w:r>
            <w:r>
              <w:rPr>
                <w:rFonts w:hint="eastAsia" w:ascii="Times New Roman" w:hAnsi="Times New Roman" w:cs="Times New Roman" w:eastAsiaTheme="minorEastAsia"/>
                <w:color w:val="auto"/>
                <w:sz w:val="24"/>
                <w:highlight w:val="none"/>
                <w:lang w:val="en-US"/>
              </w:rPr>
              <w:t>技术人员4名，负责企业日常的环境管理、监督等工作</w:t>
            </w:r>
            <w:r>
              <w:rPr>
                <w:rFonts w:hint="eastAsia" w:ascii="Times New Roman" w:hAnsi="Times New Roman" w:cs="Times New Roman" w:eastAsiaTheme="minorEastAsia"/>
                <w:color w:val="auto"/>
                <w:sz w:val="24"/>
                <w:highlight w:val="none"/>
                <w:lang w:val="en-US" w:eastAsia="zh-CN"/>
              </w:rPr>
              <w:t>，</w:t>
            </w:r>
            <w:r>
              <w:rPr>
                <w:rFonts w:hint="eastAsia" w:ascii="Times New Roman" w:hAnsi="Times New Roman" w:cs="Times New Roman" w:eastAsiaTheme="minorEastAsia"/>
                <w:color w:val="auto"/>
                <w:sz w:val="24"/>
                <w:highlight w:val="none"/>
                <w:lang w:val="en-US"/>
              </w:rPr>
              <w:t>制定了年度环保计划和指标，把环保指标层层分解到各责任部门，把环保指标列入承包合同和岗位责任制中，建立了自我监控机制。建立了环境管理台账，明确各项环境保护设施和措施的建设、运行及维护保障。</w:t>
            </w:r>
          </w:p>
          <w:p w14:paraId="164855D3">
            <w:pPr>
              <w:pStyle w:val="27"/>
              <w:spacing w:line="360" w:lineRule="auto"/>
              <w:ind w:right="86" w:firstLine="480" w:firstLineChars="200"/>
              <w:rPr>
                <w:rFonts w:hint="default"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企业能够按照自行监测方案要求，严格落实自行监测计划，将监测报告等台账记录保存完整。</w:t>
            </w:r>
          </w:p>
          <w:p w14:paraId="1697663E">
            <w:pPr>
              <w:pStyle w:val="27"/>
              <w:spacing w:line="360" w:lineRule="auto"/>
              <w:ind w:right="86" w:firstLine="480" w:firstLineChars="200"/>
              <w:rPr>
                <w:rFonts w:ascii="Times New Roman" w:hAnsi="Times New Roman" w:cs="Times New Roman" w:eastAsiaTheme="minorEastAsia"/>
                <w:color w:val="auto"/>
                <w:sz w:val="24"/>
                <w:highlight w:val="none"/>
                <w:lang w:val="en-US"/>
              </w:rPr>
            </w:pPr>
            <w:r>
              <w:rPr>
                <w:rFonts w:hint="eastAsia" w:ascii="Times New Roman" w:hAnsi="Times New Roman" w:cs="Times New Roman" w:eastAsiaTheme="minorEastAsia"/>
                <w:color w:val="auto"/>
                <w:sz w:val="24"/>
                <w:highlight w:val="none"/>
                <w:lang w:val="en-US"/>
              </w:rPr>
              <w:t>水泥窑窑尾</w:t>
            </w:r>
            <w:r>
              <w:rPr>
                <w:rFonts w:hint="eastAsia" w:ascii="Times New Roman" w:hAnsi="Times New Roman" w:cs="Times New Roman" w:eastAsiaTheme="minorEastAsia"/>
                <w:color w:val="auto"/>
                <w:sz w:val="24"/>
                <w:highlight w:val="none"/>
                <w:lang w:val="en-US" w:eastAsia="zh-CN"/>
              </w:rPr>
              <w:t>等</w:t>
            </w:r>
            <w:r>
              <w:rPr>
                <w:rFonts w:hint="eastAsia" w:ascii="Times New Roman" w:hAnsi="Times New Roman" w:cs="Times New Roman" w:eastAsiaTheme="minorEastAsia"/>
                <w:color w:val="auto"/>
                <w:sz w:val="24"/>
                <w:highlight w:val="none"/>
                <w:lang w:val="en-US"/>
              </w:rPr>
              <w:t>排气筒已按照《污染源监测技术规范》要求设置了采样口，并在采样口附近设置了环境保护图形标志牌。</w:t>
            </w:r>
          </w:p>
          <w:p w14:paraId="24A76C4D">
            <w:pPr>
              <w:pStyle w:val="27"/>
              <w:spacing w:line="360" w:lineRule="auto"/>
              <w:ind w:right="86" w:firstLine="482" w:firstLineChars="200"/>
              <w:rPr>
                <w:rFonts w:hint="eastAsia" w:ascii="Times New Roman" w:hAnsi="Times New Roman" w:cs="Times New Roman" w:eastAsiaTheme="minorEastAsia"/>
                <w:b/>
                <w:bCs/>
                <w:color w:val="auto"/>
                <w:sz w:val="24"/>
                <w:highlight w:val="none"/>
                <w:lang w:val="en-US"/>
              </w:rPr>
            </w:pPr>
            <w:r>
              <w:rPr>
                <w:rFonts w:hint="eastAsia" w:ascii="Times New Roman" w:hAnsi="Times New Roman" w:cs="Times New Roman" w:eastAsiaTheme="minorEastAsia"/>
                <w:b/>
                <w:bCs/>
                <w:color w:val="auto"/>
                <w:sz w:val="24"/>
                <w:highlight w:val="none"/>
                <w:lang w:val="en-US" w:eastAsia="zh-CN"/>
              </w:rPr>
              <w:t>9.</w:t>
            </w:r>
            <w:r>
              <w:rPr>
                <w:rFonts w:hint="eastAsia" w:ascii="Times New Roman" w:hAnsi="Times New Roman" w:cs="Times New Roman" w:eastAsiaTheme="minorEastAsia"/>
                <w:b/>
                <w:bCs/>
                <w:color w:val="auto"/>
                <w:sz w:val="24"/>
                <w:highlight w:val="none"/>
                <w:lang w:val="en-US"/>
              </w:rPr>
              <w:t>环保投诉</w:t>
            </w:r>
            <w:r>
              <w:rPr>
                <w:rFonts w:hint="eastAsia" w:ascii="Times New Roman" w:hAnsi="Times New Roman" w:cs="Times New Roman" w:eastAsiaTheme="minorEastAsia"/>
                <w:b/>
                <w:bCs/>
                <w:color w:val="auto"/>
                <w:sz w:val="24"/>
                <w:highlight w:val="none"/>
                <w:lang w:val="en-US" w:eastAsia="zh-CN"/>
              </w:rPr>
              <w:t>情况</w:t>
            </w:r>
            <w:r>
              <w:rPr>
                <w:rFonts w:hint="eastAsia" w:ascii="Times New Roman" w:hAnsi="Times New Roman" w:cs="Times New Roman" w:eastAsiaTheme="minorEastAsia"/>
                <w:b/>
                <w:bCs/>
                <w:color w:val="auto"/>
                <w:sz w:val="24"/>
                <w:highlight w:val="none"/>
                <w:lang w:val="en-US"/>
              </w:rPr>
              <w:t>、环保行政处罚情况和整改落实情况</w:t>
            </w:r>
          </w:p>
          <w:p w14:paraId="34975398">
            <w:pPr>
              <w:pStyle w:val="27"/>
              <w:spacing w:line="360" w:lineRule="auto"/>
              <w:ind w:right="86" w:firstLine="480" w:firstLineChars="200"/>
              <w:rPr>
                <w:rFonts w:hint="eastAsia" w:ascii="Times New Roman" w:hAnsi="Times New Roman" w:cs="Times New Roman" w:eastAsiaTheme="minorEastAsia"/>
                <w:color w:val="auto"/>
                <w:sz w:val="24"/>
                <w:highlight w:val="none"/>
                <w:lang w:val="en-US"/>
              </w:rPr>
            </w:pPr>
            <w:r>
              <w:rPr>
                <w:rFonts w:hint="eastAsia" w:ascii="Times New Roman" w:hAnsi="Times New Roman" w:cs="Times New Roman" w:eastAsiaTheme="minorEastAsia"/>
                <w:color w:val="auto"/>
                <w:sz w:val="24"/>
                <w:highlight w:val="none"/>
                <w:lang w:val="en-US"/>
              </w:rPr>
              <w:t>根据调查，企业不存在环保投诉及环保处罚等情况。</w:t>
            </w:r>
          </w:p>
          <w:p w14:paraId="67901F9C">
            <w:pPr>
              <w:pStyle w:val="27"/>
              <w:spacing w:line="360" w:lineRule="auto"/>
              <w:ind w:right="86" w:firstLine="482" w:firstLineChars="200"/>
              <w:rPr>
                <w:rFonts w:hint="eastAsia" w:ascii="Times New Roman" w:hAnsi="Times New Roman" w:cs="Times New Roman" w:eastAsiaTheme="minorEastAsia"/>
                <w:b/>
                <w:bCs/>
                <w:color w:val="auto"/>
                <w:sz w:val="24"/>
                <w:highlight w:val="none"/>
                <w:lang w:val="en-US"/>
              </w:rPr>
            </w:pPr>
            <w:r>
              <w:rPr>
                <w:rFonts w:hint="eastAsia" w:ascii="Times New Roman" w:hAnsi="Times New Roman" w:cs="Times New Roman" w:eastAsiaTheme="minorEastAsia"/>
                <w:b/>
                <w:bCs/>
                <w:color w:val="auto"/>
                <w:sz w:val="24"/>
                <w:highlight w:val="none"/>
                <w:lang w:val="en-US" w:eastAsia="zh-CN"/>
              </w:rPr>
              <w:t>10.</w:t>
            </w:r>
            <w:r>
              <w:rPr>
                <w:rFonts w:hint="eastAsia" w:ascii="Times New Roman" w:hAnsi="Times New Roman" w:cs="Times New Roman" w:eastAsiaTheme="minorEastAsia"/>
                <w:b/>
                <w:bCs/>
                <w:color w:val="auto"/>
                <w:sz w:val="24"/>
                <w:highlight w:val="none"/>
                <w:lang w:val="en-US"/>
              </w:rPr>
              <w:t>现有工程存在的主要环保问题</w:t>
            </w:r>
          </w:p>
          <w:p w14:paraId="0BA931C1">
            <w:pPr>
              <w:pStyle w:val="27"/>
              <w:spacing w:line="360" w:lineRule="auto"/>
              <w:ind w:right="86" w:firstLine="480" w:firstLineChars="200"/>
              <w:rPr>
                <w:rFonts w:ascii="Times New Roman" w:hAnsi="Times New Roman" w:cs="Times New Roman" w:eastAsiaTheme="minorEastAsia"/>
                <w:color w:val="auto"/>
                <w:sz w:val="24"/>
                <w:highlight w:val="none"/>
                <w:lang w:val="en-US"/>
              </w:rPr>
            </w:pPr>
            <w:r>
              <w:rPr>
                <w:rFonts w:hint="eastAsia" w:ascii="Times New Roman" w:hAnsi="Times New Roman" w:cs="Times New Roman" w:eastAsiaTheme="minorEastAsia"/>
                <w:color w:val="auto"/>
                <w:sz w:val="24"/>
                <w:highlight w:val="none"/>
                <w:lang w:val="en-US"/>
              </w:rPr>
              <w:t>根据现场</w:t>
            </w:r>
            <w:r>
              <w:rPr>
                <w:rFonts w:hint="eastAsia" w:ascii="Times New Roman" w:hAnsi="Times New Roman" w:cs="Times New Roman" w:eastAsiaTheme="minorEastAsia"/>
                <w:color w:val="auto"/>
                <w:sz w:val="24"/>
                <w:highlight w:val="none"/>
                <w:lang w:val="en-US" w:eastAsia="zh-CN"/>
              </w:rPr>
              <w:t>踏勘与调查</w:t>
            </w:r>
            <w:r>
              <w:rPr>
                <w:rFonts w:hint="eastAsia" w:ascii="Times New Roman" w:hAnsi="Times New Roman" w:cs="Times New Roman" w:eastAsiaTheme="minorEastAsia"/>
                <w:color w:val="auto"/>
                <w:sz w:val="24"/>
                <w:highlight w:val="none"/>
                <w:lang w:val="en-US"/>
              </w:rPr>
              <w:t>，</w:t>
            </w:r>
            <w:r>
              <w:rPr>
                <w:rFonts w:hint="eastAsia" w:ascii="Times New Roman" w:hAnsi="Times New Roman" w:cs="Times New Roman" w:eastAsiaTheme="minorEastAsia"/>
                <w:color w:val="auto"/>
                <w:sz w:val="24"/>
                <w:highlight w:val="none"/>
                <w:lang w:val="en-US" w:eastAsia="zh-CN"/>
              </w:rPr>
              <w:t>金隅冀东凤翔环保科技有限公司各类</w:t>
            </w:r>
            <w:r>
              <w:rPr>
                <w:rFonts w:hint="eastAsia" w:ascii="Times New Roman" w:hAnsi="Times New Roman" w:cs="Times New Roman" w:eastAsiaTheme="minorEastAsia"/>
                <w:color w:val="auto"/>
                <w:sz w:val="24"/>
                <w:highlight w:val="none"/>
                <w:lang w:val="en-US"/>
              </w:rPr>
              <w:t>环保手续齐全，经现场核实及查阅在线监测数据、自行监测数据，项目</w:t>
            </w:r>
            <w:r>
              <w:rPr>
                <w:rFonts w:hint="eastAsia" w:ascii="Times New Roman" w:hAnsi="Times New Roman" w:cs="Times New Roman" w:eastAsiaTheme="minorEastAsia"/>
                <w:color w:val="auto"/>
                <w:sz w:val="24"/>
                <w:highlight w:val="none"/>
                <w:lang w:val="en-US" w:eastAsia="zh-CN"/>
              </w:rPr>
              <w:t>废气、废水及噪声均能实现达标排放</w:t>
            </w:r>
            <w:r>
              <w:rPr>
                <w:rFonts w:hint="eastAsia" w:ascii="Times New Roman" w:hAnsi="Times New Roman" w:cs="Times New Roman" w:eastAsiaTheme="minorEastAsia"/>
                <w:color w:val="auto"/>
                <w:sz w:val="24"/>
                <w:highlight w:val="none"/>
                <w:lang w:val="en-US"/>
              </w:rPr>
              <w:t>，</w:t>
            </w:r>
            <w:r>
              <w:rPr>
                <w:rFonts w:hint="eastAsia" w:ascii="Times New Roman" w:hAnsi="Times New Roman" w:cs="Times New Roman" w:eastAsiaTheme="minorEastAsia"/>
                <w:color w:val="auto"/>
                <w:sz w:val="24"/>
                <w:highlight w:val="none"/>
                <w:lang w:val="en-US" w:eastAsia="zh-CN"/>
              </w:rPr>
              <w:t>固体废物得到妥善处置，</w:t>
            </w:r>
            <w:r>
              <w:rPr>
                <w:rFonts w:hint="eastAsia" w:ascii="Times New Roman" w:hAnsi="Times New Roman" w:cs="Times New Roman" w:eastAsiaTheme="minorEastAsia"/>
                <w:color w:val="auto"/>
                <w:sz w:val="24"/>
                <w:highlight w:val="none"/>
                <w:lang w:val="en-US"/>
              </w:rPr>
              <w:t>现有</w:t>
            </w:r>
            <w:r>
              <w:rPr>
                <w:rFonts w:hint="eastAsia" w:ascii="Times New Roman" w:hAnsi="Times New Roman" w:cs="Times New Roman" w:eastAsiaTheme="minorEastAsia"/>
                <w:color w:val="auto"/>
                <w:sz w:val="24"/>
                <w:highlight w:val="none"/>
                <w:lang w:val="en-US" w:eastAsia="zh-CN"/>
              </w:rPr>
              <w:t>工程</w:t>
            </w:r>
            <w:r>
              <w:rPr>
                <w:rFonts w:hint="eastAsia" w:ascii="Times New Roman" w:hAnsi="Times New Roman" w:cs="Times New Roman" w:eastAsiaTheme="minorEastAsia"/>
                <w:color w:val="auto"/>
                <w:sz w:val="24"/>
                <w:highlight w:val="none"/>
                <w:lang w:val="en-US"/>
              </w:rPr>
              <w:t>污染物排放也能满足排污许可证总量</w:t>
            </w:r>
            <w:r>
              <w:rPr>
                <w:rFonts w:hint="eastAsia" w:ascii="Times New Roman" w:hAnsi="Times New Roman" w:cs="Times New Roman" w:eastAsiaTheme="minorEastAsia"/>
                <w:color w:val="auto"/>
                <w:sz w:val="24"/>
                <w:highlight w:val="none"/>
                <w:lang w:val="en-US" w:eastAsia="zh-CN"/>
              </w:rPr>
              <w:t>控制</w:t>
            </w:r>
            <w:r>
              <w:rPr>
                <w:rFonts w:hint="eastAsia" w:ascii="Times New Roman" w:hAnsi="Times New Roman" w:cs="Times New Roman" w:eastAsiaTheme="minorEastAsia"/>
                <w:color w:val="auto"/>
                <w:sz w:val="24"/>
                <w:highlight w:val="none"/>
                <w:lang w:val="en-US"/>
              </w:rPr>
              <w:t>指标要求。因此，现有工程不存在原有环境污染问题。</w:t>
            </w:r>
          </w:p>
        </w:tc>
      </w:tr>
    </w:tbl>
    <w:p w14:paraId="7E3555DB">
      <w:pPr>
        <w:pStyle w:val="17"/>
        <w:jc w:val="center"/>
        <w:outlineLvl w:val="0"/>
        <w:rPr>
          <w:rFonts w:ascii="Times New Roman" w:hAnsi="Times New Roman" w:eastAsiaTheme="minorEastAsia"/>
          <w:snapToGrid w:val="0"/>
          <w:color w:val="auto"/>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12" w:name="_Toc27645"/>
      <w:bookmarkStart w:id="13" w:name="_Toc1009"/>
    </w:p>
    <w:p w14:paraId="247871F2">
      <w:pPr>
        <w:pStyle w:val="17"/>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ascii="Times New Roman" w:hAnsi="Times New Roman" w:eastAsiaTheme="minorEastAsia"/>
          <w:snapToGrid w:val="0"/>
          <w:color w:val="auto"/>
          <w:sz w:val="30"/>
          <w:szCs w:val="30"/>
          <w:highlight w:val="none"/>
        </w:rPr>
      </w:pPr>
      <w:bookmarkStart w:id="14" w:name="_Toc15128"/>
      <w:r>
        <w:rPr>
          <w:rFonts w:ascii="Times New Roman" w:hAnsi="Times New Roman" w:eastAsiaTheme="minorEastAsia"/>
          <w:snapToGrid w:val="0"/>
          <w:color w:val="auto"/>
          <w:sz w:val="30"/>
          <w:szCs w:val="30"/>
          <w:highlight w:val="none"/>
        </w:rPr>
        <w:t>三、区域环境质量现状、环境保护目标及评价标准</w:t>
      </w:r>
      <w:bookmarkEnd w:id="12"/>
      <w:bookmarkEnd w:id="13"/>
      <w:bookmarkEnd w:id="14"/>
    </w:p>
    <w:tbl>
      <w:tblPr>
        <w:tblStyle w:val="19"/>
        <w:tblW w:w="89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72E20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Borders>
              <w:tl2br w:val="nil"/>
              <w:tr2bl w:val="nil"/>
            </w:tcBorders>
            <w:noWrap/>
            <w:vAlign w:val="center"/>
          </w:tcPr>
          <w:p w14:paraId="78E1ECB5">
            <w:pPr>
              <w:adjustRightInd w:val="0"/>
              <w:snapToGrid w:val="0"/>
              <w:jc w:val="center"/>
              <w:rPr>
                <w:rFonts w:eastAsiaTheme="minorEastAsia"/>
                <w:color w:val="auto"/>
                <w:kern w:val="0"/>
                <w:sz w:val="24"/>
                <w:highlight w:val="none"/>
              </w:rPr>
            </w:pPr>
            <w:r>
              <w:rPr>
                <w:rFonts w:eastAsiaTheme="minorEastAsia"/>
                <w:color w:val="auto"/>
                <w:kern w:val="0"/>
                <w:sz w:val="24"/>
                <w:highlight w:val="none"/>
              </w:rPr>
              <w:t>区域</w:t>
            </w:r>
          </w:p>
          <w:p w14:paraId="658D6CE4">
            <w:pPr>
              <w:adjustRightInd w:val="0"/>
              <w:snapToGrid w:val="0"/>
              <w:jc w:val="center"/>
              <w:rPr>
                <w:rFonts w:eastAsiaTheme="minorEastAsia"/>
                <w:color w:val="auto"/>
                <w:kern w:val="0"/>
                <w:sz w:val="24"/>
                <w:highlight w:val="none"/>
              </w:rPr>
            </w:pPr>
            <w:r>
              <w:rPr>
                <w:rFonts w:eastAsiaTheme="minorEastAsia"/>
                <w:color w:val="auto"/>
                <w:kern w:val="0"/>
                <w:sz w:val="24"/>
                <w:highlight w:val="none"/>
              </w:rPr>
              <w:t>环境</w:t>
            </w:r>
          </w:p>
          <w:p w14:paraId="327720AF">
            <w:pPr>
              <w:adjustRightInd w:val="0"/>
              <w:snapToGrid w:val="0"/>
              <w:jc w:val="center"/>
              <w:rPr>
                <w:rFonts w:eastAsiaTheme="minorEastAsia"/>
                <w:color w:val="auto"/>
                <w:kern w:val="0"/>
                <w:sz w:val="24"/>
                <w:highlight w:val="none"/>
              </w:rPr>
            </w:pPr>
            <w:r>
              <w:rPr>
                <w:rFonts w:eastAsiaTheme="minorEastAsia"/>
                <w:color w:val="auto"/>
                <w:kern w:val="0"/>
                <w:sz w:val="24"/>
                <w:highlight w:val="none"/>
              </w:rPr>
              <w:t>质量</w:t>
            </w:r>
          </w:p>
          <w:p w14:paraId="5FC14624">
            <w:pPr>
              <w:adjustRightInd w:val="0"/>
              <w:snapToGrid w:val="0"/>
              <w:jc w:val="center"/>
              <w:rPr>
                <w:rFonts w:eastAsiaTheme="minorEastAsia"/>
                <w:color w:val="auto"/>
                <w:kern w:val="0"/>
                <w:szCs w:val="21"/>
                <w:highlight w:val="none"/>
              </w:rPr>
            </w:pPr>
            <w:r>
              <w:rPr>
                <w:rFonts w:eastAsiaTheme="minorEastAsia"/>
                <w:color w:val="auto"/>
                <w:kern w:val="0"/>
                <w:sz w:val="24"/>
                <w:highlight w:val="none"/>
              </w:rPr>
              <w:t>现状</w:t>
            </w:r>
          </w:p>
        </w:tc>
        <w:tc>
          <w:tcPr>
            <w:tcW w:w="8190" w:type="dxa"/>
            <w:tcBorders>
              <w:tl2br w:val="nil"/>
              <w:tr2bl w:val="nil"/>
            </w:tcBorders>
            <w:noWrap/>
            <w:vAlign w:val="center"/>
          </w:tcPr>
          <w:p w14:paraId="5160CA95">
            <w:pPr>
              <w:spacing w:line="360" w:lineRule="auto"/>
              <w:ind w:firstLine="482" w:firstLineChars="200"/>
              <w:rPr>
                <w:rFonts w:eastAsiaTheme="minorEastAsia"/>
                <w:b/>
                <w:bCs/>
                <w:color w:val="auto"/>
                <w:sz w:val="24"/>
                <w:highlight w:val="none"/>
              </w:rPr>
            </w:pPr>
            <w:r>
              <w:rPr>
                <w:rFonts w:eastAsiaTheme="minorEastAsia"/>
                <w:b/>
                <w:bCs/>
                <w:color w:val="auto"/>
                <w:sz w:val="24"/>
                <w:highlight w:val="none"/>
              </w:rPr>
              <w:t>1</w:t>
            </w:r>
            <w:r>
              <w:rPr>
                <w:rFonts w:hint="eastAsia" w:eastAsiaTheme="minorEastAsia"/>
                <w:b/>
                <w:bCs/>
                <w:color w:val="auto"/>
                <w:sz w:val="24"/>
                <w:highlight w:val="none"/>
                <w:lang w:val="en-US" w:eastAsia="zh-CN"/>
              </w:rPr>
              <w:t>.</w:t>
            </w:r>
            <w:r>
              <w:rPr>
                <w:rFonts w:eastAsiaTheme="minorEastAsia"/>
                <w:b/>
                <w:bCs/>
                <w:color w:val="auto"/>
                <w:sz w:val="24"/>
                <w:highlight w:val="none"/>
              </w:rPr>
              <w:t>环境</w:t>
            </w:r>
            <w:bookmarkStart w:id="15" w:name="_Toc297732136"/>
            <w:bookmarkStart w:id="16" w:name="_Toc298482615"/>
            <w:r>
              <w:rPr>
                <w:rFonts w:eastAsiaTheme="minorEastAsia"/>
                <w:b/>
                <w:bCs/>
                <w:color w:val="auto"/>
                <w:sz w:val="24"/>
                <w:highlight w:val="none"/>
              </w:rPr>
              <w:t>空</w:t>
            </w:r>
            <w:bookmarkEnd w:id="15"/>
            <w:bookmarkEnd w:id="16"/>
            <w:r>
              <w:rPr>
                <w:rFonts w:eastAsiaTheme="minorEastAsia"/>
                <w:b/>
                <w:bCs/>
                <w:color w:val="auto"/>
                <w:sz w:val="24"/>
                <w:highlight w:val="none"/>
              </w:rPr>
              <w:t>气质量现状</w:t>
            </w:r>
          </w:p>
          <w:p w14:paraId="51D8ED3F">
            <w:pPr>
              <w:pStyle w:val="27"/>
              <w:spacing w:line="360" w:lineRule="auto"/>
              <w:ind w:right="86" w:firstLine="480" w:firstLineChars="200"/>
              <w:rPr>
                <w:rFonts w:ascii="Times New Roman" w:hAnsi="Times New Roman" w:cs="Times New Roman" w:eastAsiaTheme="minorEastAsia"/>
                <w:color w:val="auto"/>
                <w:sz w:val="24"/>
                <w:highlight w:val="none"/>
                <w:lang w:val="en-US"/>
              </w:rPr>
            </w:pPr>
            <w:r>
              <w:rPr>
                <w:rFonts w:ascii="Times New Roman" w:hAnsi="Times New Roman" w:cs="Times New Roman" w:eastAsiaTheme="minorEastAsia"/>
                <w:color w:val="auto"/>
                <w:sz w:val="24"/>
                <w:highlight w:val="none"/>
                <w:lang w:val="en-US"/>
              </w:rPr>
              <w:t>本项目位于陕西省</w:t>
            </w:r>
            <w:r>
              <w:rPr>
                <w:rFonts w:hint="eastAsia" w:ascii="Times New Roman" w:hAnsi="Times New Roman" w:cs="Times New Roman" w:eastAsiaTheme="minorEastAsia"/>
                <w:color w:val="auto"/>
                <w:sz w:val="24"/>
                <w:highlight w:val="none"/>
                <w:lang w:val="en-US" w:eastAsia="zh-CN"/>
              </w:rPr>
              <w:t>宝鸡市凤翔区田家庄镇河北村村北金隅冀东凤翔环保科技有限公司厂区内。</w:t>
            </w:r>
            <w:r>
              <w:rPr>
                <w:rFonts w:ascii="Times New Roman" w:hAnsi="Times New Roman" w:cs="Times New Roman" w:eastAsiaTheme="minorEastAsia"/>
                <w:color w:val="auto"/>
                <w:sz w:val="24"/>
                <w:highlight w:val="none"/>
                <w:lang w:val="en-US"/>
              </w:rPr>
              <w:t>根据大气功能区划，本项目所在地为二类功能区</w:t>
            </w:r>
            <w:r>
              <w:rPr>
                <w:rFonts w:hint="eastAsia" w:ascii="Times New Roman" w:hAnsi="Times New Roman" w:cs="Times New Roman" w:eastAsiaTheme="minorEastAsia"/>
                <w:color w:val="auto"/>
                <w:sz w:val="24"/>
                <w:highlight w:val="none"/>
                <w:lang w:val="en-US" w:eastAsia="zh-CN"/>
              </w:rPr>
              <w:t>。</w:t>
            </w:r>
            <w:r>
              <w:rPr>
                <w:rFonts w:ascii="Times New Roman" w:hAnsi="Times New Roman" w:cs="Times New Roman" w:eastAsiaTheme="minorEastAsia"/>
                <w:color w:val="auto"/>
                <w:sz w:val="24"/>
                <w:highlight w:val="none"/>
                <w:lang w:val="en-US"/>
              </w:rPr>
              <w:t>环境空气质量标准执行《环境空气质量标准》（GB3095-2012）二级标准要求。环境空气现状调查方法采用收集评价范围内近三年的相关资料</w:t>
            </w:r>
            <w:r>
              <w:rPr>
                <w:rFonts w:hint="eastAsia" w:ascii="Times New Roman" w:hAnsi="Times New Roman" w:cs="Times New Roman" w:eastAsiaTheme="minorEastAsia"/>
                <w:color w:val="auto"/>
                <w:sz w:val="24"/>
                <w:highlight w:val="none"/>
                <w:lang w:val="en-US"/>
              </w:rPr>
              <w:t>并补充监测</w:t>
            </w:r>
            <w:r>
              <w:rPr>
                <w:rFonts w:ascii="Times New Roman" w:hAnsi="Times New Roman" w:cs="Times New Roman" w:eastAsiaTheme="minorEastAsia"/>
                <w:color w:val="auto"/>
                <w:sz w:val="24"/>
                <w:highlight w:val="none"/>
                <w:lang w:val="en-US"/>
              </w:rPr>
              <w:t>的方法。</w:t>
            </w:r>
          </w:p>
          <w:p w14:paraId="73609C5B">
            <w:pPr>
              <w:pStyle w:val="27"/>
              <w:spacing w:line="360" w:lineRule="auto"/>
              <w:ind w:right="86" w:firstLine="480" w:firstLineChars="200"/>
              <w:rPr>
                <w:rFonts w:ascii="Times New Roman" w:hAnsi="Times New Roman" w:cs="Times New Roman" w:eastAsiaTheme="minorEastAsia"/>
                <w:color w:val="auto"/>
                <w:sz w:val="24"/>
                <w:highlight w:val="none"/>
                <w:lang w:val="en-US"/>
              </w:rPr>
            </w:pPr>
            <w:r>
              <w:rPr>
                <w:rFonts w:ascii="Times New Roman" w:hAnsi="Times New Roman" w:cs="Times New Roman" w:eastAsiaTheme="minorEastAsia"/>
                <w:color w:val="auto"/>
                <w:sz w:val="24"/>
                <w:highlight w:val="none"/>
                <w:lang w:val="en-US"/>
              </w:rPr>
              <w:t>按照《建设项目环境影响报告表编制技术指南（污染影响类）（试行）》规定，</w:t>
            </w:r>
            <w:r>
              <w:rPr>
                <w:rFonts w:hint="eastAsia" w:ascii="仿宋" w:hAnsi="仿宋" w:eastAsia="仿宋" w:cs="仿宋"/>
                <w:color w:val="auto"/>
                <w:sz w:val="24"/>
                <w:highlight w:val="none"/>
                <w:lang w:val="en-US"/>
              </w:rPr>
              <w:t>“</w:t>
            </w:r>
            <w:r>
              <w:rPr>
                <w:rFonts w:hint="eastAsia" w:ascii="宋体" w:hAnsi="宋体" w:eastAsia="宋体" w:cs="宋体"/>
                <w:color w:val="auto"/>
                <w:sz w:val="24"/>
                <w:highlight w:val="none"/>
                <w:lang w:val="en-US"/>
              </w:rPr>
              <w:t>常规</w:t>
            </w:r>
            <w:r>
              <w:rPr>
                <w:rFonts w:ascii="Times New Roman" w:hAnsi="Times New Roman" w:cs="Times New Roman" w:eastAsiaTheme="minorEastAsia"/>
                <w:color w:val="auto"/>
                <w:sz w:val="24"/>
                <w:highlight w:val="none"/>
                <w:lang w:val="en-US"/>
              </w:rPr>
              <w:t>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km范围内近3年的现有监测数据</w:t>
            </w:r>
            <w:r>
              <w:rPr>
                <w:rFonts w:hint="eastAsia" w:ascii="宋体" w:hAnsi="宋体" w:eastAsia="宋体" w:cs="宋体"/>
                <w:color w:val="auto"/>
                <w:sz w:val="24"/>
                <w:highlight w:val="none"/>
                <w:lang w:val="en-US"/>
              </w:rPr>
              <w:t>”</w:t>
            </w:r>
            <w:r>
              <w:rPr>
                <w:rFonts w:ascii="Times New Roman" w:hAnsi="Times New Roman" w:cs="Times New Roman" w:eastAsiaTheme="minorEastAsia"/>
                <w:color w:val="auto"/>
                <w:sz w:val="24"/>
                <w:highlight w:val="none"/>
                <w:lang w:val="en-US"/>
              </w:rPr>
              <w:t>。</w:t>
            </w:r>
          </w:p>
          <w:p w14:paraId="3A268F96">
            <w:pPr>
              <w:numPr>
                <w:ilvl w:val="0"/>
                <w:numId w:val="8"/>
              </w:numPr>
              <w:spacing w:line="360" w:lineRule="auto"/>
              <w:ind w:firstLine="480" w:firstLineChars="200"/>
              <w:rPr>
                <w:rFonts w:eastAsiaTheme="minorEastAsia"/>
                <w:color w:val="auto"/>
                <w:sz w:val="24"/>
                <w:highlight w:val="none"/>
              </w:rPr>
            </w:pPr>
            <w:r>
              <w:rPr>
                <w:rFonts w:eastAsiaTheme="minorEastAsia"/>
                <w:color w:val="auto"/>
                <w:sz w:val="24"/>
                <w:highlight w:val="none"/>
              </w:rPr>
              <w:t>环境空气质量现状</w:t>
            </w:r>
          </w:p>
          <w:p w14:paraId="1BA9E833">
            <w:pPr>
              <w:spacing w:line="360" w:lineRule="auto"/>
              <w:ind w:firstLine="480" w:firstLineChars="200"/>
              <w:rPr>
                <w:rFonts w:eastAsiaTheme="minorEastAsia"/>
                <w:color w:val="auto"/>
                <w:sz w:val="24"/>
                <w:highlight w:val="none"/>
              </w:rPr>
            </w:pPr>
            <w:r>
              <w:rPr>
                <w:rFonts w:hint="default" w:ascii="Times New Roman" w:hAnsi="Times New Roman" w:cs="Times New Roman"/>
                <w:color w:val="auto"/>
                <w:sz w:val="24"/>
                <w:highlight w:val="none"/>
                <w:lang w:val="en-US" w:eastAsia="zh-CN"/>
              </w:rPr>
              <w:t>本次评价常规污染物环境质量现状采用陕西省生态环境厅发布的《</w:t>
            </w:r>
            <w:r>
              <w:rPr>
                <w:rFonts w:hint="eastAsia" w:ascii="Times New Roman" w:hAnsi="Times New Roman" w:cs="Times New Roman"/>
                <w:color w:val="auto"/>
                <w:sz w:val="24"/>
                <w:highlight w:val="none"/>
                <w:lang w:val="en-US" w:eastAsia="zh-CN"/>
              </w:rPr>
              <w:t>2024</w:t>
            </w:r>
            <w:r>
              <w:rPr>
                <w:rFonts w:hint="default" w:ascii="Times New Roman" w:hAnsi="Times New Roman" w:cs="Times New Roman"/>
                <w:color w:val="auto"/>
                <w:sz w:val="24"/>
                <w:highlight w:val="none"/>
                <w:lang w:val="en-US" w:eastAsia="zh-CN"/>
              </w:rPr>
              <w:t>年12月及1</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12月全省环境空气质量状况》中宝鸡市</w:t>
            </w:r>
            <w:r>
              <w:rPr>
                <w:rFonts w:hint="eastAsia" w:ascii="Times New Roman" w:hAnsi="Times New Roman" w:cs="Times New Roman"/>
                <w:color w:val="auto"/>
                <w:sz w:val="24"/>
                <w:highlight w:val="none"/>
                <w:lang w:val="en-US" w:eastAsia="zh-CN"/>
              </w:rPr>
              <w:t>凤翔区</w:t>
            </w:r>
            <w:r>
              <w:rPr>
                <w:rFonts w:hint="default" w:ascii="Times New Roman" w:hAnsi="Times New Roman" w:cs="Times New Roman"/>
                <w:color w:val="auto"/>
                <w:sz w:val="24"/>
                <w:highlight w:val="none"/>
                <w:lang w:val="en-US" w:eastAsia="zh-CN"/>
              </w:rPr>
              <w:t>的相关大气监测数据。</w:t>
            </w:r>
            <w:r>
              <w:rPr>
                <w:rFonts w:hint="eastAsia" w:ascii="Times New Roman" w:hAnsi="Times New Roman" w:cs="Times New Roman"/>
                <w:color w:val="auto"/>
                <w:sz w:val="24"/>
                <w:highlight w:val="none"/>
                <w:lang w:val="en-US" w:eastAsia="zh-CN"/>
              </w:rPr>
              <w:t>2024</w:t>
            </w:r>
            <w:r>
              <w:rPr>
                <w:rFonts w:hint="default" w:ascii="Times New Roman" w:hAnsi="Times New Roman" w:cs="Times New Roman"/>
                <w:color w:val="auto"/>
                <w:sz w:val="24"/>
                <w:highlight w:val="none"/>
                <w:lang w:val="en-US" w:eastAsia="zh-CN"/>
              </w:rPr>
              <w:t>年宝鸡市</w:t>
            </w:r>
            <w:r>
              <w:rPr>
                <w:rFonts w:hint="eastAsia" w:ascii="Times New Roman" w:hAnsi="Times New Roman" w:cs="Times New Roman"/>
                <w:color w:val="auto"/>
                <w:sz w:val="24"/>
                <w:highlight w:val="none"/>
                <w:lang w:val="en-US" w:eastAsia="zh-CN"/>
              </w:rPr>
              <w:t>凤翔区</w:t>
            </w:r>
            <w:r>
              <w:rPr>
                <w:rFonts w:hint="default" w:ascii="Times New Roman" w:hAnsi="Times New Roman" w:cs="Times New Roman"/>
                <w:color w:val="auto"/>
                <w:sz w:val="24"/>
                <w:highlight w:val="none"/>
                <w:lang w:val="en-US" w:eastAsia="zh-CN"/>
              </w:rPr>
              <w:t>空气质量状况统计</w:t>
            </w:r>
            <w:r>
              <w:rPr>
                <w:rFonts w:hint="eastAsia" w:cs="Times New Roman"/>
                <w:color w:val="auto"/>
                <w:sz w:val="24"/>
                <w:highlight w:val="none"/>
                <w:lang w:val="en-US" w:eastAsia="zh-CN"/>
              </w:rPr>
              <w:t>详见</w:t>
            </w:r>
            <w:r>
              <w:rPr>
                <w:rFonts w:hint="default" w:ascii="Times New Roman" w:hAnsi="Times New Roman" w:cs="Times New Roman"/>
                <w:color w:val="auto"/>
                <w:sz w:val="24"/>
                <w:highlight w:val="none"/>
                <w:lang w:val="en-US" w:eastAsia="zh-CN"/>
              </w:rPr>
              <w:t>表3-1</w:t>
            </w:r>
            <w:r>
              <w:rPr>
                <w:rFonts w:eastAsiaTheme="minorEastAsia"/>
                <w:color w:val="auto"/>
                <w:sz w:val="24"/>
                <w:highlight w:val="none"/>
              </w:rPr>
              <w:t>。</w:t>
            </w:r>
          </w:p>
          <w:p w14:paraId="3169CE9C">
            <w:pPr>
              <w:jc w:val="center"/>
              <w:rPr>
                <w:rFonts w:eastAsiaTheme="minorEastAsia"/>
                <w:b/>
                <w:bCs/>
                <w:color w:val="auto"/>
                <w:szCs w:val="21"/>
                <w:highlight w:val="none"/>
              </w:rPr>
            </w:pPr>
            <w:r>
              <w:rPr>
                <w:rFonts w:eastAsiaTheme="minorEastAsia"/>
                <w:b/>
                <w:bCs/>
                <w:color w:val="auto"/>
                <w:szCs w:val="21"/>
                <w:highlight w:val="none"/>
              </w:rPr>
              <w:t xml:space="preserve">表3-1  </w:t>
            </w:r>
            <w:r>
              <w:rPr>
                <w:rFonts w:hint="eastAsia" w:eastAsiaTheme="minorEastAsia"/>
                <w:b/>
                <w:bCs/>
                <w:color w:val="auto"/>
                <w:szCs w:val="21"/>
                <w:highlight w:val="none"/>
                <w:lang w:val="en-US" w:eastAsia="zh-CN"/>
              </w:rPr>
              <w:t>2024</w:t>
            </w:r>
            <w:r>
              <w:rPr>
                <w:rFonts w:eastAsiaTheme="minorEastAsia"/>
                <w:b/>
                <w:bCs/>
                <w:color w:val="auto"/>
                <w:szCs w:val="21"/>
                <w:highlight w:val="none"/>
              </w:rPr>
              <w:t>年</w:t>
            </w:r>
            <w:r>
              <w:rPr>
                <w:rFonts w:hint="eastAsia" w:eastAsiaTheme="minorEastAsia"/>
                <w:b/>
                <w:bCs/>
                <w:color w:val="auto"/>
                <w:szCs w:val="21"/>
                <w:highlight w:val="none"/>
                <w:lang w:eastAsia="zh-CN"/>
              </w:rPr>
              <w:t>宝鸡市</w:t>
            </w:r>
            <w:r>
              <w:rPr>
                <w:rFonts w:hint="eastAsia" w:eastAsiaTheme="minorEastAsia"/>
                <w:b/>
                <w:bCs/>
                <w:color w:val="auto"/>
                <w:szCs w:val="21"/>
                <w:highlight w:val="none"/>
                <w:lang w:val="en-US" w:eastAsia="zh-CN"/>
              </w:rPr>
              <w:t>凤翔区</w:t>
            </w:r>
            <w:r>
              <w:rPr>
                <w:rFonts w:eastAsiaTheme="minorEastAsia"/>
                <w:b/>
                <w:bCs/>
                <w:color w:val="auto"/>
                <w:szCs w:val="21"/>
                <w:highlight w:val="none"/>
              </w:rPr>
              <w:t>环境空气质量监测结果统计表</w:t>
            </w:r>
          </w:p>
          <w:tbl>
            <w:tblPr>
              <w:tblStyle w:val="19"/>
              <w:tblW w:w="80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0"/>
              <w:gridCol w:w="737"/>
              <w:gridCol w:w="2638"/>
              <w:gridCol w:w="1300"/>
              <w:gridCol w:w="1150"/>
              <w:gridCol w:w="875"/>
              <w:gridCol w:w="815"/>
            </w:tblGrid>
            <w:tr w14:paraId="1D65B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Merge w:val="restart"/>
                  <w:tcBorders>
                    <w:tl2br w:val="nil"/>
                    <w:tr2bl w:val="nil"/>
                  </w:tcBorders>
                  <w:noWrap/>
                  <w:vAlign w:val="center"/>
                </w:tcPr>
                <w:p w14:paraId="52A20FA3">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b/>
                      <w:bCs/>
                      <w:color w:val="auto"/>
                      <w:szCs w:val="21"/>
                      <w:highlight w:val="none"/>
                      <w:lang w:val="zh-CN"/>
                    </w:rPr>
                  </w:pPr>
                  <w:r>
                    <w:rPr>
                      <w:rFonts w:eastAsiaTheme="minorEastAsia"/>
                      <w:b/>
                      <w:bCs/>
                      <w:color w:val="auto"/>
                      <w:szCs w:val="21"/>
                      <w:highlight w:val="none"/>
                      <w:lang w:val="zh-CN"/>
                    </w:rPr>
                    <w:t>县区</w:t>
                  </w:r>
                </w:p>
              </w:tc>
              <w:tc>
                <w:tcPr>
                  <w:tcW w:w="737" w:type="dxa"/>
                  <w:vMerge w:val="restart"/>
                  <w:tcBorders>
                    <w:tl2br w:val="nil"/>
                    <w:tr2bl w:val="nil"/>
                  </w:tcBorders>
                  <w:noWrap/>
                  <w:vAlign w:val="center"/>
                </w:tcPr>
                <w:p w14:paraId="1A4F1D97">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b/>
                      <w:bCs/>
                      <w:color w:val="auto"/>
                      <w:szCs w:val="21"/>
                      <w:highlight w:val="none"/>
                      <w:lang w:val="zh-CN"/>
                    </w:rPr>
                  </w:pPr>
                  <w:r>
                    <w:rPr>
                      <w:rFonts w:eastAsiaTheme="minorEastAsia"/>
                      <w:b/>
                      <w:bCs/>
                      <w:color w:val="auto"/>
                      <w:szCs w:val="21"/>
                      <w:highlight w:val="none"/>
                      <w:lang w:val="zh-CN"/>
                    </w:rPr>
                    <w:t>项目</w:t>
                  </w:r>
                </w:p>
              </w:tc>
              <w:tc>
                <w:tcPr>
                  <w:tcW w:w="2638" w:type="dxa"/>
                  <w:vMerge w:val="restart"/>
                  <w:tcBorders>
                    <w:tl2br w:val="nil"/>
                    <w:tr2bl w:val="nil"/>
                  </w:tcBorders>
                  <w:noWrap/>
                  <w:vAlign w:val="center"/>
                </w:tcPr>
                <w:p w14:paraId="47B6B6A3">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b/>
                      <w:bCs/>
                      <w:color w:val="auto"/>
                      <w:szCs w:val="21"/>
                      <w:highlight w:val="none"/>
                      <w:lang w:val="zh-CN"/>
                    </w:rPr>
                  </w:pPr>
                  <w:r>
                    <w:rPr>
                      <w:rFonts w:eastAsiaTheme="minorEastAsia"/>
                      <w:b/>
                      <w:bCs/>
                      <w:color w:val="auto"/>
                      <w:szCs w:val="21"/>
                      <w:highlight w:val="none"/>
                      <w:lang w:val="zh-CN"/>
                    </w:rPr>
                    <w:t>浓度（均值）</w:t>
                  </w:r>
                </w:p>
              </w:tc>
              <w:tc>
                <w:tcPr>
                  <w:tcW w:w="1300" w:type="dxa"/>
                  <w:vMerge w:val="restart"/>
                  <w:tcBorders>
                    <w:tl2br w:val="nil"/>
                    <w:tr2bl w:val="nil"/>
                  </w:tcBorders>
                  <w:noWrap/>
                  <w:vAlign w:val="center"/>
                </w:tcPr>
                <w:p w14:paraId="49792593">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b/>
                      <w:bCs/>
                      <w:color w:val="auto"/>
                      <w:szCs w:val="21"/>
                      <w:highlight w:val="none"/>
                    </w:rPr>
                  </w:pPr>
                  <w:r>
                    <w:rPr>
                      <w:rFonts w:eastAsiaTheme="minorEastAsia"/>
                      <w:b/>
                      <w:bCs/>
                      <w:color w:val="auto"/>
                      <w:szCs w:val="21"/>
                      <w:highlight w:val="none"/>
                    </w:rPr>
                    <w:t>平均时间</w:t>
                  </w:r>
                </w:p>
              </w:tc>
              <w:tc>
                <w:tcPr>
                  <w:tcW w:w="1150" w:type="dxa"/>
                  <w:tcBorders>
                    <w:tl2br w:val="nil"/>
                    <w:tr2bl w:val="nil"/>
                  </w:tcBorders>
                  <w:noWrap/>
                  <w:vAlign w:val="center"/>
                </w:tcPr>
                <w:p w14:paraId="7E2D3B7F">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b/>
                      <w:bCs/>
                      <w:color w:val="auto"/>
                      <w:szCs w:val="21"/>
                      <w:highlight w:val="none"/>
                      <w:lang w:val="zh-CN"/>
                    </w:rPr>
                  </w:pPr>
                  <w:r>
                    <w:rPr>
                      <w:rFonts w:eastAsiaTheme="minorEastAsia"/>
                      <w:b/>
                      <w:bCs/>
                      <w:color w:val="auto"/>
                      <w:szCs w:val="21"/>
                      <w:highlight w:val="none"/>
                      <w:lang w:val="zh-CN"/>
                    </w:rPr>
                    <w:t>标准限值</w:t>
                  </w:r>
                </w:p>
              </w:tc>
              <w:tc>
                <w:tcPr>
                  <w:tcW w:w="875" w:type="dxa"/>
                  <w:vMerge w:val="restart"/>
                  <w:tcBorders>
                    <w:tl2br w:val="nil"/>
                    <w:tr2bl w:val="nil"/>
                  </w:tcBorders>
                  <w:noWrap/>
                  <w:vAlign w:val="center"/>
                </w:tcPr>
                <w:p w14:paraId="3DA04C63">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b/>
                      <w:bCs/>
                      <w:color w:val="auto"/>
                      <w:szCs w:val="21"/>
                      <w:highlight w:val="none"/>
                      <w:lang w:val="zh-CN"/>
                    </w:rPr>
                  </w:pPr>
                  <w:r>
                    <w:rPr>
                      <w:rFonts w:eastAsiaTheme="minorEastAsia"/>
                      <w:b/>
                      <w:bCs/>
                      <w:color w:val="auto"/>
                      <w:szCs w:val="21"/>
                      <w:highlight w:val="none"/>
                      <w:lang w:val="zh-CN"/>
                    </w:rPr>
                    <w:t>达标</w:t>
                  </w:r>
                </w:p>
                <w:p w14:paraId="68C2F2AF">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b/>
                      <w:bCs/>
                      <w:color w:val="auto"/>
                      <w:szCs w:val="21"/>
                      <w:highlight w:val="none"/>
                      <w:lang w:val="zh-CN"/>
                    </w:rPr>
                  </w:pPr>
                  <w:r>
                    <w:rPr>
                      <w:rFonts w:eastAsiaTheme="minorEastAsia"/>
                      <w:b/>
                      <w:bCs/>
                      <w:color w:val="auto"/>
                      <w:szCs w:val="21"/>
                      <w:highlight w:val="none"/>
                      <w:lang w:val="zh-CN"/>
                    </w:rPr>
                    <w:t>情况</w:t>
                  </w:r>
                </w:p>
              </w:tc>
              <w:tc>
                <w:tcPr>
                  <w:tcW w:w="815" w:type="dxa"/>
                  <w:vMerge w:val="restart"/>
                  <w:tcBorders>
                    <w:tl2br w:val="nil"/>
                    <w:tr2bl w:val="nil"/>
                  </w:tcBorders>
                  <w:noWrap/>
                  <w:vAlign w:val="center"/>
                </w:tcPr>
                <w:p w14:paraId="7199C2EE">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b/>
                      <w:bCs/>
                      <w:color w:val="auto"/>
                      <w:szCs w:val="21"/>
                      <w:highlight w:val="none"/>
                      <w:lang w:val="zh-CN"/>
                    </w:rPr>
                  </w:pPr>
                  <w:r>
                    <w:rPr>
                      <w:rFonts w:hint="eastAsia" w:eastAsiaTheme="minorEastAsia"/>
                      <w:b/>
                      <w:bCs/>
                      <w:color w:val="auto"/>
                      <w:szCs w:val="21"/>
                      <w:highlight w:val="none"/>
                      <w:lang w:val="en-US" w:eastAsia="zh-CN"/>
                    </w:rPr>
                    <w:t>达标</w:t>
                  </w:r>
                  <w:r>
                    <w:rPr>
                      <w:rFonts w:eastAsiaTheme="minorEastAsia"/>
                      <w:b/>
                      <w:bCs/>
                      <w:color w:val="auto"/>
                      <w:szCs w:val="21"/>
                      <w:highlight w:val="none"/>
                      <w:lang w:val="zh-CN"/>
                    </w:rPr>
                    <w:t>率</w:t>
                  </w:r>
                </w:p>
              </w:tc>
            </w:tr>
            <w:tr w14:paraId="753446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Merge w:val="continue"/>
                  <w:tcBorders>
                    <w:tl2br w:val="nil"/>
                    <w:tr2bl w:val="nil"/>
                  </w:tcBorders>
                  <w:noWrap/>
                  <w:vAlign w:val="center"/>
                </w:tcPr>
                <w:p w14:paraId="608FDE44">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lang w:val="zh-CN"/>
                    </w:rPr>
                  </w:pPr>
                </w:p>
              </w:tc>
              <w:tc>
                <w:tcPr>
                  <w:tcW w:w="737" w:type="dxa"/>
                  <w:vMerge w:val="continue"/>
                  <w:tcBorders>
                    <w:tl2br w:val="nil"/>
                    <w:tr2bl w:val="nil"/>
                  </w:tcBorders>
                  <w:noWrap/>
                  <w:vAlign w:val="center"/>
                </w:tcPr>
                <w:p w14:paraId="126BD422">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lang w:val="zh-CN"/>
                    </w:rPr>
                  </w:pPr>
                </w:p>
              </w:tc>
              <w:tc>
                <w:tcPr>
                  <w:tcW w:w="2638" w:type="dxa"/>
                  <w:vMerge w:val="continue"/>
                  <w:tcBorders>
                    <w:tl2br w:val="nil"/>
                    <w:tr2bl w:val="nil"/>
                  </w:tcBorders>
                  <w:noWrap/>
                  <w:vAlign w:val="center"/>
                </w:tcPr>
                <w:p w14:paraId="354537EE">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lang w:val="zh-CN"/>
                    </w:rPr>
                  </w:pPr>
                </w:p>
              </w:tc>
              <w:tc>
                <w:tcPr>
                  <w:tcW w:w="1300" w:type="dxa"/>
                  <w:vMerge w:val="continue"/>
                  <w:tcBorders>
                    <w:tl2br w:val="nil"/>
                    <w:tr2bl w:val="nil"/>
                  </w:tcBorders>
                  <w:noWrap/>
                  <w:vAlign w:val="center"/>
                </w:tcPr>
                <w:p w14:paraId="7C7629AA">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lang w:val="zh-CN"/>
                    </w:rPr>
                  </w:pPr>
                </w:p>
              </w:tc>
              <w:tc>
                <w:tcPr>
                  <w:tcW w:w="1150" w:type="dxa"/>
                  <w:tcBorders>
                    <w:tl2br w:val="nil"/>
                    <w:tr2bl w:val="nil"/>
                  </w:tcBorders>
                  <w:noWrap/>
                  <w:vAlign w:val="center"/>
                </w:tcPr>
                <w:p w14:paraId="554C1D20">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lang w:val="zh-CN"/>
                    </w:rPr>
                  </w:pPr>
                  <w:r>
                    <w:rPr>
                      <w:rFonts w:eastAsiaTheme="minorEastAsia"/>
                      <w:b/>
                      <w:bCs/>
                      <w:color w:val="auto"/>
                      <w:szCs w:val="21"/>
                      <w:highlight w:val="none"/>
                      <w:lang w:val="zh-CN"/>
                    </w:rPr>
                    <w:t>二级</w:t>
                  </w:r>
                </w:p>
              </w:tc>
              <w:tc>
                <w:tcPr>
                  <w:tcW w:w="875" w:type="dxa"/>
                  <w:vMerge w:val="continue"/>
                  <w:tcBorders>
                    <w:tl2br w:val="nil"/>
                    <w:tr2bl w:val="nil"/>
                  </w:tcBorders>
                  <w:noWrap/>
                  <w:vAlign w:val="center"/>
                </w:tcPr>
                <w:p w14:paraId="128B71BE">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lang w:val="zh-CN"/>
                    </w:rPr>
                  </w:pPr>
                </w:p>
              </w:tc>
              <w:tc>
                <w:tcPr>
                  <w:tcW w:w="815" w:type="dxa"/>
                  <w:vMerge w:val="continue"/>
                  <w:tcBorders>
                    <w:tl2br w:val="nil"/>
                    <w:tr2bl w:val="nil"/>
                  </w:tcBorders>
                  <w:noWrap/>
                  <w:vAlign w:val="center"/>
                </w:tcPr>
                <w:p w14:paraId="665F74B5">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lang w:val="zh-CN"/>
                    </w:rPr>
                  </w:pPr>
                </w:p>
              </w:tc>
            </w:tr>
            <w:tr w14:paraId="330EF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Merge w:val="restart"/>
                  <w:tcBorders>
                    <w:tl2br w:val="nil"/>
                    <w:tr2bl w:val="nil"/>
                  </w:tcBorders>
                  <w:noWrap/>
                  <w:vAlign w:val="center"/>
                </w:tcPr>
                <w:p w14:paraId="154FD60E">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bookmarkStart w:id="17" w:name="OLE_LINK149" w:colFirst="2" w:colLast="2"/>
                  <w:r>
                    <w:rPr>
                      <w:rFonts w:hint="eastAsia" w:eastAsiaTheme="minorEastAsia"/>
                      <w:color w:val="auto"/>
                      <w:szCs w:val="21"/>
                      <w:highlight w:val="none"/>
                      <w:lang w:eastAsia="zh-CN"/>
                    </w:rPr>
                    <w:t>宝鸡市</w:t>
                  </w:r>
                  <w:r>
                    <w:rPr>
                      <w:rFonts w:hint="eastAsia" w:eastAsiaTheme="minorEastAsia"/>
                      <w:color w:val="auto"/>
                      <w:szCs w:val="21"/>
                      <w:highlight w:val="none"/>
                      <w:lang w:val="en-US" w:eastAsia="zh-CN"/>
                    </w:rPr>
                    <w:t>凤翔区</w:t>
                  </w:r>
                </w:p>
              </w:tc>
              <w:tc>
                <w:tcPr>
                  <w:tcW w:w="737" w:type="dxa"/>
                  <w:tcBorders>
                    <w:tl2br w:val="nil"/>
                    <w:tr2bl w:val="nil"/>
                  </w:tcBorders>
                  <w:noWrap/>
                  <w:vAlign w:val="center"/>
                </w:tcPr>
                <w:p w14:paraId="33EFFB5A">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PM</w:t>
                  </w:r>
                  <w:r>
                    <w:rPr>
                      <w:rFonts w:eastAsiaTheme="minorEastAsia"/>
                      <w:color w:val="auto"/>
                      <w:szCs w:val="21"/>
                      <w:highlight w:val="none"/>
                      <w:vertAlign w:val="subscript"/>
                    </w:rPr>
                    <w:t>10</w:t>
                  </w:r>
                </w:p>
              </w:tc>
              <w:tc>
                <w:tcPr>
                  <w:tcW w:w="2638" w:type="dxa"/>
                  <w:tcBorders>
                    <w:tl2br w:val="nil"/>
                    <w:tr2bl w:val="nil"/>
                  </w:tcBorders>
                  <w:noWrap/>
                  <w:vAlign w:val="center"/>
                </w:tcPr>
                <w:p w14:paraId="361E53EA">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hint="eastAsia" w:eastAsiaTheme="minorEastAsia"/>
                      <w:color w:val="auto"/>
                      <w:szCs w:val="21"/>
                      <w:highlight w:val="none"/>
                      <w:lang w:val="en-US" w:eastAsia="zh-CN"/>
                    </w:rPr>
                    <w:t>60</w:t>
                  </w:r>
                  <w:r>
                    <w:rPr>
                      <w:rFonts w:eastAsiaTheme="minorEastAsia"/>
                      <w:color w:val="auto"/>
                      <w:szCs w:val="21"/>
                      <w:highlight w:val="none"/>
                      <w:lang w:val="zh-CN"/>
                    </w:rPr>
                    <w:t>µg/m</w:t>
                  </w:r>
                  <w:r>
                    <w:rPr>
                      <w:rFonts w:eastAsiaTheme="minorEastAsia"/>
                      <w:color w:val="auto"/>
                      <w:szCs w:val="21"/>
                      <w:highlight w:val="none"/>
                      <w:vertAlign w:val="superscript"/>
                    </w:rPr>
                    <w:t>3</w:t>
                  </w:r>
                </w:p>
              </w:tc>
              <w:tc>
                <w:tcPr>
                  <w:tcW w:w="1300" w:type="dxa"/>
                  <w:tcBorders>
                    <w:tl2br w:val="nil"/>
                    <w:tr2bl w:val="nil"/>
                  </w:tcBorders>
                  <w:noWrap/>
                  <w:vAlign w:val="center"/>
                </w:tcPr>
                <w:p w14:paraId="4392E936">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年均值</w:t>
                  </w:r>
                </w:p>
              </w:tc>
              <w:tc>
                <w:tcPr>
                  <w:tcW w:w="1150" w:type="dxa"/>
                  <w:tcBorders>
                    <w:tl2br w:val="nil"/>
                    <w:tr2bl w:val="nil"/>
                  </w:tcBorders>
                  <w:noWrap/>
                  <w:vAlign w:val="center"/>
                </w:tcPr>
                <w:p w14:paraId="3F58F63B">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70</w:t>
                  </w:r>
                  <w:r>
                    <w:rPr>
                      <w:rFonts w:eastAsiaTheme="minorEastAsia"/>
                      <w:color w:val="auto"/>
                      <w:szCs w:val="21"/>
                      <w:highlight w:val="none"/>
                      <w:lang w:val="zh-CN"/>
                    </w:rPr>
                    <w:t>µg/m</w:t>
                  </w:r>
                  <w:r>
                    <w:rPr>
                      <w:rFonts w:eastAsiaTheme="minorEastAsia"/>
                      <w:color w:val="auto"/>
                      <w:szCs w:val="21"/>
                      <w:highlight w:val="none"/>
                      <w:vertAlign w:val="superscript"/>
                    </w:rPr>
                    <w:t>3</w:t>
                  </w:r>
                </w:p>
              </w:tc>
              <w:tc>
                <w:tcPr>
                  <w:tcW w:w="875" w:type="dxa"/>
                  <w:tcBorders>
                    <w:tl2br w:val="nil"/>
                    <w:tr2bl w:val="nil"/>
                  </w:tcBorders>
                  <w:noWrap/>
                  <w:vAlign w:val="center"/>
                </w:tcPr>
                <w:p w14:paraId="75D290F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lang w:val="zh-CN"/>
                    </w:rPr>
                  </w:pPr>
                  <w:r>
                    <w:rPr>
                      <w:rFonts w:eastAsiaTheme="minorEastAsia"/>
                      <w:color w:val="auto"/>
                      <w:szCs w:val="21"/>
                      <w:highlight w:val="none"/>
                      <w:lang w:val="zh-CN"/>
                    </w:rPr>
                    <w:t>达标</w:t>
                  </w:r>
                </w:p>
              </w:tc>
              <w:tc>
                <w:tcPr>
                  <w:tcW w:w="815" w:type="dxa"/>
                  <w:tcBorders>
                    <w:tl2br w:val="nil"/>
                    <w:tr2bl w:val="nil"/>
                  </w:tcBorders>
                  <w:noWrap/>
                  <w:vAlign w:val="center"/>
                </w:tcPr>
                <w:p w14:paraId="1BBA941D">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eastAsiaTheme="minorEastAsia"/>
                      <w:b w:val="0"/>
                      <w:bCs w:val="0"/>
                      <w:color w:val="auto"/>
                      <w:szCs w:val="21"/>
                      <w:highlight w:val="none"/>
                      <w:lang w:val="en-US" w:eastAsia="zh-CN"/>
                    </w:rPr>
                  </w:pPr>
                  <w:r>
                    <w:rPr>
                      <w:rFonts w:hint="eastAsia" w:eastAsiaTheme="minorEastAsia"/>
                      <w:b w:val="0"/>
                      <w:bCs w:val="0"/>
                      <w:color w:val="auto"/>
                      <w:szCs w:val="21"/>
                      <w:highlight w:val="none"/>
                      <w:lang w:val="en-US" w:eastAsia="zh-CN"/>
                    </w:rPr>
                    <w:t>85.7</w:t>
                  </w:r>
                  <w:r>
                    <w:rPr>
                      <w:rFonts w:eastAsiaTheme="minorEastAsia"/>
                      <w:b w:val="0"/>
                      <w:bCs w:val="0"/>
                      <w:color w:val="auto"/>
                      <w:szCs w:val="21"/>
                      <w:highlight w:val="none"/>
                    </w:rPr>
                    <w:t>%</w:t>
                  </w:r>
                </w:p>
              </w:tc>
            </w:tr>
            <w:tr w14:paraId="0D8FB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Merge w:val="continue"/>
                  <w:tcBorders>
                    <w:tl2br w:val="nil"/>
                    <w:tr2bl w:val="nil"/>
                  </w:tcBorders>
                  <w:noWrap/>
                  <w:vAlign w:val="center"/>
                </w:tcPr>
                <w:p w14:paraId="2DA26B64">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lang w:val="zh-CN"/>
                    </w:rPr>
                  </w:pPr>
                </w:p>
              </w:tc>
              <w:tc>
                <w:tcPr>
                  <w:tcW w:w="737" w:type="dxa"/>
                  <w:tcBorders>
                    <w:tl2br w:val="nil"/>
                    <w:tr2bl w:val="nil"/>
                  </w:tcBorders>
                  <w:noWrap/>
                  <w:vAlign w:val="center"/>
                </w:tcPr>
                <w:p w14:paraId="2280D8DC">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PM</w:t>
                  </w:r>
                  <w:r>
                    <w:rPr>
                      <w:rFonts w:eastAsiaTheme="minorEastAsia"/>
                      <w:color w:val="auto"/>
                      <w:szCs w:val="21"/>
                      <w:highlight w:val="none"/>
                      <w:vertAlign w:val="subscript"/>
                    </w:rPr>
                    <w:t>2.5</w:t>
                  </w:r>
                </w:p>
              </w:tc>
              <w:tc>
                <w:tcPr>
                  <w:tcW w:w="2638" w:type="dxa"/>
                  <w:tcBorders>
                    <w:tl2br w:val="nil"/>
                    <w:tr2bl w:val="nil"/>
                  </w:tcBorders>
                  <w:noWrap/>
                  <w:vAlign w:val="center"/>
                </w:tcPr>
                <w:p w14:paraId="1066C554">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hint="eastAsia" w:eastAsiaTheme="minorEastAsia"/>
                      <w:color w:val="auto"/>
                      <w:szCs w:val="21"/>
                      <w:highlight w:val="none"/>
                      <w:lang w:val="en-US" w:eastAsia="zh-CN"/>
                    </w:rPr>
                    <w:t>35</w:t>
                  </w:r>
                  <w:r>
                    <w:rPr>
                      <w:rFonts w:eastAsiaTheme="minorEastAsia"/>
                      <w:color w:val="auto"/>
                      <w:szCs w:val="21"/>
                      <w:highlight w:val="none"/>
                      <w:lang w:val="zh-CN"/>
                    </w:rPr>
                    <w:t>µg/m</w:t>
                  </w:r>
                  <w:r>
                    <w:rPr>
                      <w:rFonts w:eastAsiaTheme="minorEastAsia"/>
                      <w:color w:val="auto"/>
                      <w:szCs w:val="21"/>
                      <w:highlight w:val="none"/>
                      <w:vertAlign w:val="superscript"/>
                    </w:rPr>
                    <w:t>3</w:t>
                  </w:r>
                </w:p>
              </w:tc>
              <w:tc>
                <w:tcPr>
                  <w:tcW w:w="1300" w:type="dxa"/>
                  <w:tcBorders>
                    <w:tl2br w:val="nil"/>
                    <w:tr2bl w:val="nil"/>
                  </w:tcBorders>
                  <w:noWrap/>
                  <w:vAlign w:val="center"/>
                </w:tcPr>
                <w:p w14:paraId="3F547F94">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年均值</w:t>
                  </w:r>
                </w:p>
              </w:tc>
              <w:tc>
                <w:tcPr>
                  <w:tcW w:w="1150" w:type="dxa"/>
                  <w:tcBorders>
                    <w:tl2br w:val="nil"/>
                    <w:tr2bl w:val="nil"/>
                  </w:tcBorders>
                  <w:noWrap/>
                  <w:vAlign w:val="center"/>
                </w:tcPr>
                <w:p w14:paraId="2ACB5D95">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35</w:t>
                  </w:r>
                  <w:r>
                    <w:rPr>
                      <w:rFonts w:eastAsiaTheme="minorEastAsia"/>
                      <w:color w:val="auto"/>
                      <w:szCs w:val="21"/>
                      <w:highlight w:val="none"/>
                      <w:lang w:val="zh-CN"/>
                    </w:rPr>
                    <w:t>µg/m</w:t>
                  </w:r>
                  <w:r>
                    <w:rPr>
                      <w:rFonts w:eastAsiaTheme="minorEastAsia"/>
                      <w:color w:val="auto"/>
                      <w:szCs w:val="21"/>
                      <w:highlight w:val="none"/>
                      <w:vertAlign w:val="superscript"/>
                    </w:rPr>
                    <w:t>3</w:t>
                  </w:r>
                </w:p>
              </w:tc>
              <w:tc>
                <w:tcPr>
                  <w:tcW w:w="875" w:type="dxa"/>
                  <w:tcBorders>
                    <w:tl2br w:val="nil"/>
                    <w:tr2bl w:val="nil"/>
                  </w:tcBorders>
                  <w:noWrap/>
                  <w:vAlign w:val="center"/>
                </w:tcPr>
                <w:p w14:paraId="5276A3A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lang w:val="zh-CN"/>
                    </w:rPr>
                  </w:pPr>
                  <w:r>
                    <w:rPr>
                      <w:rFonts w:eastAsiaTheme="minorEastAsia"/>
                      <w:color w:val="auto"/>
                      <w:szCs w:val="21"/>
                      <w:highlight w:val="none"/>
                      <w:lang w:val="zh-CN"/>
                    </w:rPr>
                    <w:t>达标</w:t>
                  </w:r>
                </w:p>
              </w:tc>
              <w:tc>
                <w:tcPr>
                  <w:tcW w:w="815" w:type="dxa"/>
                  <w:tcBorders>
                    <w:tl2br w:val="nil"/>
                    <w:tr2bl w:val="nil"/>
                  </w:tcBorders>
                  <w:noWrap/>
                  <w:vAlign w:val="center"/>
                </w:tcPr>
                <w:p w14:paraId="2A63072C">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eastAsiaTheme="minorEastAsia"/>
                      <w:b w:val="0"/>
                      <w:bCs w:val="0"/>
                      <w:color w:val="auto"/>
                      <w:szCs w:val="21"/>
                      <w:highlight w:val="none"/>
                      <w:lang w:val="en-US" w:eastAsia="zh-CN"/>
                    </w:rPr>
                  </w:pPr>
                  <w:r>
                    <w:rPr>
                      <w:rFonts w:hint="eastAsia" w:eastAsiaTheme="minorEastAsia"/>
                      <w:b w:val="0"/>
                      <w:bCs w:val="0"/>
                      <w:color w:val="auto"/>
                      <w:szCs w:val="21"/>
                      <w:highlight w:val="none"/>
                      <w:lang w:val="en-US" w:eastAsia="zh-CN"/>
                    </w:rPr>
                    <w:t>100</w:t>
                  </w:r>
                  <w:r>
                    <w:rPr>
                      <w:rFonts w:eastAsiaTheme="minorEastAsia"/>
                      <w:b w:val="0"/>
                      <w:bCs w:val="0"/>
                      <w:color w:val="auto"/>
                      <w:szCs w:val="21"/>
                      <w:highlight w:val="none"/>
                    </w:rPr>
                    <w:t>%</w:t>
                  </w:r>
                </w:p>
              </w:tc>
            </w:tr>
            <w:tr w14:paraId="05D52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Merge w:val="continue"/>
                  <w:tcBorders>
                    <w:tl2br w:val="nil"/>
                    <w:tr2bl w:val="nil"/>
                  </w:tcBorders>
                  <w:noWrap/>
                  <w:vAlign w:val="center"/>
                </w:tcPr>
                <w:p w14:paraId="19CB8EA0">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lang w:val="zh-CN"/>
                    </w:rPr>
                  </w:pPr>
                </w:p>
              </w:tc>
              <w:tc>
                <w:tcPr>
                  <w:tcW w:w="737" w:type="dxa"/>
                  <w:tcBorders>
                    <w:tl2br w:val="nil"/>
                    <w:tr2bl w:val="nil"/>
                  </w:tcBorders>
                  <w:noWrap/>
                  <w:vAlign w:val="center"/>
                </w:tcPr>
                <w:p w14:paraId="4CFE3F15">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SO</w:t>
                  </w:r>
                  <w:r>
                    <w:rPr>
                      <w:rFonts w:eastAsiaTheme="minorEastAsia"/>
                      <w:color w:val="auto"/>
                      <w:szCs w:val="21"/>
                      <w:highlight w:val="none"/>
                      <w:vertAlign w:val="subscript"/>
                    </w:rPr>
                    <w:t>2</w:t>
                  </w:r>
                </w:p>
              </w:tc>
              <w:tc>
                <w:tcPr>
                  <w:tcW w:w="2638" w:type="dxa"/>
                  <w:tcBorders>
                    <w:tl2br w:val="nil"/>
                    <w:tr2bl w:val="nil"/>
                  </w:tcBorders>
                  <w:noWrap/>
                  <w:vAlign w:val="center"/>
                </w:tcPr>
                <w:p w14:paraId="193F6D12">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hint="eastAsia" w:eastAsiaTheme="minorEastAsia"/>
                      <w:color w:val="auto"/>
                      <w:szCs w:val="21"/>
                      <w:highlight w:val="none"/>
                      <w:lang w:val="en-US" w:eastAsia="zh-CN"/>
                    </w:rPr>
                    <w:t>7</w:t>
                  </w:r>
                  <w:r>
                    <w:rPr>
                      <w:rFonts w:eastAsiaTheme="minorEastAsia"/>
                      <w:color w:val="auto"/>
                      <w:szCs w:val="21"/>
                      <w:highlight w:val="none"/>
                      <w:lang w:val="zh-CN"/>
                    </w:rPr>
                    <w:t>µg/m</w:t>
                  </w:r>
                  <w:r>
                    <w:rPr>
                      <w:rFonts w:eastAsiaTheme="minorEastAsia"/>
                      <w:color w:val="auto"/>
                      <w:szCs w:val="21"/>
                      <w:highlight w:val="none"/>
                      <w:vertAlign w:val="superscript"/>
                    </w:rPr>
                    <w:t>3</w:t>
                  </w:r>
                </w:p>
              </w:tc>
              <w:tc>
                <w:tcPr>
                  <w:tcW w:w="1300" w:type="dxa"/>
                  <w:tcBorders>
                    <w:tl2br w:val="nil"/>
                    <w:tr2bl w:val="nil"/>
                  </w:tcBorders>
                  <w:noWrap/>
                  <w:vAlign w:val="center"/>
                </w:tcPr>
                <w:p w14:paraId="2166C60E">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年均值</w:t>
                  </w:r>
                </w:p>
              </w:tc>
              <w:tc>
                <w:tcPr>
                  <w:tcW w:w="1150" w:type="dxa"/>
                  <w:tcBorders>
                    <w:tl2br w:val="nil"/>
                    <w:tr2bl w:val="nil"/>
                  </w:tcBorders>
                  <w:noWrap/>
                  <w:vAlign w:val="center"/>
                </w:tcPr>
                <w:p w14:paraId="784DDF51">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60</w:t>
                  </w:r>
                  <w:r>
                    <w:rPr>
                      <w:rFonts w:eastAsiaTheme="minorEastAsia"/>
                      <w:color w:val="auto"/>
                      <w:szCs w:val="21"/>
                      <w:highlight w:val="none"/>
                      <w:lang w:val="zh-CN"/>
                    </w:rPr>
                    <w:t>µg/m</w:t>
                  </w:r>
                  <w:r>
                    <w:rPr>
                      <w:rFonts w:eastAsiaTheme="minorEastAsia"/>
                      <w:color w:val="auto"/>
                      <w:szCs w:val="21"/>
                      <w:highlight w:val="none"/>
                      <w:vertAlign w:val="superscript"/>
                    </w:rPr>
                    <w:t>3</w:t>
                  </w:r>
                </w:p>
              </w:tc>
              <w:tc>
                <w:tcPr>
                  <w:tcW w:w="875" w:type="dxa"/>
                  <w:tcBorders>
                    <w:tl2br w:val="nil"/>
                    <w:tr2bl w:val="nil"/>
                  </w:tcBorders>
                  <w:noWrap/>
                  <w:vAlign w:val="center"/>
                </w:tcPr>
                <w:p w14:paraId="38186ABC">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lang w:val="zh-CN"/>
                    </w:rPr>
                  </w:pPr>
                  <w:r>
                    <w:rPr>
                      <w:rFonts w:eastAsiaTheme="minorEastAsia"/>
                      <w:color w:val="auto"/>
                      <w:szCs w:val="21"/>
                      <w:highlight w:val="none"/>
                      <w:lang w:val="zh-CN"/>
                    </w:rPr>
                    <w:t>达标</w:t>
                  </w:r>
                </w:p>
              </w:tc>
              <w:tc>
                <w:tcPr>
                  <w:tcW w:w="815" w:type="dxa"/>
                  <w:tcBorders>
                    <w:tl2br w:val="nil"/>
                    <w:tr2bl w:val="nil"/>
                  </w:tcBorders>
                  <w:noWrap/>
                  <w:vAlign w:val="center"/>
                </w:tcPr>
                <w:p w14:paraId="44BE5B3C">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eastAsiaTheme="minorEastAsia"/>
                      <w:b w:val="0"/>
                      <w:bCs w:val="0"/>
                      <w:color w:val="auto"/>
                      <w:szCs w:val="21"/>
                      <w:highlight w:val="none"/>
                      <w:lang w:val="en-US" w:eastAsia="zh-CN"/>
                    </w:rPr>
                  </w:pPr>
                  <w:r>
                    <w:rPr>
                      <w:rFonts w:hint="eastAsia" w:eastAsiaTheme="minorEastAsia"/>
                      <w:b w:val="0"/>
                      <w:bCs w:val="0"/>
                      <w:color w:val="auto"/>
                      <w:szCs w:val="21"/>
                      <w:highlight w:val="none"/>
                      <w:lang w:val="en-US" w:eastAsia="zh-CN"/>
                    </w:rPr>
                    <w:t>11.7</w:t>
                  </w:r>
                  <w:r>
                    <w:rPr>
                      <w:rFonts w:eastAsiaTheme="minorEastAsia"/>
                      <w:b w:val="0"/>
                      <w:bCs w:val="0"/>
                      <w:color w:val="auto"/>
                      <w:szCs w:val="21"/>
                      <w:highlight w:val="none"/>
                    </w:rPr>
                    <w:t>%</w:t>
                  </w:r>
                </w:p>
              </w:tc>
            </w:tr>
            <w:tr w14:paraId="4B8BB0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Merge w:val="continue"/>
                  <w:tcBorders>
                    <w:tl2br w:val="nil"/>
                    <w:tr2bl w:val="nil"/>
                  </w:tcBorders>
                  <w:noWrap/>
                  <w:vAlign w:val="center"/>
                </w:tcPr>
                <w:p w14:paraId="473F8062">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lang w:val="zh-CN"/>
                    </w:rPr>
                  </w:pPr>
                </w:p>
              </w:tc>
              <w:tc>
                <w:tcPr>
                  <w:tcW w:w="737" w:type="dxa"/>
                  <w:tcBorders>
                    <w:tl2br w:val="nil"/>
                    <w:tr2bl w:val="nil"/>
                  </w:tcBorders>
                  <w:noWrap/>
                  <w:vAlign w:val="center"/>
                </w:tcPr>
                <w:p w14:paraId="68E572F8">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NO</w:t>
                  </w:r>
                  <w:r>
                    <w:rPr>
                      <w:rFonts w:eastAsiaTheme="minorEastAsia"/>
                      <w:color w:val="auto"/>
                      <w:szCs w:val="21"/>
                      <w:highlight w:val="none"/>
                      <w:vertAlign w:val="subscript"/>
                    </w:rPr>
                    <w:t>2</w:t>
                  </w:r>
                </w:p>
              </w:tc>
              <w:tc>
                <w:tcPr>
                  <w:tcW w:w="2638" w:type="dxa"/>
                  <w:tcBorders>
                    <w:tl2br w:val="nil"/>
                    <w:tr2bl w:val="nil"/>
                  </w:tcBorders>
                  <w:noWrap/>
                  <w:vAlign w:val="center"/>
                </w:tcPr>
                <w:p w14:paraId="0F4C65EE">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hint="eastAsia" w:eastAsiaTheme="minorEastAsia"/>
                      <w:color w:val="auto"/>
                      <w:szCs w:val="21"/>
                      <w:highlight w:val="none"/>
                      <w:lang w:val="en-US" w:eastAsia="zh-CN"/>
                    </w:rPr>
                    <w:t>17</w:t>
                  </w:r>
                  <w:r>
                    <w:rPr>
                      <w:rFonts w:eastAsiaTheme="minorEastAsia"/>
                      <w:color w:val="auto"/>
                      <w:szCs w:val="21"/>
                      <w:highlight w:val="none"/>
                      <w:lang w:val="zh-CN"/>
                    </w:rPr>
                    <w:t>µg/m</w:t>
                  </w:r>
                  <w:r>
                    <w:rPr>
                      <w:rFonts w:eastAsiaTheme="minorEastAsia"/>
                      <w:color w:val="auto"/>
                      <w:szCs w:val="21"/>
                      <w:highlight w:val="none"/>
                      <w:vertAlign w:val="superscript"/>
                    </w:rPr>
                    <w:t>3</w:t>
                  </w:r>
                </w:p>
              </w:tc>
              <w:tc>
                <w:tcPr>
                  <w:tcW w:w="1300" w:type="dxa"/>
                  <w:tcBorders>
                    <w:tl2br w:val="nil"/>
                    <w:tr2bl w:val="nil"/>
                  </w:tcBorders>
                  <w:noWrap/>
                  <w:vAlign w:val="center"/>
                </w:tcPr>
                <w:p w14:paraId="3575011E">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年均值</w:t>
                  </w:r>
                </w:p>
              </w:tc>
              <w:tc>
                <w:tcPr>
                  <w:tcW w:w="1150" w:type="dxa"/>
                  <w:tcBorders>
                    <w:tl2br w:val="nil"/>
                    <w:tr2bl w:val="nil"/>
                  </w:tcBorders>
                  <w:noWrap/>
                  <w:vAlign w:val="center"/>
                </w:tcPr>
                <w:p w14:paraId="524C5232">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40</w:t>
                  </w:r>
                  <w:r>
                    <w:rPr>
                      <w:rFonts w:eastAsiaTheme="minorEastAsia"/>
                      <w:color w:val="auto"/>
                      <w:szCs w:val="21"/>
                      <w:highlight w:val="none"/>
                      <w:lang w:val="zh-CN"/>
                    </w:rPr>
                    <w:t>µg/m</w:t>
                  </w:r>
                  <w:r>
                    <w:rPr>
                      <w:rFonts w:eastAsiaTheme="minorEastAsia"/>
                      <w:color w:val="auto"/>
                      <w:szCs w:val="21"/>
                      <w:highlight w:val="none"/>
                      <w:vertAlign w:val="superscript"/>
                    </w:rPr>
                    <w:t>3</w:t>
                  </w:r>
                </w:p>
              </w:tc>
              <w:tc>
                <w:tcPr>
                  <w:tcW w:w="875" w:type="dxa"/>
                  <w:tcBorders>
                    <w:tl2br w:val="nil"/>
                    <w:tr2bl w:val="nil"/>
                  </w:tcBorders>
                  <w:noWrap/>
                  <w:vAlign w:val="center"/>
                </w:tcPr>
                <w:p w14:paraId="78BAEA2D">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达标</w:t>
                  </w:r>
                </w:p>
              </w:tc>
              <w:tc>
                <w:tcPr>
                  <w:tcW w:w="815" w:type="dxa"/>
                  <w:tcBorders>
                    <w:tl2br w:val="nil"/>
                    <w:tr2bl w:val="nil"/>
                  </w:tcBorders>
                  <w:noWrap/>
                  <w:vAlign w:val="center"/>
                </w:tcPr>
                <w:p w14:paraId="5684E738">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42.5%</w:t>
                  </w:r>
                  <w:bookmarkEnd w:id="17"/>
                </w:p>
              </w:tc>
            </w:tr>
            <w:tr w14:paraId="554568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Merge w:val="continue"/>
                  <w:tcBorders>
                    <w:tl2br w:val="nil"/>
                    <w:tr2bl w:val="nil"/>
                  </w:tcBorders>
                  <w:noWrap/>
                  <w:vAlign w:val="center"/>
                </w:tcPr>
                <w:p w14:paraId="39E3C9DC">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lang w:val="zh-CN"/>
                    </w:rPr>
                  </w:pPr>
                </w:p>
              </w:tc>
              <w:tc>
                <w:tcPr>
                  <w:tcW w:w="737" w:type="dxa"/>
                  <w:tcBorders>
                    <w:tl2br w:val="nil"/>
                    <w:tr2bl w:val="nil"/>
                  </w:tcBorders>
                  <w:noWrap/>
                  <w:vAlign w:val="center"/>
                </w:tcPr>
                <w:p w14:paraId="0CB9D17D">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CO</w:t>
                  </w:r>
                </w:p>
              </w:tc>
              <w:tc>
                <w:tcPr>
                  <w:tcW w:w="2638" w:type="dxa"/>
                  <w:tcBorders>
                    <w:tl2br w:val="nil"/>
                    <w:tr2bl w:val="nil"/>
                  </w:tcBorders>
                  <w:noWrap/>
                  <w:vAlign w:val="center"/>
                </w:tcPr>
                <w:p w14:paraId="4ECA5A5A">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hint="eastAsia" w:eastAsiaTheme="minorEastAsia"/>
                      <w:color w:val="auto"/>
                      <w:szCs w:val="21"/>
                      <w:highlight w:val="none"/>
                      <w:lang w:val="en-US" w:eastAsia="zh-CN"/>
                    </w:rPr>
                    <w:t>1.1</w:t>
                  </w:r>
                  <w:r>
                    <w:rPr>
                      <w:rFonts w:eastAsiaTheme="minorEastAsia"/>
                      <w:color w:val="auto"/>
                      <w:szCs w:val="21"/>
                      <w:highlight w:val="none"/>
                    </w:rPr>
                    <w:t>m</w:t>
                  </w:r>
                  <w:r>
                    <w:rPr>
                      <w:rFonts w:eastAsiaTheme="minorEastAsia"/>
                      <w:color w:val="auto"/>
                      <w:szCs w:val="21"/>
                      <w:highlight w:val="none"/>
                      <w:lang w:val="zh-CN"/>
                    </w:rPr>
                    <w:t>g/m</w:t>
                  </w:r>
                  <w:r>
                    <w:rPr>
                      <w:rFonts w:eastAsiaTheme="minorEastAsia"/>
                      <w:color w:val="auto"/>
                      <w:szCs w:val="21"/>
                      <w:highlight w:val="none"/>
                      <w:vertAlign w:val="superscript"/>
                    </w:rPr>
                    <w:t>3</w:t>
                  </w:r>
                  <w:r>
                    <w:rPr>
                      <w:rFonts w:eastAsiaTheme="minorEastAsia"/>
                      <w:color w:val="auto"/>
                      <w:szCs w:val="21"/>
                      <w:highlight w:val="none"/>
                    </w:rPr>
                    <w:t>（95位百分浓度）</w:t>
                  </w:r>
                </w:p>
              </w:tc>
              <w:tc>
                <w:tcPr>
                  <w:tcW w:w="1300" w:type="dxa"/>
                  <w:tcBorders>
                    <w:tl2br w:val="nil"/>
                    <w:tr2bl w:val="nil"/>
                  </w:tcBorders>
                  <w:noWrap/>
                  <w:vAlign w:val="center"/>
                </w:tcPr>
                <w:p w14:paraId="789CEE69">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24小时平均</w:t>
                  </w:r>
                </w:p>
              </w:tc>
              <w:tc>
                <w:tcPr>
                  <w:tcW w:w="1150" w:type="dxa"/>
                  <w:tcBorders>
                    <w:tl2br w:val="nil"/>
                    <w:tr2bl w:val="nil"/>
                  </w:tcBorders>
                  <w:noWrap/>
                  <w:vAlign w:val="center"/>
                </w:tcPr>
                <w:p w14:paraId="4261E239">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4m</w:t>
                  </w:r>
                  <w:r>
                    <w:rPr>
                      <w:rFonts w:eastAsiaTheme="minorEastAsia"/>
                      <w:color w:val="auto"/>
                      <w:szCs w:val="21"/>
                      <w:highlight w:val="none"/>
                      <w:lang w:val="zh-CN"/>
                    </w:rPr>
                    <w:t>g/m</w:t>
                  </w:r>
                  <w:r>
                    <w:rPr>
                      <w:rFonts w:eastAsiaTheme="minorEastAsia"/>
                      <w:color w:val="auto"/>
                      <w:szCs w:val="21"/>
                      <w:highlight w:val="none"/>
                      <w:vertAlign w:val="superscript"/>
                    </w:rPr>
                    <w:t>3</w:t>
                  </w:r>
                </w:p>
              </w:tc>
              <w:tc>
                <w:tcPr>
                  <w:tcW w:w="875" w:type="dxa"/>
                  <w:tcBorders>
                    <w:tl2br w:val="nil"/>
                    <w:tr2bl w:val="nil"/>
                  </w:tcBorders>
                  <w:noWrap/>
                  <w:vAlign w:val="center"/>
                </w:tcPr>
                <w:p w14:paraId="32B8D2F5">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lang w:val="zh-CN"/>
                    </w:rPr>
                  </w:pPr>
                  <w:r>
                    <w:rPr>
                      <w:rFonts w:eastAsiaTheme="minorEastAsia"/>
                      <w:color w:val="auto"/>
                      <w:szCs w:val="21"/>
                      <w:highlight w:val="none"/>
                      <w:lang w:val="zh-CN"/>
                    </w:rPr>
                    <w:t>达标</w:t>
                  </w:r>
                </w:p>
              </w:tc>
              <w:tc>
                <w:tcPr>
                  <w:tcW w:w="815" w:type="dxa"/>
                  <w:tcBorders>
                    <w:tl2br w:val="nil"/>
                    <w:tr2bl w:val="nil"/>
                  </w:tcBorders>
                  <w:noWrap/>
                  <w:vAlign w:val="center"/>
                </w:tcPr>
                <w:p w14:paraId="7BEA2876">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27.5%</w:t>
                  </w:r>
                </w:p>
              </w:tc>
            </w:tr>
            <w:tr w14:paraId="5D2500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Merge w:val="continue"/>
                  <w:tcBorders>
                    <w:tl2br w:val="nil"/>
                    <w:tr2bl w:val="nil"/>
                  </w:tcBorders>
                  <w:noWrap/>
                  <w:vAlign w:val="center"/>
                </w:tcPr>
                <w:p w14:paraId="074409EE">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lang w:val="zh-CN"/>
                    </w:rPr>
                  </w:pPr>
                </w:p>
              </w:tc>
              <w:tc>
                <w:tcPr>
                  <w:tcW w:w="737" w:type="dxa"/>
                  <w:tcBorders>
                    <w:tl2br w:val="nil"/>
                    <w:tr2bl w:val="nil"/>
                  </w:tcBorders>
                  <w:noWrap/>
                  <w:vAlign w:val="center"/>
                </w:tcPr>
                <w:p w14:paraId="039A5875">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O</w:t>
                  </w:r>
                  <w:r>
                    <w:rPr>
                      <w:rFonts w:eastAsiaTheme="minorEastAsia"/>
                      <w:color w:val="auto"/>
                      <w:szCs w:val="21"/>
                      <w:highlight w:val="none"/>
                      <w:vertAlign w:val="subscript"/>
                    </w:rPr>
                    <w:t>3</w:t>
                  </w:r>
                </w:p>
              </w:tc>
              <w:tc>
                <w:tcPr>
                  <w:tcW w:w="2638" w:type="dxa"/>
                  <w:tcBorders>
                    <w:tl2br w:val="nil"/>
                    <w:tr2bl w:val="nil"/>
                  </w:tcBorders>
                  <w:noWrap/>
                  <w:vAlign w:val="center"/>
                </w:tcPr>
                <w:p w14:paraId="2C7F93EC">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hint="eastAsia" w:eastAsiaTheme="minorEastAsia"/>
                      <w:color w:val="auto"/>
                      <w:szCs w:val="21"/>
                      <w:highlight w:val="none"/>
                      <w:lang w:val="en-US" w:eastAsia="zh-CN"/>
                    </w:rPr>
                    <w:t>140</w:t>
                  </w:r>
                  <w:r>
                    <w:rPr>
                      <w:rFonts w:eastAsiaTheme="minorEastAsia"/>
                      <w:color w:val="auto"/>
                      <w:szCs w:val="21"/>
                      <w:highlight w:val="none"/>
                      <w:lang w:val="zh-CN"/>
                    </w:rPr>
                    <w:t>µg/m</w:t>
                  </w:r>
                  <w:r>
                    <w:rPr>
                      <w:rFonts w:eastAsiaTheme="minorEastAsia"/>
                      <w:color w:val="auto"/>
                      <w:szCs w:val="21"/>
                      <w:highlight w:val="none"/>
                      <w:vertAlign w:val="superscript"/>
                    </w:rPr>
                    <w:t>3</w:t>
                  </w:r>
                  <w:r>
                    <w:rPr>
                      <w:rFonts w:eastAsiaTheme="minorEastAsia"/>
                      <w:color w:val="auto"/>
                      <w:szCs w:val="21"/>
                      <w:highlight w:val="none"/>
                    </w:rPr>
                    <w:t>（90位百分浓度）</w:t>
                  </w:r>
                </w:p>
              </w:tc>
              <w:tc>
                <w:tcPr>
                  <w:tcW w:w="1300" w:type="dxa"/>
                  <w:tcBorders>
                    <w:tl2br w:val="nil"/>
                    <w:tr2bl w:val="nil"/>
                  </w:tcBorders>
                  <w:noWrap/>
                  <w:vAlign w:val="center"/>
                </w:tcPr>
                <w:p w14:paraId="2D88E59E">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宋体"/>
                      <w:color w:val="auto"/>
                      <w:szCs w:val="21"/>
                      <w:highlight w:val="none"/>
                      <w:lang w:val="en-US" w:eastAsia="zh-CN"/>
                    </w:rPr>
                  </w:pPr>
                  <w:r>
                    <w:rPr>
                      <w:rFonts w:eastAsiaTheme="minorEastAsia"/>
                      <w:color w:val="auto"/>
                      <w:szCs w:val="21"/>
                      <w:highlight w:val="none"/>
                    </w:rPr>
                    <w:t>日最大8小时平均</w:t>
                  </w:r>
                  <w:r>
                    <w:rPr>
                      <w:rFonts w:hint="eastAsia"/>
                      <w:lang w:val="en-US" w:eastAsia="zh-CN"/>
                    </w:rPr>
                    <w:t>值</w:t>
                  </w:r>
                </w:p>
              </w:tc>
              <w:tc>
                <w:tcPr>
                  <w:tcW w:w="1150" w:type="dxa"/>
                  <w:tcBorders>
                    <w:tl2br w:val="nil"/>
                    <w:tr2bl w:val="nil"/>
                  </w:tcBorders>
                  <w:noWrap/>
                  <w:vAlign w:val="center"/>
                </w:tcPr>
                <w:p w14:paraId="50C78E87">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rPr>
                  </w:pPr>
                  <w:r>
                    <w:rPr>
                      <w:rFonts w:eastAsiaTheme="minorEastAsia"/>
                      <w:color w:val="auto"/>
                      <w:szCs w:val="21"/>
                      <w:highlight w:val="none"/>
                    </w:rPr>
                    <w:t>160</w:t>
                  </w:r>
                  <w:r>
                    <w:rPr>
                      <w:rFonts w:eastAsiaTheme="minorEastAsia"/>
                      <w:color w:val="auto"/>
                      <w:szCs w:val="21"/>
                      <w:highlight w:val="none"/>
                      <w:lang w:val="zh-CN"/>
                    </w:rPr>
                    <w:t>µg/m</w:t>
                  </w:r>
                  <w:r>
                    <w:rPr>
                      <w:rFonts w:eastAsiaTheme="minorEastAsia"/>
                      <w:color w:val="auto"/>
                      <w:szCs w:val="21"/>
                      <w:highlight w:val="none"/>
                      <w:vertAlign w:val="superscript"/>
                    </w:rPr>
                    <w:t>3</w:t>
                  </w:r>
                </w:p>
              </w:tc>
              <w:tc>
                <w:tcPr>
                  <w:tcW w:w="875" w:type="dxa"/>
                  <w:tcBorders>
                    <w:tl2br w:val="nil"/>
                    <w:tr2bl w:val="nil"/>
                  </w:tcBorders>
                  <w:noWrap/>
                  <w:vAlign w:val="center"/>
                </w:tcPr>
                <w:p w14:paraId="4A2A67C2">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eastAsiaTheme="minorEastAsia"/>
                      <w:color w:val="auto"/>
                      <w:szCs w:val="21"/>
                      <w:highlight w:val="none"/>
                      <w:lang w:val="zh-CN"/>
                    </w:rPr>
                  </w:pPr>
                  <w:r>
                    <w:rPr>
                      <w:rFonts w:eastAsiaTheme="minorEastAsia"/>
                      <w:color w:val="auto"/>
                      <w:szCs w:val="21"/>
                      <w:highlight w:val="none"/>
                      <w:lang w:val="zh-CN"/>
                    </w:rPr>
                    <w:t>达标</w:t>
                  </w:r>
                </w:p>
              </w:tc>
              <w:tc>
                <w:tcPr>
                  <w:tcW w:w="815" w:type="dxa"/>
                  <w:tcBorders>
                    <w:tl2br w:val="nil"/>
                    <w:tr2bl w:val="nil"/>
                  </w:tcBorders>
                  <w:noWrap/>
                  <w:vAlign w:val="center"/>
                </w:tcPr>
                <w:p w14:paraId="3C7956B4">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87.5%</w:t>
                  </w:r>
                </w:p>
              </w:tc>
            </w:tr>
          </w:tbl>
          <w:p w14:paraId="21DF4435">
            <w:pPr>
              <w:pStyle w:val="33"/>
              <w:adjustRightInd/>
              <w:snapToGrid/>
              <w:spacing w:line="360" w:lineRule="auto"/>
              <w:ind w:firstLine="600" w:firstLineChars="250"/>
              <w:rPr>
                <w:rFonts w:hAnsi="Times New Roman" w:eastAsiaTheme="minorEastAsia"/>
                <w:color w:val="auto"/>
                <w:sz w:val="24"/>
                <w:szCs w:val="24"/>
                <w:highlight w:val="none"/>
              </w:rPr>
            </w:pPr>
            <w:r>
              <w:rPr>
                <w:rFonts w:hAnsi="Times New Roman" w:eastAsiaTheme="minorEastAsia"/>
                <w:color w:val="auto"/>
                <w:sz w:val="24"/>
                <w:szCs w:val="24"/>
                <w:highlight w:val="none"/>
                <w:lang w:val="en-US"/>
              </w:rPr>
              <w:t>从表3-1中可以看出，</w:t>
            </w:r>
            <w:r>
              <w:rPr>
                <w:rFonts w:hint="eastAsia" w:hAnsi="Times New Roman" w:eastAsiaTheme="minorEastAsia"/>
                <w:color w:val="auto"/>
                <w:sz w:val="24"/>
                <w:szCs w:val="24"/>
                <w:highlight w:val="none"/>
                <w:lang w:val="en-US" w:eastAsia="zh-CN"/>
              </w:rPr>
              <w:t>宝鸡市凤翔区</w:t>
            </w:r>
            <w:r>
              <w:rPr>
                <w:rFonts w:hAnsi="Times New Roman" w:eastAsiaTheme="minorEastAsia"/>
                <w:color w:val="auto"/>
                <w:sz w:val="24"/>
                <w:szCs w:val="24"/>
                <w:highlight w:val="none"/>
              </w:rPr>
              <w:t>环境空气中</w:t>
            </w:r>
            <w:r>
              <w:rPr>
                <w:rFonts w:hint="eastAsia" w:hAnsi="Times New Roman" w:eastAsiaTheme="minorEastAsia"/>
                <w:color w:val="auto"/>
                <w:sz w:val="24"/>
                <w:szCs w:val="24"/>
                <w:highlight w:val="none"/>
                <w:lang w:val="en-US" w:eastAsia="zh-CN"/>
              </w:rPr>
              <w:t>六项基本污染物年评价指标均符合</w:t>
            </w:r>
            <w:r>
              <w:rPr>
                <w:rFonts w:hAnsi="Times New Roman" w:eastAsiaTheme="minorEastAsia"/>
                <w:color w:val="auto"/>
                <w:sz w:val="24"/>
                <w:szCs w:val="24"/>
                <w:highlight w:val="none"/>
              </w:rPr>
              <w:t>《环境空气质量标准》（GB3095-2012）及其修改单中二级标准要求</w:t>
            </w:r>
            <w:r>
              <w:rPr>
                <w:rFonts w:hint="eastAsia" w:hAnsi="Times New Roman" w:eastAsiaTheme="minorEastAsia"/>
                <w:color w:val="auto"/>
                <w:sz w:val="24"/>
                <w:szCs w:val="24"/>
                <w:highlight w:val="none"/>
                <w:lang w:eastAsia="zh-CN"/>
              </w:rPr>
              <w:t>。</w:t>
            </w:r>
            <w:r>
              <w:rPr>
                <w:rFonts w:hAnsi="Times New Roman" w:eastAsiaTheme="minorEastAsia"/>
                <w:color w:val="auto"/>
                <w:sz w:val="24"/>
                <w:szCs w:val="24"/>
                <w:highlight w:val="none"/>
              </w:rPr>
              <w:t>因此，</w:t>
            </w:r>
            <w:r>
              <w:rPr>
                <w:rFonts w:hint="eastAsia" w:hAnsi="Times New Roman" w:eastAsiaTheme="minorEastAsia"/>
                <w:color w:val="auto"/>
                <w:sz w:val="24"/>
                <w:szCs w:val="24"/>
                <w:highlight w:val="none"/>
                <w:lang w:val="en-US" w:eastAsia="zh-CN"/>
              </w:rPr>
              <w:t>评定</w:t>
            </w:r>
            <w:r>
              <w:rPr>
                <w:rFonts w:hAnsi="Times New Roman" w:eastAsiaTheme="minorEastAsia"/>
                <w:color w:val="auto"/>
                <w:sz w:val="24"/>
                <w:szCs w:val="24"/>
                <w:highlight w:val="none"/>
              </w:rPr>
              <w:t>项目所在评价区域</w:t>
            </w:r>
            <w:r>
              <w:rPr>
                <w:rFonts w:hint="eastAsia" w:hAnsi="Times New Roman" w:eastAsiaTheme="minorEastAsia"/>
                <w:color w:val="auto"/>
                <w:sz w:val="24"/>
                <w:szCs w:val="24"/>
                <w:highlight w:val="none"/>
                <w:lang w:val="en-US" w:eastAsia="zh-CN"/>
              </w:rPr>
              <w:t>环境空气质量</w:t>
            </w:r>
            <w:r>
              <w:rPr>
                <w:rFonts w:hAnsi="Times New Roman" w:eastAsiaTheme="minorEastAsia"/>
                <w:color w:val="auto"/>
                <w:sz w:val="24"/>
                <w:szCs w:val="24"/>
                <w:highlight w:val="none"/>
              </w:rPr>
              <w:t>为达标区。</w:t>
            </w:r>
          </w:p>
          <w:p w14:paraId="0380C258">
            <w:pPr>
              <w:pStyle w:val="27"/>
              <w:spacing w:line="360" w:lineRule="auto"/>
              <w:ind w:right="86" w:firstLine="480" w:firstLineChars="200"/>
              <w:rPr>
                <w:rFonts w:ascii="Times New Roman" w:hAnsi="Times New Roman" w:cs="Times New Roman" w:eastAsiaTheme="minorEastAsia"/>
                <w:color w:val="auto"/>
                <w:sz w:val="24"/>
                <w:highlight w:val="none"/>
                <w:lang w:val="en-US"/>
              </w:rPr>
            </w:pPr>
            <w:r>
              <w:rPr>
                <w:rFonts w:hint="eastAsia" w:ascii="Times New Roman" w:hAnsi="Times New Roman" w:cs="Times New Roman" w:eastAsiaTheme="minorEastAsia"/>
                <w:color w:val="auto"/>
                <w:sz w:val="24"/>
                <w:highlight w:val="none"/>
                <w:lang w:val="en-US" w:eastAsia="zh-CN"/>
              </w:rPr>
              <w:t>（2）</w:t>
            </w:r>
            <w:r>
              <w:rPr>
                <w:rFonts w:ascii="Times New Roman" w:hAnsi="Times New Roman" w:cs="Times New Roman" w:eastAsiaTheme="minorEastAsia"/>
                <w:color w:val="auto"/>
                <w:sz w:val="24"/>
                <w:highlight w:val="none"/>
                <w:lang w:val="en-US"/>
              </w:rPr>
              <w:t>其他污染物环境质量现状</w:t>
            </w:r>
          </w:p>
          <w:p w14:paraId="7431052E">
            <w:pPr>
              <w:pStyle w:val="27"/>
              <w:spacing w:line="360" w:lineRule="auto"/>
              <w:ind w:right="86" w:firstLine="480" w:firstLineChars="200"/>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本项目特征污染物为TSP，根据《建设项目环境影响报告表编制技术指南》（污染影响类）要求，没有国家、地方环境空气质量监测网数据或生态环境主管部门公开发布的环境空气质量现状数据的，可引用建设项目周边5km范围内近3年与项目排放的其他污染物有关的历史监测资料。</w:t>
            </w:r>
          </w:p>
          <w:p w14:paraId="11EF578B">
            <w:pPr>
              <w:pStyle w:val="27"/>
              <w:spacing w:line="360" w:lineRule="auto"/>
              <w:ind w:right="86" w:firstLine="480" w:firstLineChars="200"/>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为了解项目所在地TSP环境质量现状，本次评价引用《金隅冀东凤翔环保科技有限公司绿色环保新型建材园项目检测报告》环境现状监测数据。监测点位于项目厂区南面约50m，符合《建设项目环境影响报告表编制技术指南》（污染影响类）中建设项目周边5km范围内近3年与项目排放的其他污染物有关的历史监测资料的要求。监测结果见表3-2，TSP特征污染物检测结果见表3-3。</w:t>
            </w:r>
          </w:p>
          <w:p w14:paraId="71D8310C">
            <w:pPr>
              <w:widowControl/>
              <w:jc w:val="center"/>
              <w:rPr>
                <w:rFonts w:hint="default" w:eastAsiaTheme="minorEastAsia"/>
                <w:b/>
                <w:bCs/>
                <w:color w:val="auto"/>
                <w:highlight w:val="none"/>
                <w:lang w:val="en-US" w:eastAsia="zh-CN"/>
              </w:rPr>
            </w:pPr>
            <w:r>
              <w:rPr>
                <w:rFonts w:eastAsiaTheme="minorEastAsia"/>
                <w:b/>
                <w:color w:val="auto"/>
                <w:highlight w:val="none"/>
              </w:rPr>
              <w:t>表3-2</w:t>
            </w:r>
            <w:r>
              <w:rPr>
                <w:rFonts w:hint="eastAsia" w:eastAsiaTheme="minorEastAsia"/>
                <w:color w:val="auto"/>
                <w:highlight w:val="none"/>
              </w:rPr>
              <w:t xml:space="preserve">  </w:t>
            </w:r>
            <w:r>
              <w:rPr>
                <w:rFonts w:eastAsiaTheme="minorEastAsia"/>
                <w:b/>
                <w:color w:val="auto"/>
                <w:highlight w:val="none"/>
              </w:rPr>
              <w:t>环境</w:t>
            </w:r>
            <w:r>
              <w:rPr>
                <w:rFonts w:hint="eastAsia" w:eastAsiaTheme="minorEastAsia"/>
                <w:b/>
                <w:color w:val="auto"/>
                <w:highlight w:val="none"/>
                <w:lang w:val="en-US" w:eastAsia="zh-CN"/>
              </w:rPr>
              <w:t>空气</w:t>
            </w:r>
            <w:r>
              <w:rPr>
                <w:rFonts w:eastAsiaTheme="minorEastAsia"/>
                <w:b/>
                <w:color w:val="auto"/>
                <w:highlight w:val="none"/>
              </w:rPr>
              <w:t>质量现状监测表</w:t>
            </w:r>
          </w:p>
          <w:tbl>
            <w:tblPr>
              <w:tblStyle w:val="20"/>
              <w:tblW w:w="80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859"/>
              <w:gridCol w:w="1869"/>
              <w:gridCol w:w="854"/>
              <w:gridCol w:w="1061"/>
              <w:gridCol w:w="1084"/>
              <w:gridCol w:w="663"/>
            </w:tblGrid>
            <w:tr w14:paraId="4B1AC5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29" w:type="pct"/>
                  <w:tcBorders>
                    <w:tl2br w:val="nil"/>
                    <w:tr2bl w:val="nil"/>
                  </w:tcBorders>
                  <w:vAlign w:val="center"/>
                </w:tcPr>
                <w:p w14:paraId="51513AF7">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监测项目</w:t>
                  </w:r>
                </w:p>
              </w:tc>
              <w:tc>
                <w:tcPr>
                  <w:tcW w:w="1149" w:type="pct"/>
                  <w:tcBorders>
                    <w:tl2br w:val="nil"/>
                    <w:tr2bl w:val="nil"/>
                  </w:tcBorders>
                  <w:vAlign w:val="center"/>
                </w:tcPr>
                <w:p w14:paraId="253C1FCE">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监测日期</w:t>
                  </w:r>
                </w:p>
              </w:tc>
              <w:tc>
                <w:tcPr>
                  <w:tcW w:w="1155" w:type="pct"/>
                  <w:tcBorders>
                    <w:tl2br w:val="nil"/>
                    <w:tr2bl w:val="nil"/>
                  </w:tcBorders>
                  <w:vAlign w:val="center"/>
                </w:tcPr>
                <w:p w14:paraId="5F15DDBB">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监测时间</w:t>
                  </w:r>
                </w:p>
              </w:tc>
              <w:tc>
                <w:tcPr>
                  <w:tcW w:w="528" w:type="pct"/>
                  <w:tcBorders>
                    <w:tl2br w:val="nil"/>
                    <w:tr2bl w:val="nil"/>
                  </w:tcBorders>
                  <w:vAlign w:val="center"/>
                </w:tcPr>
                <w:p w14:paraId="2F0A67AB">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监测</w:t>
                  </w:r>
                </w:p>
                <w:p w14:paraId="6C8254DD">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频次</w:t>
                  </w:r>
                </w:p>
              </w:tc>
              <w:tc>
                <w:tcPr>
                  <w:tcW w:w="656" w:type="pct"/>
                  <w:tcBorders>
                    <w:tl2br w:val="nil"/>
                    <w:tr2bl w:val="nil"/>
                  </w:tcBorders>
                  <w:vAlign w:val="center"/>
                </w:tcPr>
                <w:p w14:paraId="65CCAD69">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bookmarkStart w:id="18" w:name="OLE_LINK150"/>
                  <w:r>
                    <w:rPr>
                      <w:rFonts w:hint="default" w:ascii="Times New Roman" w:hAnsi="Times New Roman" w:cs="Times New Roman" w:eastAsiaTheme="minorEastAsia"/>
                      <w:b/>
                      <w:bCs/>
                      <w:color w:val="auto"/>
                      <w:sz w:val="21"/>
                      <w:szCs w:val="21"/>
                      <w:highlight w:val="none"/>
                      <w:lang w:val="en-US" w:eastAsia="zh-CN"/>
                    </w:rPr>
                    <w:t>监测结果（</w:t>
                  </w:r>
                  <w:r>
                    <w:rPr>
                      <w:rFonts w:hint="default" w:ascii="Times New Roman" w:hAnsi="Times New Roman" w:eastAsia="仿宋" w:cs="Times New Roman"/>
                      <w:b/>
                      <w:bCs/>
                      <w:color w:val="auto"/>
                      <w:kern w:val="2"/>
                      <w:sz w:val="21"/>
                      <w:szCs w:val="21"/>
                      <w:highlight w:val="none"/>
                      <w:lang w:val="en-US" w:eastAsia="zh-CN"/>
                    </w:rPr>
                    <w:t>μg/m</w:t>
                  </w:r>
                  <w:r>
                    <w:rPr>
                      <w:rFonts w:hint="default" w:ascii="Times New Roman" w:hAnsi="Times New Roman" w:eastAsia="仿宋" w:cs="Times New Roman"/>
                      <w:b/>
                      <w:bCs/>
                      <w:color w:val="auto"/>
                      <w:kern w:val="2"/>
                      <w:sz w:val="21"/>
                      <w:szCs w:val="21"/>
                      <w:highlight w:val="none"/>
                      <w:vertAlign w:val="superscript"/>
                      <w:lang w:val="en-US" w:eastAsia="zh-CN"/>
                    </w:rPr>
                    <w:t>3</w:t>
                  </w:r>
                  <w:r>
                    <w:rPr>
                      <w:rFonts w:hint="default" w:ascii="Times New Roman" w:hAnsi="Times New Roman" w:cs="Times New Roman" w:eastAsiaTheme="minorEastAsia"/>
                      <w:b/>
                      <w:bCs/>
                      <w:color w:val="auto"/>
                      <w:sz w:val="21"/>
                      <w:szCs w:val="21"/>
                      <w:highlight w:val="none"/>
                      <w:lang w:val="en-US" w:eastAsia="zh-CN"/>
                    </w:rPr>
                    <w:t>）</w:t>
                  </w:r>
                  <w:bookmarkEnd w:id="18"/>
                </w:p>
              </w:tc>
              <w:tc>
                <w:tcPr>
                  <w:tcW w:w="670" w:type="pct"/>
                  <w:tcBorders>
                    <w:tl2br w:val="nil"/>
                    <w:tr2bl w:val="nil"/>
                  </w:tcBorders>
                  <w:vAlign w:val="center"/>
                </w:tcPr>
                <w:p w14:paraId="74153C00">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标准值</w:t>
                  </w:r>
                  <w:r>
                    <w:rPr>
                      <w:rFonts w:hint="default" w:ascii="Times New Roman" w:hAnsi="Times New Roman" w:cs="Times New Roman" w:eastAsiaTheme="minorEastAsia"/>
                      <w:b/>
                      <w:bCs/>
                      <w:color w:val="auto"/>
                      <w:sz w:val="21"/>
                      <w:szCs w:val="21"/>
                      <w:highlight w:val="none"/>
                      <w:lang w:val="en-US" w:eastAsia="zh-CN"/>
                    </w:rPr>
                    <w:t>（</w:t>
                  </w:r>
                  <w:r>
                    <w:rPr>
                      <w:rFonts w:hint="default" w:ascii="Times New Roman" w:hAnsi="Times New Roman" w:eastAsia="仿宋" w:cs="Times New Roman"/>
                      <w:b/>
                      <w:bCs/>
                      <w:color w:val="auto"/>
                      <w:kern w:val="2"/>
                      <w:sz w:val="21"/>
                      <w:szCs w:val="21"/>
                      <w:highlight w:val="none"/>
                      <w:lang w:val="en-US" w:eastAsia="zh-CN"/>
                    </w:rPr>
                    <w:t>μg/m</w:t>
                  </w:r>
                  <w:r>
                    <w:rPr>
                      <w:rFonts w:hint="default" w:ascii="Times New Roman" w:hAnsi="Times New Roman" w:eastAsia="仿宋" w:cs="Times New Roman"/>
                      <w:b/>
                      <w:bCs/>
                      <w:color w:val="auto"/>
                      <w:kern w:val="2"/>
                      <w:sz w:val="21"/>
                      <w:szCs w:val="21"/>
                      <w:highlight w:val="none"/>
                      <w:vertAlign w:val="superscript"/>
                      <w:lang w:val="en-US" w:eastAsia="zh-CN"/>
                    </w:rPr>
                    <w:t>3</w:t>
                  </w:r>
                  <w:r>
                    <w:rPr>
                      <w:rFonts w:hint="default" w:ascii="Times New Roman" w:hAnsi="Times New Roman" w:cs="Times New Roman" w:eastAsiaTheme="minorEastAsia"/>
                      <w:b/>
                      <w:bCs/>
                      <w:color w:val="auto"/>
                      <w:sz w:val="21"/>
                      <w:szCs w:val="21"/>
                      <w:highlight w:val="none"/>
                      <w:lang w:val="en-US" w:eastAsia="zh-CN"/>
                    </w:rPr>
                    <w:t>）</w:t>
                  </w:r>
                </w:p>
              </w:tc>
              <w:tc>
                <w:tcPr>
                  <w:tcW w:w="410" w:type="pct"/>
                  <w:tcBorders>
                    <w:tl2br w:val="nil"/>
                    <w:tr2bl w:val="nil"/>
                  </w:tcBorders>
                  <w:vAlign w:val="center"/>
                </w:tcPr>
                <w:p w14:paraId="2E9D2A1F">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是否达标</w:t>
                  </w:r>
                </w:p>
              </w:tc>
            </w:tr>
            <w:tr w14:paraId="63DB7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vMerge w:val="restart"/>
                  <w:tcBorders>
                    <w:tl2br w:val="nil"/>
                    <w:tr2bl w:val="nil"/>
                  </w:tcBorders>
                  <w:vAlign w:val="center"/>
                </w:tcPr>
                <w:p w14:paraId="2FFC08A7">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bookmarkStart w:id="19" w:name="OLE_LINK148" w:colFirst="4" w:colLast="4"/>
                  <w:r>
                    <w:rPr>
                      <w:rFonts w:hint="default" w:ascii="Times New Roman" w:hAnsi="Times New Roman" w:cs="Times New Roman" w:eastAsiaTheme="minorEastAsia"/>
                      <w:color w:val="auto"/>
                      <w:sz w:val="21"/>
                      <w:szCs w:val="21"/>
                      <w:highlight w:val="none"/>
                      <w:lang w:val="en-US" w:eastAsia="zh-CN"/>
                    </w:rPr>
                    <w:t>TSP</w:t>
                  </w:r>
                </w:p>
              </w:tc>
              <w:tc>
                <w:tcPr>
                  <w:tcW w:w="1149" w:type="pct"/>
                  <w:tcBorders>
                    <w:tl2br w:val="nil"/>
                    <w:tr2bl w:val="nil"/>
                  </w:tcBorders>
                  <w:vAlign w:val="center"/>
                </w:tcPr>
                <w:p w14:paraId="75640DD5">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2024年</w:t>
                  </w:r>
                  <w:r>
                    <w:rPr>
                      <w:rFonts w:hint="default" w:ascii="Times New Roman" w:hAnsi="Times New Roman" w:cs="Times New Roman" w:eastAsiaTheme="minorEastAsia"/>
                      <w:color w:val="auto"/>
                      <w:sz w:val="21"/>
                      <w:szCs w:val="21"/>
                      <w:highlight w:val="none"/>
                      <w:lang w:val="en-US" w:eastAsia="zh-CN"/>
                    </w:rPr>
                    <w:t>9月2日</w:t>
                  </w:r>
                  <w:r>
                    <w:rPr>
                      <w:rFonts w:hint="eastAsia" w:cs="Times New Roman" w:eastAsiaTheme="minorEastAsia"/>
                      <w:color w:val="auto"/>
                      <w:sz w:val="21"/>
                      <w:szCs w:val="21"/>
                      <w:highlight w:val="none"/>
                      <w:lang w:val="en-US" w:eastAsia="zh-CN"/>
                    </w:rPr>
                    <w:t>—2024年</w:t>
                  </w:r>
                  <w:r>
                    <w:rPr>
                      <w:rFonts w:hint="default" w:ascii="Times New Roman" w:hAnsi="Times New Roman" w:cs="Times New Roman" w:eastAsiaTheme="minorEastAsia"/>
                      <w:color w:val="auto"/>
                      <w:sz w:val="21"/>
                      <w:szCs w:val="21"/>
                      <w:highlight w:val="none"/>
                      <w:lang w:val="en-US" w:eastAsia="zh-CN"/>
                    </w:rPr>
                    <w:t>9月</w:t>
                  </w:r>
                  <w:r>
                    <w:rPr>
                      <w:rFonts w:hint="eastAsia" w:cs="Times New Roman" w:eastAsiaTheme="minorEastAsia"/>
                      <w:color w:val="auto"/>
                      <w:sz w:val="21"/>
                      <w:szCs w:val="21"/>
                      <w:highlight w:val="none"/>
                      <w:lang w:val="en-US" w:eastAsia="zh-CN"/>
                    </w:rPr>
                    <w:t>3</w:t>
                  </w:r>
                  <w:r>
                    <w:rPr>
                      <w:rFonts w:hint="default" w:ascii="Times New Roman" w:hAnsi="Times New Roman" w:cs="Times New Roman" w:eastAsiaTheme="minorEastAsia"/>
                      <w:color w:val="auto"/>
                      <w:sz w:val="21"/>
                      <w:szCs w:val="21"/>
                      <w:highlight w:val="none"/>
                      <w:lang w:val="en-US" w:eastAsia="zh-CN"/>
                    </w:rPr>
                    <w:t>日</w:t>
                  </w:r>
                </w:p>
              </w:tc>
              <w:tc>
                <w:tcPr>
                  <w:tcW w:w="1155" w:type="pct"/>
                  <w:tcBorders>
                    <w:tl2br w:val="nil"/>
                    <w:tr2bl w:val="nil"/>
                  </w:tcBorders>
                  <w:vAlign w:val="center"/>
                </w:tcPr>
                <w:p w14:paraId="5EE876B5">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10:32～次日10:32</w:t>
                  </w:r>
                </w:p>
              </w:tc>
              <w:tc>
                <w:tcPr>
                  <w:tcW w:w="528" w:type="pct"/>
                  <w:vMerge w:val="restart"/>
                  <w:tcBorders>
                    <w:tl2br w:val="nil"/>
                    <w:tr2bl w:val="nil"/>
                  </w:tcBorders>
                  <w:vAlign w:val="center"/>
                </w:tcPr>
                <w:p w14:paraId="7429CB84">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24小时均值</w:t>
                  </w:r>
                </w:p>
              </w:tc>
              <w:tc>
                <w:tcPr>
                  <w:tcW w:w="656" w:type="pct"/>
                  <w:tcBorders>
                    <w:tl2br w:val="nil"/>
                    <w:tr2bl w:val="nil"/>
                  </w:tcBorders>
                  <w:vAlign w:val="center"/>
                </w:tcPr>
                <w:p w14:paraId="43ED8850">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117</w:t>
                  </w:r>
                </w:p>
              </w:tc>
              <w:tc>
                <w:tcPr>
                  <w:tcW w:w="670" w:type="pct"/>
                  <w:vMerge w:val="restart"/>
                  <w:tcBorders>
                    <w:tl2br w:val="nil"/>
                    <w:tr2bl w:val="nil"/>
                  </w:tcBorders>
                  <w:vAlign w:val="center"/>
                </w:tcPr>
                <w:p w14:paraId="720822E7">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300</w:t>
                  </w:r>
                </w:p>
              </w:tc>
              <w:tc>
                <w:tcPr>
                  <w:tcW w:w="410" w:type="pct"/>
                  <w:tcBorders>
                    <w:tl2br w:val="nil"/>
                    <w:tr2bl w:val="nil"/>
                  </w:tcBorders>
                  <w:vAlign w:val="center"/>
                </w:tcPr>
                <w:p w14:paraId="4C518E5D">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1DA15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vMerge w:val="continue"/>
                  <w:tcBorders>
                    <w:tl2br w:val="nil"/>
                    <w:tr2bl w:val="nil"/>
                  </w:tcBorders>
                  <w:vAlign w:val="center"/>
                </w:tcPr>
                <w:p w14:paraId="579FBF88">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49" w:type="pct"/>
                  <w:tcBorders>
                    <w:tl2br w:val="nil"/>
                    <w:tr2bl w:val="nil"/>
                  </w:tcBorders>
                  <w:vAlign w:val="center"/>
                </w:tcPr>
                <w:p w14:paraId="788A7979">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2024年</w:t>
                  </w:r>
                  <w:r>
                    <w:rPr>
                      <w:rFonts w:hint="default" w:ascii="Times New Roman" w:hAnsi="Times New Roman" w:cs="Times New Roman" w:eastAsiaTheme="minorEastAsia"/>
                      <w:color w:val="auto"/>
                      <w:sz w:val="21"/>
                      <w:szCs w:val="21"/>
                      <w:highlight w:val="none"/>
                      <w:lang w:val="en-US" w:eastAsia="zh-CN"/>
                    </w:rPr>
                    <w:t>9月</w:t>
                  </w:r>
                  <w:r>
                    <w:rPr>
                      <w:rFonts w:hint="eastAsia" w:cs="Times New Roman" w:eastAsiaTheme="minorEastAsia"/>
                      <w:color w:val="auto"/>
                      <w:sz w:val="21"/>
                      <w:szCs w:val="21"/>
                      <w:highlight w:val="none"/>
                      <w:lang w:val="en-US" w:eastAsia="zh-CN"/>
                    </w:rPr>
                    <w:t>3</w:t>
                  </w:r>
                  <w:r>
                    <w:rPr>
                      <w:rFonts w:hint="default" w:ascii="Times New Roman" w:hAnsi="Times New Roman" w:cs="Times New Roman" w:eastAsiaTheme="minorEastAsia"/>
                      <w:color w:val="auto"/>
                      <w:sz w:val="21"/>
                      <w:szCs w:val="21"/>
                      <w:highlight w:val="none"/>
                      <w:lang w:val="en-US" w:eastAsia="zh-CN"/>
                    </w:rPr>
                    <w:t>日</w:t>
                  </w:r>
                  <w:r>
                    <w:rPr>
                      <w:rFonts w:hint="eastAsia" w:cs="Times New Roman" w:eastAsiaTheme="minorEastAsia"/>
                      <w:color w:val="auto"/>
                      <w:sz w:val="21"/>
                      <w:szCs w:val="21"/>
                      <w:highlight w:val="none"/>
                      <w:lang w:val="en-US" w:eastAsia="zh-CN"/>
                    </w:rPr>
                    <w:t>—2024年</w:t>
                  </w:r>
                  <w:r>
                    <w:rPr>
                      <w:rFonts w:hint="default" w:ascii="Times New Roman" w:hAnsi="Times New Roman" w:cs="Times New Roman" w:eastAsiaTheme="minorEastAsia"/>
                      <w:color w:val="auto"/>
                      <w:sz w:val="21"/>
                      <w:szCs w:val="21"/>
                      <w:highlight w:val="none"/>
                      <w:lang w:val="en-US" w:eastAsia="zh-CN"/>
                    </w:rPr>
                    <w:t>9月</w:t>
                  </w:r>
                  <w:r>
                    <w:rPr>
                      <w:rFonts w:hint="eastAsia" w:cs="Times New Roman" w:eastAsiaTheme="minorEastAsia"/>
                      <w:color w:val="auto"/>
                      <w:sz w:val="21"/>
                      <w:szCs w:val="21"/>
                      <w:highlight w:val="none"/>
                      <w:lang w:val="en-US" w:eastAsia="zh-CN"/>
                    </w:rPr>
                    <w:t>4</w:t>
                  </w:r>
                  <w:r>
                    <w:rPr>
                      <w:rFonts w:hint="default" w:ascii="Times New Roman" w:hAnsi="Times New Roman" w:cs="Times New Roman" w:eastAsiaTheme="minorEastAsia"/>
                      <w:color w:val="auto"/>
                      <w:sz w:val="21"/>
                      <w:szCs w:val="21"/>
                      <w:highlight w:val="none"/>
                      <w:lang w:val="en-US" w:eastAsia="zh-CN"/>
                    </w:rPr>
                    <w:t>日</w:t>
                  </w:r>
                </w:p>
              </w:tc>
              <w:tc>
                <w:tcPr>
                  <w:tcW w:w="1155" w:type="pct"/>
                  <w:tcBorders>
                    <w:tl2br w:val="nil"/>
                    <w:tr2bl w:val="nil"/>
                  </w:tcBorders>
                  <w:vAlign w:val="center"/>
                </w:tcPr>
                <w:p w14:paraId="574E28B7">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10:35～次日10:35</w:t>
                  </w:r>
                </w:p>
              </w:tc>
              <w:tc>
                <w:tcPr>
                  <w:tcW w:w="528" w:type="pct"/>
                  <w:vMerge w:val="continue"/>
                  <w:tcBorders>
                    <w:tl2br w:val="nil"/>
                    <w:tr2bl w:val="nil"/>
                  </w:tcBorders>
                  <w:vAlign w:val="center"/>
                </w:tcPr>
                <w:p w14:paraId="21AB8B11">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656" w:type="pct"/>
                  <w:tcBorders>
                    <w:tl2br w:val="nil"/>
                    <w:tr2bl w:val="nil"/>
                  </w:tcBorders>
                  <w:vAlign w:val="center"/>
                </w:tcPr>
                <w:p w14:paraId="4B21FCB6">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119</w:t>
                  </w:r>
                </w:p>
              </w:tc>
              <w:tc>
                <w:tcPr>
                  <w:tcW w:w="670" w:type="pct"/>
                  <w:vMerge w:val="continue"/>
                  <w:tcBorders>
                    <w:tl2br w:val="nil"/>
                    <w:tr2bl w:val="nil"/>
                  </w:tcBorders>
                  <w:vAlign w:val="center"/>
                </w:tcPr>
                <w:p w14:paraId="35799EC8">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410" w:type="pct"/>
                  <w:tcBorders>
                    <w:tl2br w:val="nil"/>
                    <w:tr2bl w:val="nil"/>
                  </w:tcBorders>
                  <w:vAlign w:val="center"/>
                </w:tcPr>
                <w:p w14:paraId="02153382">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5811E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vMerge w:val="continue"/>
                  <w:tcBorders>
                    <w:tl2br w:val="nil"/>
                    <w:tr2bl w:val="nil"/>
                  </w:tcBorders>
                  <w:vAlign w:val="center"/>
                </w:tcPr>
                <w:p w14:paraId="3EA6593B">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49" w:type="pct"/>
                  <w:tcBorders>
                    <w:tl2br w:val="nil"/>
                    <w:tr2bl w:val="nil"/>
                  </w:tcBorders>
                  <w:vAlign w:val="center"/>
                </w:tcPr>
                <w:p w14:paraId="414E049B">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2024年</w:t>
                  </w:r>
                  <w:r>
                    <w:rPr>
                      <w:rFonts w:hint="default" w:ascii="Times New Roman" w:hAnsi="Times New Roman" w:cs="Times New Roman" w:eastAsiaTheme="minorEastAsia"/>
                      <w:color w:val="auto"/>
                      <w:sz w:val="21"/>
                      <w:szCs w:val="21"/>
                      <w:highlight w:val="none"/>
                      <w:lang w:val="en-US" w:eastAsia="zh-CN"/>
                    </w:rPr>
                    <w:t>9月</w:t>
                  </w:r>
                  <w:r>
                    <w:rPr>
                      <w:rFonts w:hint="eastAsia" w:cs="Times New Roman" w:eastAsiaTheme="minorEastAsia"/>
                      <w:color w:val="auto"/>
                      <w:sz w:val="21"/>
                      <w:szCs w:val="21"/>
                      <w:highlight w:val="none"/>
                      <w:lang w:val="en-US" w:eastAsia="zh-CN"/>
                    </w:rPr>
                    <w:t>4</w:t>
                  </w:r>
                  <w:r>
                    <w:rPr>
                      <w:rFonts w:hint="default" w:ascii="Times New Roman" w:hAnsi="Times New Roman" w:cs="Times New Roman" w:eastAsiaTheme="minorEastAsia"/>
                      <w:color w:val="auto"/>
                      <w:sz w:val="21"/>
                      <w:szCs w:val="21"/>
                      <w:highlight w:val="none"/>
                      <w:lang w:val="en-US" w:eastAsia="zh-CN"/>
                    </w:rPr>
                    <w:t>日</w:t>
                  </w:r>
                  <w:r>
                    <w:rPr>
                      <w:rFonts w:hint="eastAsia" w:cs="Times New Roman" w:eastAsiaTheme="minorEastAsia"/>
                      <w:color w:val="auto"/>
                      <w:sz w:val="21"/>
                      <w:szCs w:val="21"/>
                      <w:highlight w:val="none"/>
                      <w:lang w:val="en-US" w:eastAsia="zh-CN"/>
                    </w:rPr>
                    <w:t>—2024年</w:t>
                  </w:r>
                  <w:r>
                    <w:rPr>
                      <w:rFonts w:hint="default" w:ascii="Times New Roman" w:hAnsi="Times New Roman" w:cs="Times New Roman" w:eastAsiaTheme="minorEastAsia"/>
                      <w:color w:val="auto"/>
                      <w:sz w:val="21"/>
                      <w:szCs w:val="21"/>
                      <w:highlight w:val="none"/>
                      <w:lang w:val="en-US" w:eastAsia="zh-CN"/>
                    </w:rPr>
                    <w:t>9月</w:t>
                  </w:r>
                  <w:r>
                    <w:rPr>
                      <w:rFonts w:hint="eastAsia" w:cs="Times New Roman" w:eastAsiaTheme="minorEastAsia"/>
                      <w:color w:val="auto"/>
                      <w:sz w:val="21"/>
                      <w:szCs w:val="21"/>
                      <w:highlight w:val="none"/>
                      <w:lang w:val="en-US" w:eastAsia="zh-CN"/>
                    </w:rPr>
                    <w:t>5</w:t>
                  </w:r>
                  <w:r>
                    <w:rPr>
                      <w:rFonts w:hint="default" w:ascii="Times New Roman" w:hAnsi="Times New Roman" w:cs="Times New Roman" w:eastAsiaTheme="minorEastAsia"/>
                      <w:color w:val="auto"/>
                      <w:sz w:val="21"/>
                      <w:szCs w:val="21"/>
                      <w:highlight w:val="none"/>
                      <w:lang w:val="en-US" w:eastAsia="zh-CN"/>
                    </w:rPr>
                    <w:t>日</w:t>
                  </w:r>
                </w:p>
              </w:tc>
              <w:tc>
                <w:tcPr>
                  <w:tcW w:w="1155" w:type="pct"/>
                  <w:tcBorders>
                    <w:tl2br w:val="nil"/>
                    <w:tr2bl w:val="nil"/>
                  </w:tcBorders>
                  <w:vAlign w:val="center"/>
                </w:tcPr>
                <w:p w14:paraId="2A73CACF">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10:38～次日10:38</w:t>
                  </w:r>
                </w:p>
              </w:tc>
              <w:tc>
                <w:tcPr>
                  <w:tcW w:w="528" w:type="pct"/>
                  <w:vMerge w:val="continue"/>
                  <w:tcBorders>
                    <w:tl2br w:val="nil"/>
                    <w:tr2bl w:val="nil"/>
                  </w:tcBorders>
                  <w:vAlign w:val="center"/>
                </w:tcPr>
                <w:p w14:paraId="30D7068A">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656" w:type="pct"/>
                  <w:tcBorders>
                    <w:tl2br w:val="nil"/>
                    <w:tr2bl w:val="nil"/>
                  </w:tcBorders>
                  <w:vAlign w:val="center"/>
                </w:tcPr>
                <w:p w14:paraId="0A295CDB">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122</w:t>
                  </w:r>
                </w:p>
              </w:tc>
              <w:tc>
                <w:tcPr>
                  <w:tcW w:w="670" w:type="pct"/>
                  <w:vMerge w:val="continue"/>
                  <w:tcBorders>
                    <w:tl2br w:val="nil"/>
                    <w:tr2bl w:val="nil"/>
                  </w:tcBorders>
                  <w:vAlign w:val="center"/>
                </w:tcPr>
                <w:p w14:paraId="0BAF341D">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410" w:type="pct"/>
                  <w:tcBorders>
                    <w:tl2br w:val="nil"/>
                    <w:tr2bl w:val="nil"/>
                  </w:tcBorders>
                  <w:vAlign w:val="center"/>
                </w:tcPr>
                <w:p w14:paraId="43D2F4F2">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bookmarkEnd w:id="19"/>
                </w:p>
              </w:tc>
            </w:tr>
          </w:tbl>
          <w:p w14:paraId="4621479B">
            <w:pPr>
              <w:keepNext w:val="0"/>
              <w:keepLines w:val="0"/>
              <w:pageBreakBefore w:val="0"/>
              <w:widowControl w:val="0"/>
              <w:kinsoku/>
              <w:overflowPunct/>
              <w:topLinePunct w:val="0"/>
              <w:autoSpaceDE/>
              <w:autoSpaceDN/>
              <w:bidi w:val="0"/>
              <w:snapToGrid w:val="0"/>
              <w:spacing w:line="360" w:lineRule="auto"/>
              <w:ind w:firstLine="480" w:firstLineChars="200"/>
              <w:textAlignment w:val="auto"/>
              <w:rPr>
                <w:color w:val="auto"/>
                <w:sz w:val="24"/>
                <w:highlight w:val="none"/>
              </w:rPr>
            </w:pPr>
            <w:r>
              <w:rPr>
                <w:rFonts w:eastAsiaTheme="minorEastAsia"/>
                <w:color w:val="auto"/>
                <w:kern w:val="0"/>
                <w:sz w:val="24"/>
                <w:highlight w:val="none"/>
              </w:rPr>
              <w:t>根据</w:t>
            </w:r>
            <w:r>
              <w:rPr>
                <w:rFonts w:hint="eastAsia" w:eastAsiaTheme="minorEastAsia"/>
                <w:color w:val="auto"/>
                <w:kern w:val="0"/>
                <w:sz w:val="24"/>
                <w:highlight w:val="none"/>
                <w:lang w:val="en-US" w:eastAsia="zh-CN"/>
              </w:rPr>
              <w:t>表3-2</w:t>
            </w:r>
            <w:r>
              <w:rPr>
                <w:rFonts w:eastAsiaTheme="minorEastAsia"/>
                <w:color w:val="auto"/>
                <w:kern w:val="0"/>
                <w:sz w:val="24"/>
                <w:highlight w:val="none"/>
              </w:rPr>
              <w:t>监测结果显示，</w:t>
            </w:r>
            <w:r>
              <w:rPr>
                <w:rFonts w:hint="eastAsia" w:eastAsiaTheme="minorEastAsia"/>
                <w:color w:val="auto"/>
                <w:kern w:val="0"/>
                <w:sz w:val="24"/>
                <w:highlight w:val="none"/>
              </w:rPr>
              <w:t>项目所在区域环境空气中</w:t>
            </w:r>
            <w:r>
              <w:rPr>
                <w:rFonts w:hint="eastAsia" w:eastAsiaTheme="minorEastAsia"/>
                <w:color w:val="auto"/>
                <w:kern w:val="0"/>
                <w:sz w:val="24"/>
                <w:highlight w:val="none"/>
                <w:lang w:val="en-US" w:eastAsia="zh-CN"/>
              </w:rPr>
              <w:t>TSP日均值</w:t>
            </w:r>
            <w:r>
              <w:rPr>
                <w:rFonts w:hint="eastAsia"/>
                <w:color w:val="auto"/>
                <w:sz w:val="24"/>
                <w:highlight w:val="none"/>
              </w:rPr>
              <w:t>符合</w:t>
            </w:r>
            <w:r>
              <w:rPr>
                <w:rFonts w:hint="eastAsia"/>
                <w:color w:val="auto"/>
                <w:sz w:val="24"/>
                <w:highlight w:val="none"/>
                <w:lang w:eastAsia="zh-CN"/>
              </w:rPr>
              <w:t>《</w:t>
            </w:r>
            <w:r>
              <w:rPr>
                <w:rFonts w:hAnsi="Times New Roman" w:eastAsiaTheme="minorEastAsia"/>
                <w:color w:val="auto"/>
                <w:sz w:val="24"/>
                <w:szCs w:val="24"/>
                <w:highlight w:val="none"/>
              </w:rPr>
              <w:t>环境空气质量标准》（GB3095-2012）及其修改单中二级标准要求</w:t>
            </w:r>
            <w:r>
              <w:rPr>
                <w:rFonts w:hint="eastAsia"/>
                <w:color w:val="auto"/>
                <w:sz w:val="24"/>
                <w:highlight w:val="none"/>
                <w:lang w:val="en-US" w:eastAsia="zh-CN"/>
              </w:rPr>
              <w:t>。</w:t>
            </w:r>
          </w:p>
          <w:p w14:paraId="3F5C95D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Theme="minorEastAsia"/>
                <w:b/>
                <w:bCs/>
                <w:color w:val="auto"/>
                <w:sz w:val="21"/>
                <w:szCs w:val="21"/>
                <w:highlight w:val="none"/>
                <w:lang w:val="en-US" w:eastAsia="zh-CN"/>
              </w:rPr>
            </w:pPr>
            <w:r>
              <w:rPr>
                <w:color w:val="auto"/>
                <w:sz w:val="21"/>
                <w:szCs w:val="21"/>
                <w:highlight w:val="none"/>
              </w:rPr>
              <w:drawing>
                <wp:inline distT="0" distB="0" distL="114300" distR="114300">
                  <wp:extent cx="4279265" cy="3353435"/>
                  <wp:effectExtent l="0" t="0" r="6985" b="18415"/>
                  <wp:docPr id="44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 name="图片 4"/>
                          <pic:cNvPicPr>
                            <a:picLocks noChangeAspect="1"/>
                          </pic:cNvPicPr>
                        </pic:nvPicPr>
                        <pic:blipFill>
                          <a:blip r:embed="rId11"/>
                          <a:stretch>
                            <a:fillRect/>
                          </a:stretch>
                        </pic:blipFill>
                        <pic:spPr>
                          <a:xfrm>
                            <a:off x="0" y="0"/>
                            <a:ext cx="4279265" cy="3353435"/>
                          </a:xfrm>
                          <a:prstGeom prst="rect">
                            <a:avLst/>
                          </a:prstGeom>
                          <a:noFill/>
                          <a:ln>
                            <a:noFill/>
                          </a:ln>
                        </pic:spPr>
                      </pic:pic>
                    </a:graphicData>
                  </a:graphic>
                </wp:inline>
              </w:drawing>
            </w:r>
          </w:p>
          <w:p w14:paraId="08B5F22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Theme="minorEastAsia"/>
                <w:b/>
                <w:bCs/>
                <w:color w:val="auto"/>
                <w:sz w:val="21"/>
                <w:szCs w:val="21"/>
                <w:highlight w:val="none"/>
                <w:lang w:val="en-US" w:eastAsia="zh-CN"/>
              </w:rPr>
            </w:pPr>
            <w:r>
              <w:rPr>
                <w:rFonts w:hint="eastAsia" w:eastAsiaTheme="minorEastAsia"/>
                <w:b/>
                <w:bCs/>
                <w:color w:val="auto"/>
                <w:sz w:val="21"/>
                <w:szCs w:val="21"/>
                <w:highlight w:val="none"/>
                <w:lang w:val="en-US" w:eastAsia="zh-CN"/>
              </w:rPr>
              <w:t>图3-1  本项目引用监测点位图</w:t>
            </w:r>
          </w:p>
          <w:p w14:paraId="4F92C470">
            <w:pPr>
              <w:keepNext w:val="0"/>
              <w:keepLines w:val="0"/>
              <w:pageBreakBefore w:val="0"/>
              <w:widowControl w:val="0"/>
              <w:kinsoku/>
              <w:overflowPunct/>
              <w:topLinePunct w:val="0"/>
              <w:autoSpaceDE/>
              <w:autoSpaceDN/>
              <w:bidi w:val="0"/>
              <w:snapToGrid w:val="0"/>
              <w:spacing w:line="360" w:lineRule="auto"/>
              <w:ind w:firstLine="482" w:firstLineChars="200"/>
              <w:textAlignment w:val="auto"/>
              <w:rPr>
                <w:rFonts w:eastAsiaTheme="minorEastAsia"/>
                <w:b/>
                <w:bCs/>
                <w:color w:val="auto"/>
                <w:sz w:val="24"/>
                <w:highlight w:val="none"/>
              </w:rPr>
            </w:pPr>
            <w:r>
              <w:rPr>
                <w:rFonts w:hint="eastAsia" w:eastAsiaTheme="minorEastAsia"/>
                <w:b/>
                <w:bCs/>
                <w:color w:val="auto"/>
                <w:sz w:val="24"/>
                <w:highlight w:val="none"/>
                <w:lang w:val="en-US" w:eastAsia="zh-CN"/>
              </w:rPr>
              <w:t>2.</w:t>
            </w:r>
            <w:r>
              <w:rPr>
                <w:rFonts w:eastAsiaTheme="minorEastAsia"/>
                <w:b/>
                <w:bCs/>
                <w:color w:val="auto"/>
                <w:sz w:val="24"/>
                <w:highlight w:val="none"/>
              </w:rPr>
              <w:t>声环境</w:t>
            </w:r>
            <w:r>
              <w:rPr>
                <w:rFonts w:hint="eastAsia" w:eastAsiaTheme="minorEastAsia"/>
                <w:b/>
                <w:bCs/>
                <w:color w:val="auto"/>
                <w:sz w:val="24"/>
                <w:highlight w:val="none"/>
                <w:lang w:val="en-US" w:eastAsia="zh-CN"/>
              </w:rPr>
              <w:t>质量</w:t>
            </w:r>
            <w:r>
              <w:rPr>
                <w:rFonts w:eastAsiaTheme="minorEastAsia"/>
                <w:b/>
                <w:bCs/>
                <w:color w:val="auto"/>
                <w:sz w:val="24"/>
                <w:highlight w:val="none"/>
              </w:rPr>
              <w:t>现状</w:t>
            </w:r>
          </w:p>
          <w:p w14:paraId="62E01EE6">
            <w:pPr>
              <w:pStyle w:val="34"/>
              <w:keepNext w:val="0"/>
              <w:keepLines w:val="0"/>
              <w:pageBreakBefore w:val="0"/>
              <w:widowControl w:val="0"/>
              <w:kinsoku/>
              <w:overflowPunct/>
              <w:topLinePunct w:val="0"/>
              <w:autoSpaceDE/>
              <w:autoSpaceDN/>
              <w:bidi w:val="0"/>
              <w:snapToGrid w:val="0"/>
              <w:ind w:firstLine="480"/>
              <w:jc w:val="both"/>
              <w:textAlignment w:val="auto"/>
              <w:rPr>
                <w:rFonts w:eastAsiaTheme="minorEastAsia"/>
                <w:iCs/>
                <w:color w:val="auto"/>
                <w:highlight w:val="none"/>
              </w:rPr>
            </w:pPr>
            <w:r>
              <w:rPr>
                <w:rFonts w:eastAsiaTheme="minorEastAsia"/>
                <w:color w:val="auto"/>
                <w:kern w:val="0"/>
                <w:highlight w:val="none"/>
              </w:rPr>
              <w:t>根据《建设项目环境影响报告表编制技术指南》（污染影响类）</w:t>
            </w:r>
            <w:r>
              <w:rPr>
                <w:rFonts w:hint="eastAsia" w:eastAsiaTheme="minorEastAsia"/>
                <w:color w:val="auto"/>
                <w:kern w:val="0"/>
                <w:highlight w:val="none"/>
                <w:lang w:eastAsia="zh-CN"/>
              </w:rPr>
              <w:t>（</w:t>
            </w:r>
            <w:r>
              <w:rPr>
                <w:rFonts w:hint="eastAsia" w:eastAsiaTheme="minorEastAsia"/>
                <w:color w:val="auto"/>
                <w:kern w:val="0"/>
                <w:highlight w:val="none"/>
                <w:lang w:val="en-US" w:eastAsia="zh-CN"/>
              </w:rPr>
              <w:t>试行</w:t>
            </w:r>
            <w:r>
              <w:rPr>
                <w:rFonts w:hint="eastAsia" w:eastAsiaTheme="minorEastAsia"/>
                <w:color w:val="auto"/>
                <w:kern w:val="0"/>
                <w:highlight w:val="none"/>
                <w:lang w:eastAsia="zh-CN"/>
              </w:rPr>
              <w:t>）</w:t>
            </w:r>
            <w:r>
              <w:rPr>
                <w:rFonts w:eastAsiaTheme="minorEastAsia"/>
                <w:color w:val="auto"/>
                <w:kern w:val="0"/>
                <w:highlight w:val="none"/>
              </w:rPr>
              <w:t>中</w:t>
            </w:r>
            <w:r>
              <w:rPr>
                <w:rFonts w:hint="eastAsia" w:eastAsiaTheme="minorEastAsia"/>
                <w:color w:val="auto"/>
                <w:kern w:val="0"/>
                <w:highlight w:val="none"/>
                <w:lang w:val="en-US" w:eastAsia="zh-CN"/>
              </w:rPr>
              <w:t>声环境要求：</w:t>
            </w:r>
            <w:r>
              <w:rPr>
                <w:rFonts w:hint="eastAsia" w:eastAsiaTheme="minorEastAsia"/>
                <w:color w:val="auto"/>
                <w:kern w:val="0"/>
                <w:highlight w:val="none"/>
                <w:lang w:eastAsia="zh-CN"/>
              </w:rPr>
              <w:t>“</w:t>
            </w:r>
            <w:r>
              <w:rPr>
                <w:rFonts w:hint="eastAsia" w:eastAsiaTheme="minorEastAsia"/>
                <w:color w:val="auto"/>
                <w:kern w:val="0"/>
                <w:highlight w:val="none"/>
              </w:rPr>
              <w:t>厂界外周边50米范围内存在声环境保护目标的建设项目，应监测保护目标声环境质量现状并评价达标情况</w:t>
            </w:r>
            <w:r>
              <w:rPr>
                <w:rFonts w:hint="eastAsia" w:eastAsiaTheme="minorEastAsia"/>
                <w:color w:val="auto"/>
                <w:kern w:val="0"/>
                <w:highlight w:val="none"/>
                <w:lang w:eastAsia="zh-CN"/>
              </w:rPr>
              <w:t>”</w:t>
            </w:r>
            <w:r>
              <w:rPr>
                <w:rFonts w:hint="eastAsia" w:eastAsiaTheme="minorEastAsia"/>
                <w:color w:val="auto"/>
                <w:kern w:val="0"/>
                <w:highlight w:val="none"/>
              </w:rPr>
              <w:t>。</w:t>
            </w:r>
            <w:r>
              <w:rPr>
                <w:rFonts w:hint="eastAsia" w:eastAsiaTheme="minorEastAsia"/>
                <w:color w:val="auto"/>
                <w:kern w:val="0"/>
                <w:highlight w:val="none"/>
                <w:lang w:val="en-US" w:eastAsia="zh-CN"/>
              </w:rPr>
              <w:t>根据现场踏勘，</w:t>
            </w:r>
            <w:r>
              <w:rPr>
                <w:rFonts w:eastAsiaTheme="minorEastAsia"/>
                <w:color w:val="auto"/>
                <w:highlight w:val="none"/>
              </w:rPr>
              <w:t>本项目厂界外50米范围内无医院、学校、机关、科研单位、住宅等声环境保护目标，可不进行声环境质量现状监测</w:t>
            </w:r>
            <w:r>
              <w:rPr>
                <w:rFonts w:eastAsiaTheme="minorEastAsia"/>
                <w:color w:val="auto"/>
                <w:kern w:val="0"/>
                <w:highlight w:val="none"/>
              </w:rPr>
              <w:t>。</w:t>
            </w:r>
          </w:p>
          <w:p w14:paraId="7A6BED02">
            <w:pPr>
              <w:keepNext w:val="0"/>
              <w:keepLines w:val="0"/>
              <w:pageBreakBefore w:val="0"/>
              <w:widowControl w:val="0"/>
              <w:tabs>
                <w:tab w:val="left" w:pos="4266"/>
              </w:tabs>
              <w:kinsoku/>
              <w:overflowPunct/>
              <w:topLinePunct w:val="0"/>
              <w:autoSpaceDE/>
              <w:autoSpaceDN/>
              <w:bidi w:val="0"/>
              <w:snapToGrid w:val="0"/>
              <w:spacing w:line="360" w:lineRule="auto"/>
              <w:ind w:firstLine="482" w:firstLineChars="200"/>
              <w:textAlignment w:val="auto"/>
              <w:rPr>
                <w:rFonts w:eastAsiaTheme="minorEastAsia"/>
                <w:b/>
                <w:bCs/>
                <w:color w:val="auto"/>
                <w:sz w:val="24"/>
                <w:highlight w:val="none"/>
              </w:rPr>
            </w:pPr>
            <w:r>
              <w:rPr>
                <w:rFonts w:hint="eastAsia" w:eastAsiaTheme="minorEastAsia"/>
                <w:b/>
                <w:bCs/>
                <w:color w:val="auto"/>
                <w:sz w:val="24"/>
                <w:highlight w:val="none"/>
                <w:lang w:val="en-US" w:eastAsia="zh-CN"/>
              </w:rPr>
              <w:t>3.</w:t>
            </w:r>
            <w:r>
              <w:rPr>
                <w:rFonts w:eastAsiaTheme="minorEastAsia"/>
                <w:b/>
                <w:bCs/>
                <w:color w:val="auto"/>
                <w:sz w:val="24"/>
                <w:highlight w:val="none"/>
              </w:rPr>
              <w:t>生态环境质量现状</w:t>
            </w:r>
          </w:p>
          <w:p w14:paraId="57D9DB2F">
            <w:pPr>
              <w:pStyle w:val="34"/>
              <w:keepNext w:val="0"/>
              <w:keepLines w:val="0"/>
              <w:pageBreakBefore w:val="0"/>
              <w:widowControl w:val="0"/>
              <w:kinsoku/>
              <w:overflowPunct/>
              <w:topLinePunct w:val="0"/>
              <w:autoSpaceDE/>
              <w:autoSpaceDN/>
              <w:bidi w:val="0"/>
              <w:snapToGrid w:val="0"/>
              <w:ind w:firstLine="480"/>
              <w:textAlignment w:val="auto"/>
              <w:rPr>
                <w:rFonts w:eastAsiaTheme="minorEastAsia"/>
                <w:color w:val="auto"/>
                <w:highlight w:val="none"/>
              </w:rPr>
            </w:pPr>
            <w:r>
              <w:rPr>
                <w:rFonts w:eastAsiaTheme="minorEastAsia"/>
                <w:color w:val="auto"/>
                <w:highlight w:val="none"/>
              </w:rPr>
              <w:t>本项目</w:t>
            </w:r>
            <w:r>
              <w:rPr>
                <w:rFonts w:hint="eastAsia" w:eastAsiaTheme="minorEastAsia"/>
                <w:color w:val="auto"/>
                <w:highlight w:val="none"/>
                <w:lang w:val="en-US" w:eastAsia="zh-CN"/>
              </w:rPr>
              <w:t>位于陕西省宝鸡市凤翔区田家庄镇河北村村北金隅冀东凤翔环保科技有限公司厂区内，无</w:t>
            </w:r>
            <w:r>
              <w:rPr>
                <w:rFonts w:eastAsiaTheme="minorEastAsia"/>
                <w:color w:val="auto"/>
                <w:highlight w:val="none"/>
              </w:rPr>
              <w:t>生态环境保护目标，本次评价不做生态现状调查。</w:t>
            </w:r>
          </w:p>
          <w:p w14:paraId="16F16AD4">
            <w:pPr>
              <w:keepNext w:val="0"/>
              <w:keepLines w:val="0"/>
              <w:pageBreakBefore w:val="0"/>
              <w:widowControl w:val="0"/>
              <w:tabs>
                <w:tab w:val="left" w:pos="4266"/>
              </w:tabs>
              <w:kinsoku/>
              <w:overflowPunct/>
              <w:topLinePunct w:val="0"/>
              <w:autoSpaceDE/>
              <w:autoSpaceDN/>
              <w:bidi w:val="0"/>
              <w:snapToGrid w:val="0"/>
              <w:spacing w:line="360" w:lineRule="auto"/>
              <w:ind w:firstLine="482" w:firstLineChars="200"/>
              <w:textAlignment w:val="auto"/>
              <w:rPr>
                <w:rFonts w:hint="eastAsia" w:eastAsiaTheme="minorEastAsia"/>
                <w:color w:val="auto"/>
                <w:kern w:val="0"/>
                <w:sz w:val="24"/>
                <w:szCs w:val="22"/>
                <w:highlight w:val="none"/>
                <w:lang w:val="en-US" w:eastAsia="zh-CN"/>
              </w:rPr>
            </w:pPr>
            <w:r>
              <w:rPr>
                <w:rFonts w:hint="eastAsia" w:eastAsiaTheme="minorEastAsia"/>
                <w:b/>
                <w:bCs/>
                <w:color w:val="auto"/>
                <w:sz w:val="24"/>
                <w:highlight w:val="none"/>
                <w:lang w:val="en-US" w:eastAsia="zh-CN"/>
              </w:rPr>
              <w:t>4.</w:t>
            </w:r>
            <w:r>
              <w:rPr>
                <w:rFonts w:eastAsiaTheme="minorEastAsia"/>
                <w:b/>
                <w:bCs/>
                <w:color w:val="auto"/>
                <w:sz w:val="24"/>
                <w:highlight w:val="none"/>
              </w:rPr>
              <w:t>地下水、土壤环境质量现状</w:t>
            </w:r>
          </w:p>
          <w:p w14:paraId="5DD89EB6">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rFonts w:eastAsiaTheme="minorEastAsia"/>
                <w:color w:val="auto"/>
                <w:kern w:val="0"/>
                <w:sz w:val="24"/>
                <w:szCs w:val="22"/>
                <w:highlight w:val="none"/>
              </w:rPr>
            </w:pPr>
            <w:r>
              <w:rPr>
                <w:rFonts w:eastAsiaTheme="minorEastAsia"/>
                <w:color w:val="auto"/>
                <w:kern w:val="0"/>
                <w:sz w:val="24"/>
                <w:szCs w:val="22"/>
                <w:highlight w:val="none"/>
              </w:rPr>
              <w:t>根据《建设项目环境影响报告表编制技术指南（污染影响类）（试行）》，地下水、土壤原则上不开展环境质量现状监测，建设项目存在地下水、土壤环境污染途径的，应结合污染源、保护目标分布情况开展现状调查以留作背景值。</w:t>
            </w:r>
          </w:p>
          <w:p w14:paraId="6D745711">
            <w:pPr>
              <w:keepNext w:val="0"/>
              <w:keepLines w:val="0"/>
              <w:pageBreakBefore w:val="0"/>
              <w:widowControl w:val="0"/>
              <w:kinsoku/>
              <w:overflowPunct/>
              <w:topLinePunct w:val="0"/>
              <w:autoSpaceDE/>
              <w:autoSpaceDN/>
              <w:bidi w:val="0"/>
              <w:snapToGrid w:val="0"/>
              <w:spacing w:line="360" w:lineRule="auto"/>
              <w:ind w:firstLine="480" w:firstLineChars="200"/>
              <w:textAlignment w:val="auto"/>
              <w:rPr>
                <w:color w:val="auto"/>
                <w:highlight w:val="none"/>
              </w:rPr>
            </w:pPr>
            <w:r>
              <w:rPr>
                <w:rFonts w:eastAsiaTheme="minorEastAsia"/>
                <w:color w:val="auto"/>
                <w:kern w:val="0"/>
                <w:sz w:val="24"/>
                <w:szCs w:val="22"/>
                <w:highlight w:val="none"/>
              </w:rPr>
              <w:t>本项目</w:t>
            </w:r>
            <w:r>
              <w:rPr>
                <w:rFonts w:hint="eastAsia" w:eastAsiaTheme="minorEastAsia"/>
                <w:color w:val="auto"/>
                <w:kern w:val="0"/>
                <w:sz w:val="24"/>
                <w:szCs w:val="22"/>
                <w:highlight w:val="none"/>
                <w:lang w:val="en-US" w:eastAsia="zh-CN"/>
              </w:rPr>
              <w:t>主要生产干混砂浆</w:t>
            </w:r>
            <w:r>
              <w:rPr>
                <w:rFonts w:hint="eastAsia" w:eastAsiaTheme="minorEastAsia"/>
                <w:color w:val="auto"/>
                <w:kern w:val="0"/>
                <w:sz w:val="24"/>
                <w:szCs w:val="22"/>
                <w:highlight w:val="none"/>
              </w:rPr>
              <w:t>，</w:t>
            </w:r>
            <w:r>
              <w:rPr>
                <w:rFonts w:hint="eastAsia" w:eastAsiaTheme="minorEastAsia"/>
                <w:color w:val="auto"/>
                <w:kern w:val="0"/>
                <w:sz w:val="24"/>
                <w:szCs w:val="22"/>
                <w:highlight w:val="none"/>
                <w:lang w:val="en-US" w:eastAsia="zh-CN"/>
              </w:rPr>
              <w:t>项目原料中不含对地下水及土壤有危害的污染因子；厂区</w:t>
            </w:r>
            <w:r>
              <w:rPr>
                <w:rFonts w:eastAsiaTheme="minorEastAsia"/>
                <w:color w:val="auto"/>
                <w:kern w:val="0"/>
                <w:sz w:val="24"/>
                <w:szCs w:val="22"/>
                <w:highlight w:val="none"/>
              </w:rPr>
              <w:t>地面</w:t>
            </w:r>
            <w:r>
              <w:rPr>
                <w:rFonts w:hint="eastAsia" w:eastAsiaTheme="minorEastAsia"/>
                <w:color w:val="auto"/>
                <w:kern w:val="0"/>
                <w:sz w:val="24"/>
                <w:szCs w:val="22"/>
                <w:highlight w:val="none"/>
                <w:lang w:val="en-US" w:eastAsia="zh-CN"/>
              </w:rPr>
              <w:t>已经</w:t>
            </w:r>
            <w:r>
              <w:rPr>
                <w:rFonts w:eastAsiaTheme="minorEastAsia"/>
                <w:color w:val="auto"/>
                <w:kern w:val="0"/>
                <w:sz w:val="24"/>
                <w:szCs w:val="22"/>
                <w:highlight w:val="none"/>
              </w:rPr>
              <w:t>全部硬化，</w:t>
            </w:r>
            <w:r>
              <w:rPr>
                <w:rFonts w:hint="eastAsia" w:eastAsiaTheme="minorEastAsia"/>
                <w:color w:val="auto"/>
                <w:kern w:val="0"/>
                <w:sz w:val="24"/>
                <w:szCs w:val="22"/>
                <w:highlight w:val="none"/>
                <w:lang w:val="en-US" w:eastAsia="zh-CN"/>
              </w:rPr>
              <w:t>危废贮存库</w:t>
            </w:r>
            <w:r>
              <w:rPr>
                <w:rFonts w:eastAsiaTheme="minorEastAsia"/>
                <w:color w:val="auto"/>
                <w:kern w:val="0"/>
                <w:sz w:val="24"/>
                <w:szCs w:val="22"/>
                <w:highlight w:val="none"/>
              </w:rPr>
              <w:t>采取</w:t>
            </w:r>
            <w:r>
              <w:rPr>
                <w:rFonts w:hint="eastAsia" w:eastAsiaTheme="minorEastAsia"/>
                <w:color w:val="auto"/>
                <w:kern w:val="0"/>
                <w:sz w:val="24"/>
                <w:szCs w:val="22"/>
                <w:highlight w:val="none"/>
                <w:lang w:val="en-US" w:eastAsia="zh-CN"/>
              </w:rPr>
              <w:t>重点</w:t>
            </w:r>
            <w:r>
              <w:rPr>
                <w:rFonts w:eastAsiaTheme="minorEastAsia"/>
                <w:color w:val="auto"/>
                <w:kern w:val="0"/>
                <w:sz w:val="24"/>
                <w:szCs w:val="22"/>
                <w:highlight w:val="none"/>
              </w:rPr>
              <w:t>防渗措施，不存在土壤、地下水污染途径，故可不进行土壤及地下水</w:t>
            </w:r>
            <w:r>
              <w:rPr>
                <w:rFonts w:hint="eastAsia" w:eastAsiaTheme="minorEastAsia"/>
                <w:color w:val="auto"/>
                <w:kern w:val="0"/>
                <w:sz w:val="24"/>
                <w:szCs w:val="22"/>
                <w:highlight w:val="none"/>
                <w:lang w:val="en-US" w:eastAsia="zh-CN"/>
              </w:rPr>
              <w:t>环境</w:t>
            </w:r>
            <w:r>
              <w:rPr>
                <w:rFonts w:eastAsiaTheme="minorEastAsia"/>
                <w:color w:val="auto"/>
                <w:kern w:val="0"/>
                <w:sz w:val="24"/>
                <w:szCs w:val="22"/>
                <w:highlight w:val="none"/>
              </w:rPr>
              <w:t>质量现状监测。</w:t>
            </w:r>
          </w:p>
        </w:tc>
      </w:tr>
      <w:tr w14:paraId="2B133D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00" w:type="dxa"/>
            <w:tcBorders>
              <w:tl2br w:val="nil"/>
              <w:tr2bl w:val="nil"/>
            </w:tcBorders>
            <w:noWrap/>
            <w:vAlign w:val="center"/>
          </w:tcPr>
          <w:p w14:paraId="1CEEEB24">
            <w:pPr>
              <w:adjustRightInd w:val="0"/>
              <w:snapToGrid w:val="0"/>
              <w:jc w:val="center"/>
              <w:rPr>
                <w:rFonts w:eastAsiaTheme="minorEastAsia"/>
                <w:color w:val="auto"/>
                <w:kern w:val="0"/>
                <w:sz w:val="24"/>
                <w:highlight w:val="none"/>
              </w:rPr>
            </w:pPr>
            <w:r>
              <w:rPr>
                <w:rFonts w:eastAsiaTheme="minorEastAsia"/>
                <w:color w:val="auto"/>
                <w:kern w:val="0"/>
                <w:sz w:val="24"/>
                <w:highlight w:val="none"/>
              </w:rPr>
              <w:t>环境</w:t>
            </w:r>
          </w:p>
          <w:p w14:paraId="70694E31">
            <w:pPr>
              <w:adjustRightInd w:val="0"/>
              <w:snapToGrid w:val="0"/>
              <w:jc w:val="center"/>
              <w:rPr>
                <w:rFonts w:eastAsiaTheme="minorEastAsia"/>
                <w:color w:val="auto"/>
                <w:kern w:val="0"/>
                <w:sz w:val="24"/>
                <w:highlight w:val="none"/>
              </w:rPr>
            </w:pPr>
            <w:r>
              <w:rPr>
                <w:rFonts w:eastAsiaTheme="minorEastAsia"/>
                <w:color w:val="auto"/>
                <w:kern w:val="0"/>
                <w:sz w:val="24"/>
                <w:highlight w:val="none"/>
              </w:rPr>
              <w:t>保护</w:t>
            </w:r>
          </w:p>
          <w:p w14:paraId="1547E7A3">
            <w:pPr>
              <w:adjustRightInd w:val="0"/>
              <w:snapToGrid w:val="0"/>
              <w:jc w:val="center"/>
              <w:rPr>
                <w:rFonts w:eastAsiaTheme="minorEastAsia"/>
                <w:color w:val="auto"/>
                <w:kern w:val="0"/>
                <w:szCs w:val="21"/>
                <w:highlight w:val="none"/>
              </w:rPr>
            </w:pPr>
            <w:r>
              <w:rPr>
                <w:rFonts w:eastAsiaTheme="minorEastAsia"/>
                <w:color w:val="auto"/>
                <w:kern w:val="0"/>
                <w:sz w:val="24"/>
                <w:highlight w:val="none"/>
              </w:rPr>
              <w:t>目标</w:t>
            </w:r>
          </w:p>
        </w:tc>
        <w:tc>
          <w:tcPr>
            <w:tcW w:w="8190" w:type="dxa"/>
            <w:tcBorders>
              <w:tl2br w:val="nil"/>
              <w:tr2bl w:val="nil"/>
            </w:tcBorders>
            <w:noWrap/>
            <w:vAlign w:val="center"/>
          </w:tcPr>
          <w:p w14:paraId="0B21B726">
            <w:pPr>
              <w:pStyle w:val="27"/>
              <w:spacing w:line="360" w:lineRule="auto"/>
              <w:ind w:firstLine="482" w:firstLineChars="200"/>
              <w:rPr>
                <w:rFonts w:ascii="Times New Roman" w:hAnsi="Times New Roman" w:cs="Times New Roman" w:eastAsiaTheme="minorEastAsia"/>
                <w:color w:val="auto"/>
                <w:sz w:val="24"/>
                <w:highlight w:val="none"/>
              </w:rPr>
            </w:pPr>
            <w:r>
              <w:rPr>
                <w:rFonts w:ascii="Times New Roman" w:hAnsi="Times New Roman" w:cs="Times New Roman" w:eastAsiaTheme="minorEastAsia"/>
                <w:b/>
                <w:bCs/>
                <w:color w:val="auto"/>
                <w:sz w:val="24"/>
                <w:highlight w:val="none"/>
                <w:lang w:val="en-US"/>
              </w:rPr>
              <w:t>1</w:t>
            </w:r>
            <w:r>
              <w:rPr>
                <w:rFonts w:hint="eastAsia" w:ascii="Times New Roman" w:hAnsi="Times New Roman" w:cs="Times New Roman" w:eastAsiaTheme="minorEastAsia"/>
                <w:b/>
                <w:bCs/>
                <w:color w:val="auto"/>
                <w:sz w:val="24"/>
                <w:highlight w:val="none"/>
                <w:lang w:val="en-US" w:eastAsia="zh-CN"/>
              </w:rPr>
              <w:t>.</w:t>
            </w:r>
            <w:r>
              <w:rPr>
                <w:rFonts w:ascii="Times New Roman" w:hAnsi="Times New Roman" w:cs="Times New Roman" w:eastAsiaTheme="minorEastAsia"/>
                <w:b/>
                <w:bCs/>
                <w:color w:val="auto"/>
                <w:sz w:val="24"/>
                <w:highlight w:val="none"/>
                <w:lang w:val="en-US"/>
              </w:rPr>
              <w:t>大气环境保护目标</w:t>
            </w:r>
          </w:p>
          <w:p w14:paraId="12933E5E">
            <w:pPr>
              <w:pStyle w:val="27"/>
              <w:spacing w:line="360" w:lineRule="auto"/>
              <w:ind w:firstLine="480" w:firstLineChars="200"/>
              <w:rPr>
                <w:rFonts w:ascii="Times New Roman" w:hAnsi="Times New Roman" w:cs="Times New Roman" w:eastAsiaTheme="minorEastAsia"/>
                <w:color w:val="auto"/>
                <w:sz w:val="24"/>
                <w:highlight w:val="none"/>
              </w:rPr>
            </w:pPr>
            <w:r>
              <w:rPr>
                <w:rFonts w:hint="eastAsia" w:cs="Times New Roman"/>
                <w:color w:val="auto"/>
                <w:sz w:val="24"/>
                <w:highlight w:val="none"/>
                <w:lang w:val="en-US" w:eastAsia="zh-CN"/>
              </w:rPr>
              <w:t>项目</w:t>
            </w:r>
            <w:r>
              <w:rPr>
                <w:rFonts w:ascii="Times New Roman" w:hAnsi="Times New Roman" w:cs="Times New Roman"/>
                <w:color w:val="auto"/>
                <w:sz w:val="24"/>
                <w:highlight w:val="none"/>
                <w:lang w:val="en-US"/>
              </w:rPr>
              <w:t>厂界外500m范围内</w:t>
            </w:r>
            <w:r>
              <w:rPr>
                <w:rFonts w:hint="eastAsia" w:ascii="Times New Roman" w:hAnsi="Times New Roman" w:cs="Times New Roman"/>
                <w:color w:val="auto"/>
                <w:sz w:val="24"/>
                <w:highlight w:val="none"/>
                <w:lang w:val="en-US" w:eastAsia="zh-CN"/>
              </w:rPr>
              <w:t>无大气环境保护目标。环境保护目标分布图</w:t>
            </w:r>
            <w:r>
              <w:rPr>
                <w:rFonts w:ascii="Times New Roman" w:hAnsi="Times New Roman" w:cs="Times New Roman"/>
                <w:color w:val="auto"/>
                <w:sz w:val="24"/>
                <w:highlight w:val="none"/>
                <w:lang w:val="en-US"/>
              </w:rPr>
              <w:t>见附图</w:t>
            </w:r>
            <w:r>
              <w:rPr>
                <w:rFonts w:hint="eastAsia" w:ascii="Times New Roman" w:hAnsi="Times New Roman" w:cs="Times New Roman"/>
                <w:color w:val="auto"/>
                <w:sz w:val="24"/>
                <w:highlight w:val="none"/>
                <w:lang w:val="en-US" w:eastAsia="zh-CN"/>
              </w:rPr>
              <w:t>6</w:t>
            </w:r>
            <w:r>
              <w:rPr>
                <w:rFonts w:ascii="Times New Roman" w:hAnsi="Times New Roman" w:cs="Times New Roman"/>
                <w:color w:val="auto"/>
                <w:sz w:val="24"/>
                <w:highlight w:val="none"/>
                <w:lang w:val="en-US"/>
              </w:rPr>
              <w:t>。</w:t>
            </w:r>
          </w:p>
          <w:p w14:paraId="2719A3FA">
            <w:pPr>
              <w:pStyle w:val="27"/>
              <w:spacing w:line="360" w:lineRule="auto"/>
              <w:ind w:firstLine="482" w:firstLineChars="200"/>
              <w:rPr>
                <w:rFonts w:ascii="Times New Roman" w:hAnsi="Times New Roman" w:cs="Times New Roman" w:eastAsiaTheme="minorEastAsia"/>
                <w:b/>
                <w:bCs/>
                <w:color w:val="auto"/>
                <w:sz w:val="24"/>
                <w:highlight w:val="none"/>
                <w:lang w:val="en-US"/>
              </w:rPr>
            </w:pPr>
            <w:r>
              <w:rPr>
                <w:rFonts w:hint="eastAsia" w:ascii="Times New Roman" w:hAnsi="Times New Roman" w:cs="Times New Roman" w:eastAsiaTheme="minorEastAsia"/>
                <w:b/>
                <w:bCs/>
                <w:color w:val="auto"/>
                <w:sz w:val="24"/>
                <w:highlight w:val="none"/>
                <w:lang w:val="en-US" w:eastAsia="zh-CN"/>
              </w:rPr>
              <w:t>2.</w:t>
            </w:r>
            <w:r>
              <w:rPr>
                <w:rFonts w:ascii="Times New Roman" w:hAnsi="Times New Roman" w:cs="Times New Roman" w:eastAsiaTheme="minorEastAsia"/>
                <w:b/>
                <w:bCs/>
                <w:color w:val="auto"/>
                <w:sz w:val="24"/>
                <w:highlight w:val="none"/>
                <w:lang w:val="en-US"/>
              </w:rPr>
              <w:t>声环境保护目标</w:t>
            </w:r>
          </w:p>
          <w:p w14:paraId="587871D7">
            <w:pPr>
              <w:pStyle w:val="27"/>
              <w:spacing w:line="360" w:lineRule="auto"/>
              <w:ind w:firstLine="480" w:firstLineChars="200"/>
              <w:rPr>
                <w:rFonts w:ascii="Times New Roman" w:hAnsi="Times New Roman" w:cs="Times New Roman" w:eastAsiaTheme="minorEastAsia"/>
                <w:color w:val="auto"/>
                <w:sz w:val="24"/>
                <w:highlight w:val="none"/>
                <w:lang w:val="en-US"/>
              </w:rPr>
            </w:pPr>
            <w:r>
              <w:rPr>
                <w:rFonts w:ascii="Times New Roman" w:hAnsi="Times New Roman" w:cs="Times New Roman" w:eastAsiaTheme="minorEastAsia"/>
                <w:color w:val="auto"/>
                <w:sz w:val="24"/>
                <w:highlight w:val="none"/>
                <w:lang w:val="en-US"/>
              </w:rPr>
              <w:t>项目厂界外50米范围内无</w:t>
            </w:r>
            <w:r>
              <w:rPr>
                <w:rFonts w:hint="eastAsia" w:ascii="Times New Roman" w:hAnsi="Times New Roman" w:cs="Times New Roman" w:eastAsiaTheme="minorEastAsia"/>
                <w:color w:val="auto"/>
                <w:sz w:val="24"/>
                <w:highlight w:val="none"/>
                <w:lang w:val="en-US" w:eastAsia="zh-CN"/>
              </w:rPr>
              <w:t>声环境</w:t>
            </w:r>
            <w:r>
              <w:rPr>
                <w:rFonts w:ascii="Times New Roman" w:hAnsi="Times New Roman" w:cs="Times New Roman" w:eastAsiaTheme="minorEastAsia"/>
                <w:color w:val="auto"/>
                <w:sz w:val="24"/>
                <w:highlight w:val="none"/>
                <w:lang w:val="en-US"/>
              </w:rPr>
              <w:t>保护目标。</w:t>
            </w:r>
          </w:p>
          <w:p w14:paraId="4A88D158">
            <w:pPr>
              <w:pStyle w:val="27"/>
              <w:spacing w:line="360" w:lineRule="auto"/>
              <w:ind w:firstLine="482" w:firstLineChars="200"/>
              <w:rPr>
                <w:rFonts w:ascii="Times New Roman" w:hAnsi="Times New Roman" w:cs="Times New Roman" w:eastAsiaTheme="minorEastAsia"/>
                <w:color w:val="auto"/>
                <w:sz w:val="24"/>
                <w:highlight w:val="none"/>
              </w:rPr>
            </w:pPr>
            <w:r>
              <w:rPr>
                <w:rFonts w:hint="eastAsia" w:ascii="Times New Roman" w:hAnsi="Times New Roman" w:cs="Times New Roman" w:eastAsiaTheme="minorEastAsia"/>
                <w:b/>
                <w:bCs/>
                <w:color w:val="auto"/>
                <w:sz w:val="24"/>
                <w:highlight w:val="none"/>
                <w:lang w:val="en-US" w:eastAsia="zh-CN"/>
              </w:rPr>
              <w:t>3.</w:t>
            </w:r>
            <w:r>
              <w:rPr>
                <w:rFonts w:ascii="Times New Roman" w:hAnsi="Times New Roman" w:cs="Times New Roman" w:eastAsiaTheme="minorEastAsia"/>
                <w:b/>
                <w:bCs/>
                <w:color w:val="auto"/>
                <w:sz w:val="24"/>
                <w:highlight w:val="none"/>
                <w:lang w:val="en-US"/>
              </w:rPr>
              <w:t>地下水环境保护目标</w:t>
            </w:r>
          </w:p>
          <w:p w14:paraId="02EAB267">
            <w:pPr>
              <w:pStyle w:val="27"/>
              <w:spacing w:line="360" w:lineRule="auto"/>
              <w:ind w:firstLine="480" w:firstLineChars="200"/>
              <w:rPr>
                <w:rFonts w:ascii="Times New Roman" w:hAnsi="Times New Roman" w:cs="Times New Roman" w:eastAsiaTheme="minorEastAsia"/>
                <w:color w:val="auto"/>
                <w:sz w:val="24"/>
                <w:highlight w:val="none"/>
              </w:rPr>
            </w:pPr>
            <w:r>
              <w:rPr>
                <w:rFonts w:ascii="Times New Roman" w:hAnsi="Times New Roman" w:cs="Times New Roman" w:eastAsiaTheme="minorEastAsia"/>
                <w:color w:val="auto"/>
                <w:sz w:val="24"/>
                <w:highlight w:val="none"/>
                <w:lang w:val="en-US"/>
              </w:rPr>
              <w:t>项目厂界外500米范围内不涉及地下水集中式饮用水水源和热水、矿泉水</w:t>
            </w:r>
            <w:r>
              <w:rPr>
                <w:rFonts w:hint="eastAsia" w:ascii="Times New Roman" w:hAnsi="Times New Roman" w:cs="Times New Roman" w:eastAsiaTheme="minorEastAsia"/>
                <w:color w:val="auto"/>
                <w:sz w:val="24"/>
                <w:highlight w:val="none"/>
                <w:lang w:val="en-US" w:eastAsia="zh-CN"/>
              </w:rPr>
              <w:t>、温泉</w:t>
            </w:r>
            <w:r>
              <w:rPr>
                <w:rFonts w:ascii="Times New Roman" w:hAnsi="Times New Roman" w:cs="Times New Roman" w:eastAsiaTheme="minorEastAsia"/>
                <w:color w:val="auto"/>
                <w:sz w:val="24"/>
                <w:highlight w:val="none"/>
                <w:lang w:val="en-US"/>
              </w:rPr>
              <w:t>等特殊地下水资源保护目标。</w:t>
            </w:r>
          </w:p>
          <w:p w14:paraId="267C3C88">
            <w:pPr>
              <w:pStyle w:val="27"/>
              <w:spacing w:line="360" w:lineRule="auto"/>
              <w:ind w:firstLine="482" w:firstLineChars="200"/>
              <w:rPr>
                <w:rFonts w:ascii="Times New Roman" w:hAnsi="Times New Roman" w:cs="Times New Roman" w:eastAsiaTheme="minorEastAsia"/>
                <w:b/>
                <w:bCs/>
                <w:color w:val="auto"/>
                <w:sz w:val="24"/>
                <w:highlight w:val="none"/>
                <w:lang w:val="en-US"/>
              </w:rPr>
            </w:pPr>
            <w:r>
              <w:rPr>
                <w:rFonts w:ascii="Times New Roman" w:hAnsi="Times New Roman" w:cs="Times New Roman" w:eastAsiaTheme="minorEastAsia"/>
                <w:b/>
                <w:bCs/>
                <w:color w:val="auto"/>
                <w:sz w:val="24"/>
                <w:highlight w:val="none"/>
                <w:lang w:val="en-US"/>
              </w:rPr>
              <w:t>4</w:t>
            </w:r>
            <w:r>
              <w:rPr>
                <w:rFonts w:hint="eastAsia" w:ascii="Times New Roman" w:hAnsi="Times New Roman" w:cs="Times New Roman" w:eastAsiaTheme="minorEastAsia"/>
                <w:b/>
                <w:bCs/>
                <w:color w:val="auto"/>
                <w:sz w:val="24"/>
                <w:highlight w:val="none"/>
                <w:lang w:val="en-US" w:eastAsia="zh-CN"/>
              </w:rPr>
              <w:t>.</w:t>
            </w:r>
            <w:r>
              <w:rPr>
                <w:rFonts w:ascii="Times New Roman" w:hAnsi="Times New Roman" w:cs="Times New Roman" w:eastAsiaTheme="minorEastAsia"/>
                <w:b/>
                <w:bCs/>
                <w:color w:val="auto"/>
                <w:sz w:val="24"/>
                <w:highlight w:val="none"/>
                <w:lang w:val="en-US"/>
              </w:rPr>
              <w:t>生态环境保护目标</w:t>
            </w:r>
          </w:p>
          <w:p w14:paraId="3431C7AE">
            <w:pPr>
              <w:pStyle w:val="27"/>
              <w:spacing w:line="360" w:lineRule="auto"/>
              <w:ind w:firstLine="480" w:firstLineChars="200"/>
              <w:rPr>
                <w:rFonts w:ascii="Times New Roman" w:hAnsi="Times New Roman" w:cs="Times New Roman" w:eastAsiaTheme="minorEastAsia"/>
                <w:color w:val="auto"/>
                <w:sz w:val="24"/>
                <w:highlight w:val="none"/>
                <w:lang w:val="en-US"/>
              </w:rPr>
            </w:pPr>
            <w:r>
              <w:rPr>
                <w:rFonts w:ascii="Times New Roman" w:hAnsi="Times New Roman" w:cs="Times New Roman" w:eastAsiaTheme="minorEastAsia"/>
                <w:color w:val="auto"/>
                <w:sz w:val="24"/>
                <w:szCs w:val="24"/>
                <w:highlight w:val="none"/>
                <w:lang w:val="en-US"/>
              </w:rPr>
              <w:t>项目</w:t>
            </w:r>
            <w:r>
              <w:rPr>
                <w:rFonts w:hint="eastAsia" w:ascii="Times New Roman" w:hAnsi="Times New Roman" w:cs="Times New Roman" w:eastAsiaTheme="minorEastAsia"/>
                <w:color w:val="auto"/>
                <w:sz w:val="24"/>
                <w:szCs w:val="24"/>
                <w:highlight w:val="none"/>
                <w:lang w:val="en-US" w:eastAsia="zh-CN"/>
              </w:rPr>
              <w:t>位于</w:t>
            </w:r>
            <w:r>
              <w:rPr>
                <w:rFonts w:hint="eastAsia" w:eastAsiaTheme="minorEastAsia"/>
                <w:color w:val="auto"/>
                <w:sz w:val="24"/>
                <w:szCs w:val="24"/>
                <w:highlight w:val="none"/>
                <w:lang w:val="en-US" w:eastAsia="zh-CN"/>
              </w:rPr>
              <w:t>陕西省宝鸡市凤翔区田家庄镇河北村村北金隅冀东凤翔环保科技有限公司厂区内</w:t>
            </w:r>
            <w:r>
              <w:rPr>
                <w:rFonts w:hint="eastAsia" w:eastAsiaTheme="minorEastAsia"/>
                <w:color w:val="auto"/>
                <w:kern w:val="0"/>
                <w:sz w:val="24"/>
                <w:highlight w:val="none"/>
                <w:lang w:val="en-US" w:eastAsia="zh-CN"/>
              </w:rPr>
              <w:t>，占地范围内</w:t>
            </w:r>
            <w:r>
              <w:rPr>
                <w:rFonts w:ascii="Times New Roman" w:hAnsi="Times New Roman" w:cs="Times New Roman" w:eastAsiaTheme="minorEastAsia"/>
                <w:color w:val="auto"/>
                <w:sz w:val="24"/>
                <w:highlight w:val="none"/>
                <w:lang w:val="en-US"/>
              </w:rPr>
              <w:t>无生态环境保护目标。</w:t>
            </w:r>
          </w:p>
        </w:tc>
      </w:tr>
      <w:tr w14:paraId="5502D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00" w:type="dxa"/>
            <w:tcBorders>
              <w:tl2br w:val="nil"/>
              <w:tr2bl w:val="nil"/>
            </w:tcBorders>
            <w:noWrap/>
            <w:tcMar>
              <w:top w:w="0" w:type="dxa"/>
              <w:left w:w="28" w:type="dxa"/>
              <w:bottom w:w="0" w:type="dxa"/>
              <w:right w:w="28" w:type="dxa"/>
            </w:tcMar>
            <w:vAlign w:val="center"/>
          </w:tcPr>
          <w:p w14:paraId="5FBB6306">
            <w:pPr>
              <w:adjustRightInd w:val="0"/>
              <w:snapToGrid w:val="0"/>
              <w:jc w:val="center"/>
              <w:rPr>
                <w:rFonts w:eastAsiaTheme="minorEastAsia"/>
                <w:color w:val="auto"/>
                <w:kern w:val="0"/>
                <w:szCs w:val="21"/>
                <w:highlight w:val="none"/>
              </w:rPr>
            </w:pPr>
            <w:r>
              <w:rPr>
                <w:rFonts w:eastAsiaTheme="minorEastAsia"/>
                <w:color w:val="auto"/>
                <w:kern w:val="0"/>
                <w:sz w:val="24"/>
                <w:highlight w:val="none"/>
              </w:rPr>
              <w:t>污染物排放控制标准</w:t>
            </w:r>
          </w:p>
        </w:tc>
        <w:tc>
          <w:tcPr>
            <w:tcW w:w="8190" w:type="dxa"/>
            <w:tcBorders>
              <w:tl2br w:val="nil"/>
              <w:tr2bl w:val="nil"/>
            </w:tcBorders>
            <w:noWrap/>
            <w:vAlign w:val="center"/>
          </w:tcPr>
          <w:p w14:paraId="48254F9F">
            <w:pPr>
              <w:adjustRightInd w:val="0"/>
              <w:snapToGrid w:val="0"/>
              <w:spacing w:line="360" w:lineRule="auto"/>
              <w:ind w:firstLine="482" w:firstLineChars="200"/>
              <w:rPr>
                <w:rFonts w:ascii="Times New Roman" w:hAnsi="Times New Roman" w:cs="Times New Roman" w:eastAsiaTheme="minorEastAsia"/>
                <w:b/>
                <w:bCs/>
                <w:color w:val="auto"/>
                <w:kern w:val="0"/>
                <w:sz w:val="24"/>
                <w:szCs w:val="22"/>
                <w:highlight w:val="none"/>
              </w:rPr>
            </w:pPr>
            <w:r>
              <w:rPr>
                <w:rFonts w:hint="eastAsia" w:cs="Times New Roman" w:eastAsiaTheme="minorEastAsia"/>
                <w:b/>
                <w:bCs/>
                <w:color w:val="auto"/>
                <w:kern w:val="0"/>
                <w:sz w:val="24"/>
                <w:szCs w:val="22"/>
                <w:highlight w:val="none"/>
                <w:lang w:val="en-US" w:eastAsia="zh-CN"/>
              </w:rPr>
              <w:t>1.</w:t>
            </w:r>
            <w:r>
              <w:rPr>
                <w:rFonts w:ascii="Times New Roman" w:hAnsi="Times New Roman" w:cs="Times New Roman" w:eastAsiaTheme="minorEastAsia"/>
                <w:b/>
                <w:bCs/>
                <w:color w:val="auto"/>
                <w:kern w:val="0"/>
                <w:sz w:val="24"/>
                <w:szCs w:val="22"/>
                <w:highlight w:val="none"/>
              </w:rPr>
              <w:t>大气污染物排放标准</w:t>
            </w:r>
          </w:p>
          <w:p w14:paraId="318CE495">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施工期废气</w:t>
            </w:r>
          </w:p>
          <w:p w14:paraId="3EEE34A4">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color w:val="auto"/>
                <w:kern w:val="18"/>
                <w:sz w:val="24"/>
                <w:highlight w:val="none"/>
              </w:rPr>
            </w:pPr>
            <w:r>
              <w:rPr>
                <w:rFonts w:hint="eastAsia" w:ascii="Times New Roman" w:hAnsi="Times New Roman" w:cs="Times New Roman"/>
                <w:color w:val="auto"/>
                <w:sz w:val="24"/>
                <w:highlight w:val="none"/>
                <w:lang w:val="en-US" w:eastAsia="zh-CN"/>
              </w:rPr>
              <w:t>①</w:t>
            </w:r>
            <w:r>
              <w:rPr>
                <w:rFonts w:hint="default" w:ascii="Times New Roman" w:hAnsi="Times New Roman" w:cs="Times New Roman"/>
                <w:color w:val="auto"/>
                <w:sz w:val="24"/>
                <w:highlight w:val="none"/>
              </w:rPr>
              <w:t>施工期施工机械燃油废气按</w:t>
            </w:r>
            <w:r>
              <w:rPr>
                <w:rFonts w:hint="default" w:ascii="Times New Roman" w:hAnsi="Times New Roman" w:cs="Times New Roman"/>
                <w:color w:val="auto"/>
                <w:kern w:val="0"/>
                <w:sz w:val="24"/>
                <w:highlight w:val="none"/>
              </w:rPr>
              <w:t>《非道路移动机械用柴油机排气污染物排放限值及测量方法（中国第三、四阶段）》</w:t>
            </w:r>
            <w:r>
              <w:rPr>
                <w:rFonts w:hint="default" w:ascii="Times New Roman" w:hAnsi="Times New Roman" w:cs="Times New Roman"/>
                <w:color w:val="auto"/>
                <w:highlight w:val="none"/>
              </w:rPr>
              <w:t>（</w:t>
            </w:r>
            <w:r>
              <w:rPr>
                <w:rFonts w:hint="default" w:ascii="Times New Roman" w:hAnsi="Times New Roman" w:cs="Times New Roman"/>
                <w:color w:val="auto"/>
                <w:kern w:val="0"/>
                <w:sz w:val="24"/>
                <w:highlight w:val="none"/>
              </w:rPr>
              <w:t>GB20891-2014</w:t>
            </w:r>
            <w:r>
              <w:rPr>
                <w:rFonts w:hint="default" w:ascii="Times New Roman" w:hAnsi="Times New Roman" w:cs="Times New Roman"/>
                <w:color w:val="auto"/>
                <w:highlight w:val="none"/>
              </w:rPr>
              <w:t>）</w:t>
            </w:r>
            <w:r>
              <w:rPr>
                <w:rFonts w:hint="default" w:ascii="Times New Roman" w:hAnsi="Times New Roman" w:cs="Times New Roman"/>
                <w:color w:val="auto"/>
                <w:kern w:val="0"/>
                <w:sz w:val="24"/>
                <w:highlight w:val="none"/>
              </w:rPr>
              <w:t>中有关规定执行。具体标准值</w:t>
            </w:r>
            <w:r>
              <w:rPr>
                <w:rFonts w:hint="eastAsia" w:cs="Times New Roman"/>
                <w:color w:val="auto"/>
                <w:kern w:val="0"/>
                <w:sz w:val="24"/>
                <w:highlight w:val="none"/>
                <w:lang w:val="en-US" w:eastAsia="zh-CN"/>
              </w:rPr>
              <w:t>见</w:t>
            </w:r>
            <w:r>
              <w:rPr>
                <w:rFonts w:hint="default" w:ascii="Times New Roman" w:hAnsi="Times New Roman" w:cs="Times New Roman"/>
                <w:color w:val="auto"/>
                <w:kern w:val="0"/>
                <w:sz w:val="24"/>
                <w:highlight w:val="none"/>
              </w:rPr>
              <w:t>表</w:t>
            </w:r>
            <w:r>
              <w:rPr>
                <w:rFonts w:hint="eastAsia" w:cs="Times New Roman"/>
                <w:color w:val="auto"/>
                <w:kern w:val="0"/>
                <w:sz w:val="24"/>
                <w:highlight w:val="none"/>
                <w:lang w:val="en-US" w:eastAsia="zh-CN"/>
              </w:rPr>
              <w:t>3-3</w:t>
            </w:r>
            <w:r>
              <w:rPr>
                <w:rFonts w:hint="default" w:ascii="Times New Roman" w:hAnsi="Times New Roman" w:cs="Times New Roman"/>
                <w:color w:val="auto"/>
                <w:kern w:val="0"/>
                <w:sz w:val="24"/>
                <w:highlight w:val="none"/>
              </w:rPr>
              <w:t>。</w:t>
            </w:r>
          </w:p>
          <w:p w14:paraId="75ACC7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eastAsia" w:cs="Times New Roman"/>
                <w:b/>
                <w:bCs/>
                <w:color w:val="auto"/>
                <w:sz w:val="21"/>
                <w:szCs w:val="21"/>
                <w:highlight w:val="none"/>
                <w:lang w:val="en-US" w:eastAsia="zh-CN"/>
              </w:rPr>
              <w:t xml:space="preserve">3-3  </w:t>
            </w:r>
            <w:r>
              <w:rPr>
                <w:rFonts w:hint="default" w:ascii="Times New Roman" w:hAnsi="Times New Roman" w:cs="Times New Roman"/>
                <w:b/>
                <w:bCs/>
                <w:color w:val="auto"/>
                <w:sz w:val="21"/>
                <w:szCs w:val="21"/>
                <w:highlight w:val="none"/>
              </w:rPr>
              <w:t>非道路移动机械用柴油机排气污染物排放限值</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13"/>
              <w:gridCol w:w="2332"/>
              <w:gridCol w:w="2099"/>
              <w:gridCol w:w="1335"/>
            </w:tblGrid>
            <w:tr w14:paraId="7A7575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12" w:hRule="atLeast"/>
                <w:jc w:val="center"/>
              </w:trPr>
              <w:tc>
                <w:tcPr>
                  <w:tcW w:w="2113" w:type="dxa"/>
                  <w:vMerge w:val="restart"/>
                  <w:tcBorders>
                    <w:top w:val="single" w:color="auto" w:sz="12" w:space="0"/>
                    <w:left w:val="single" w:color="auto" w:sz="12" w:space="0"/>
                    <w:bottom w:val="single" w:color="auto" w:sz="6" w:space="0"/>
                    <w:right w:val="single" w:color="auto" w:sz="6" w:space="0"/>
                  </w:tcBorders>
                  <w:noWrap w:val="0"/>
                  <w:vAlign w:val="center"/>
                </w:tcPr>
                <w:p w14:paraId="3DEB009D">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highlight w:val="none"/>
                    </w:rPr>
                    <w:t>项目</w:t>
                  </w:r>
                </w:p>
              </w:tc>
              <w:tc>
                <w:tcPr>
                  <w:tcW w:w="5766" w:type="dxa"/>
                  <w:gridSpan w:val="3"/>
                  <w:tcBorders>
                    <w:top w:val="single" w:color="auto" w:sz="12" w:space="0"/>
                    <w:left w:val="single" w:color="auto" w:sz="6" w:space="0"/>
                    <w:bottom w:val="single" w:color="auto" w:sz="6" w:space="0"/>
                    <w:right w:val="single" w:color="auto" w:sz="12" w:space="0"/>
                  </w:tcBorders>
                  <w:noWrap w:val="0"/>
                  <w:vAlign w:val="center"/>
                </w:tcPr>
                <w:p w14:paraId="20476B69">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highlight w:val="none"/>
                    </w:rPr>
                    <w:t>标准值</w:t>
                  </w:r>
                </w:p>
              </w:tc>
            </w:tr>
            <w:tr w14:paraId="1EA2A6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2113" w:type="dxa"/>
                  <w:vMerge w:val="continue"/>
                  <w:tcBorders>
                    <w:top w:val="single" w:color="auto" w:sz="12" w:space="0"/>
                    <w:left w:val="single" w:color="auto" w:sz="12" w:space="0"/>
                    <w:bottom w:val="single" w:color="auto" w:sz="6" w:space="0"/>
                    <w:right w:val="single" w:color="auto" w:sz="6" w:space="0"/>
                  </w:tcBorders>
                  <w:noWrap w:val="0"/>
                  <w:vAlign w:val="center"/>
                </w:tcPr>
                <w:p w14:paraId="4A3B618D">
                  <w:pPr>
                    <w:keepNext w:val="0"/>
                    <w:keepLines w:val="0"/>
                    <w:pageBreakBefore w:val="0"/>
                    <w:widowControl/>
                    <w:kinsoku/>
                    <w:wordWrap/>
                    <w:overflowPunct/>
                    <w:topLinePunct w:val="0"/>
                    <w:autoSpaceDE/>
                    <w:autoSpaceDN/>
                    <w:bidi w:val="0"/>
                    <w:adjustRightInd/>
                    <w:snapToGrid w:val="0"/>
                    <w:jc w:val="left"/>
                    <w:textAlignment w:val="auto"/>
                    <w:rPr>
                      <w:rFonts w:hint="default" w:ascii="Times New Roman" w:hAnsi="Times New Roman" w:cs="Times New Roman"/>
                      <w:b/>
                      <w:bCs/>
                      <w:color w:val="auto"/>
                      <w:szCs w:val="21"/>
                      <w:highlight w:val="none"/>
                    </w:rPr>
                  </w:pPr>
                </w:p>
              </w:tc>
              <w:tc>
                <w:tcPr>
                  <w:tcW w:w="2332" w:type="dxa"/>
                  <w:tcBorders>
                    <w:top w:val="single" w:color="auto" w:sz="6" w:space="0"/>
                    <w:left w:val="single" w:color="auto" w:sz="6" w:space="0"/>
                    <w:bottom w:val="single" w:color="auto" w:sz="6" w:space="0"/>
                    <w:right w:val="single" w:color="auto" w:sz="6" w:space="0"/>
                  </w:tcBorders>
                  <w:noWrap w:val="0"/>
                  <w:vAlign w:val="center"/>
                </w:tcPr>
                <w:p w14:paraId="7DE8016F">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highlight w:val="none"/>
                    </w:rPr>
                    <w:t>类别</w:t>
                  </w:r>
                </w:p>
              </w:tc>
              <w:tc>
                <w:tcPr>
                  <w:tcW w:w="2099" w:type="dxa"/>
                  <w:tcBorders>
                    <w:top w:val="single" w:color="auto" w:sz="6" w:space="0"/>
                    <w:left w:val="single" w:color="auto" w:sz="6" w:space="0"/>
                    <w:bottom w:val="single" w:color="auto" w:sz="6" w:space="0"/>
                    <w:right w:val="single" w:color="auto" w:sz="6" w:space="0"/>
                  </w:tcBorders>
                  <w:noWrap w:val="0"/>
                  <w:vAlign w:val="center"/>
                </w:tcPr>
                <w:p w14:paraId="610C5468">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highlight w:val="none"/>
                    </w:rPr>
                    <w:t>限值</w:t>
                  </w:r>
                </w:p>
              </w:tc>
              <w:tc>
                <w:tcPr>
                  <w:tcW w:w="1335" w:type="dxa"/>
                  <w:tcBorders>
                    <w:top w:val="single" w:color="auto" w:sz="6" w:space="0"/>
                    <w:left w:val="single" w:color="auto" w:sz="6" w:space="0"/>
                    <w:bottom w:val="single" w:color="auto" w:sz="6" w:space="0"/>
                    <w:right w:val="single" w:color="auto" w:sz="12" w:space="0"/>
                  </w:tcBorders>
                  <w:noWrap w:val="0"/>
                  <w:vAlign w:val="center"/>
                </w:tcPr>
                <w:p w14:paraId="67656F5A">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highlight w:val="none"/>
                    </w:rPr>
                    <w:t>单位</w:t>
                  </w:r>
                </w:p>
              </w:tc>
            </w:tr>
            <w:tr w14:paraId="4295E8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299" w:hRule="atLeast"/>
                <w:jc w:val="center"/>
              </w:trPr>
              <w:tc>
                <w:tcPr>
                  <w:tcW w:w="2113" w:type="dxa"/>
                  <w:vMerge w:val="restart"/>
                  <w:tcBorders>
                    <w:top w:val="single" w:color="auto" w:sz="6" w:space="0"/>
                    <w:left w:val="single" w:color="auto" w:sz="12" w:space="0"/>
                    <w:bottom w:val="single" w:color="auto" w:sz="6" w:space="0"/>
                    <w:right w:val="single" w:color="auto" w:sz="6" w:space="0"/>
                  </w:tcBorders>
                  <w:noWrap w:val="0"/>
                  <w:vAlign w:val="center"/>
                </w:tcPr>
                <w:p w14:paraId="06FA314A">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130≤P</w:t>
                  </w:r>
                  <w:r>
                    <w:rPr>
                      <w:rFonts w:hint="default" w:ascii="Times New Roman" w:hAnsi="Times New Roman" w:cs="Times New Roman"/>
                      <w:color w:val="auto"/>
                      <w:highlight w:val="none"/>
                      <w:vertAlign w:val="subscript"/>
                    </w:rPr>
                    <w:t>max</w:t>
                  </w:r>
                  <w:r>
                    <w:rPr>
                      <w:rFonts w:hint="default" w:ascii="Times New Roman" w:hAnsi="Times New Roman" w:cs="Times New Roman"/>
                      <w:color w:val="auto"/>
                      <w:highlight w:val="none"/>
                    </w:rPr>
                    <w:t>≤560</w:t>
                  </w:r>
                </w:p>
              </w:tc>
              <w:tc>
                <w:tcPr>
                  <w:tcW w:w="2332" w:type="dxa"/>
                  <w:tcBorders>
                    <w:top w:val="single" w:color="auto" w:sz="6" w:space="0"/>
                    <w:left w:val="single" w:color="auto" w:sz="6" w:space="0"/>
                    <w:bottom w:val="single" w:color="auto" w:sz="6" w:space="0"/>
                    <w:right w:val="single" w:color="auto" w:sz="6" w:space="0"/>
                  </w:tcBorders>
                  <w:noWrap w:val="0"/>
                  <w:vAlign w:val="center"/>
                </w:tcPr>
                <w:p w14:paraId="753B1206">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CO</w:t>
                  </w:r>
                </w:p>
              </w:tc>
              <w:tc>
                <w:tcPr>
                  <w:tcW w:w="2099" w:type="dxa"/>
                  <w:tcBorders>
                    <w:top w:val="single" w:color="auto" w:sz="6" w:space="0"/>
                    <w:left w:val="single" w:color="auto" w:sz="6" w:space="0"/>
                    <w:bottom w:val="single" w:color="auto" w:sz="6" w:space="0"/>
                    <w:right w:val="single" w:color="auto" w:sz="6" w:space="0"/>
                  </w:tcBorders>
                  <w:noWrap w:val="0"/>
                  <w:vAlign w:val="center"/>
                </w:tcPr>
                <w:p w14:paraId="1BC3F235">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3.5</w:t>
                  </w:r>
                </w:p>
              </w:tc>
              <w:tc>
                <w:tcPr>
                  <w:tcW w:w="1335" w:type="dxa"/>
                  <w:vMerge w:val="restart"/>
                  <w:tcBorders>
                    <w:top w:val="single" w:color="auto" w:sz="6" w:space="0"/>
                    <w:left w:val="single" w:color="auto" w:sz="6" w:space="0"/>
                    <w:bottom w:val="single" w:color="auto" w:sz="6" w:space="0"/>
                    <w:right w:val="single" w:color="auto" w:sz="12" w:space="0"/>
                  </w:tcBorders>
                  <w:noWrap w:val="0"/>
                  <w:vAlign w:val="center"/>
                </w:tcPr>
                <w:p w14:paraId="1030F9C2">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g/kWh</w:t>
                  </w:r>
                </w:p>
              </w:tc>
            </w:tr>
            <w:tr w14:paraId="35F875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299" w:hRule="atLeast"/>
                <w:jc w:val="center"/>
              </w:trPr>
              <w:tc>
                <w:tcPr>
                  <w:tcW w:w="2113" w:type="dxa"/>
                  <w:vMerge w:val="continue"/>
                  <w:tcBorders>
                    <w:top w:val="single" w:color="auto" w:sz="6" w:space="0"/>
                    <w:left w:val="single" w:color="auto" w:sz="12" w:space="0"/>
                    <w:bottom w:val="single" w:color="auto" w:sz="6" w:space="0"/>
                    <w:right w:val="single" w:color="auto" w:sz="6" w:space="0"/>
                  </w:tcBorders>
                  <w:noWrap w:val="0"/>
                  <w:vAlign w:val="center"/>
                </w:tcPr>
                <w:p w14:paraId="5ABADB94">
                  <w:pPr>
                    <w:keepNext w:val="0"/>
                    <w:keepLines w:val="0"/>
                    <w:pageBreakBefore w:val="0"/>
                    <w:widowControl/>
                    <w:kinsoku/>
                    <w:wordWrap/>
                    <w:overflowPunct/>
                    <w:topLinePunct w:val="0"/>
                    <w:autoSpaceDE/>
                    <w:autoSpaceDN/>
                    <w:bidi w:val="0"/>
                    <w:adjustRightInd/>
                    <w:snapToGrid w:val="0"/>
                    <w:jc w:val="left"/>
                    <w:textAlignment w:val="auto"/>
                    <w:rPr>
                      <w:rFonts w:hint="default" w:ascii="Times New Roman" w:hAnsi="Times New Roman" w:cs="Times New Roman"/>
                      <w:color w:val="auto"/>
                      <w:szCs w:val="21"/>
                      <w:highlight w:val="none"/>
                    </w:rPr>
                  </w:pPr>
                </w:p>
              </w:tc>
              <w:tc>
                <w:tcPr>
                  <w:tcW w:w="2332" w:type="dxa"/>
                  <w:tcBorders>
                    <w:top w:val="single" w:color="auto" w:sz="6" w:space="0"/>
                    <w:left w:val="single" w:color="auto" w:sz="6" w:space="0"/>
                    <w:bottom w:val="single" w:color="auto" w:sz="6" w:space="0"/>
                    <w:right w:val="single" w:color="auto" w:sz="6" w:space="0"/>
                  </w:tcBorders>
                  <w:noWrap w:val="0"/>
                  <w:vAlign w:val="center"/>
                </w:tcPr>
                <w:p w14:paraId="6CEBE512">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HC</w:t>
                  </w:r>
                </w:p>
              </w:tc>
              <w:tc>
                <w:tcPr>
                  <w:tcW w:w="2099" w:type="dxa"/>
                  <w:tcBorders>
                    <w:top w:val="single" w:color="auto" w:sz="6" w:space="0"/>
                    <w:left w:val="single" w:color="auto" w:sz="6" w:space="0"/>
                    <w:bottom w:val="single" w:color="auto" w:sz="6" w:space="0"/>
                    <w:right w:val="single" w:color="auto" w:sz="6" w:space="0"/>
                  </w:tcBorders>
                  <w:noWrap w:val="0"/>
                  <w:vAlign w:val="center"/>
                </w:tcPr>
                <w:p w14:paraId="05C44A3B">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w:t>
                  </w:r>
                </w:p>
              </w:tc>
              <w:tc>
                <w:tcPr>
                  <w:tcW w:w="1335" w:type="dxa"/>
                  <w:vMerge w:val="continue"/>
                  <w:tcBorders>
                    <w:top w:val="single" w:color="auto" w:sz="6" w:space="0"/>
                    <w:left w:val="single" w:color="auto" w:sz="6" w:space="0"/>
                    <w:bottom w:val="single" w:color="auto" w:sz="6" w:space="0"/>
                    <w:right w:val="single" w:color="auto" w:sz="12" w:space="0"/>
                  </w:tcBorders>
                  <w:noWrap w:val="0"/>
                  <w:vAlign w:val="center"/>
                </w:tcPr>
                <w:p w14:paraId="7DB9C191">
                  <w:pPr>
                    <w:keepNext w:val="0"/>
                    <w:keepLines w:val="0"/>
                    <w:pageBreakBefore w:val="0"/>
                    <w:widowControl/>
                    <w:kinsoku/>
                    <w:wordWrap/>
                    <w:overflowPunct/>
                    <w:topLinePunct w:val="0"/>
                    <w:autoSpaceDE/>
                    <w:autoSpaceDN/>
                    <w:bidi w:val="0"/>
                    <w:adjustRightInd/>
                    <w:snapToGrid w:val="0"/>
                    <w:jc w:val="left"/>
                    <w:textAlignment w:val="auto"/>
                    <w:rPr>
                      <w:rFonts w:hint="default" w:ascii="Times New Roman" w:hAnsi="Times New Roman" w:cs="Times New Roman"/>
                      <w:color w:val="auto"/>
                      <w:szCs w:val="21"/>
                      <w:highlight w:val="none"/>
                    </w:rPr>
                  </w:pPr>
                </w:p>
              </w:tc>
            </w:tr>
            <w:tr w14:paraId="465247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99" w:hRule="atLeast"/>
                <w:jc w:val="center"/>
              </w:trPr>
              <w:tc>
                <w:tcPr>
                  <w:tcW w:w="2113" w:type="dxa"/>
                  <w:vMerge w:val="continue"/>
                  <w:tcBorders>
                    <w:top w:val="single" w:color="auto" w:sz="6" w:space="0"/>
                    <w:left w:val="single" w:color="auto" w:sz="12" w:space="0"/>
                    <w:bottom w:val="single" w:color="auto" w:sz="6" w:space="0"/>
                    <w:right w:val="single" w:color="auto" w:sz="6" w:space="0"/>
                  </w:tcBorders>
                  <w:noWrap w:val="0"/>
                  <w:vAlign w:val="center"/>
                </w:tcPr>
                <w:p w14:paraId="3D84C9C4">
                  <w:pPr>
                    <w:keepNext w:val="0"/>
                    <w:keepLines w:val="0"/>
                    <w:pageBreakBefore w:val="0"/>
                    <w:widowControl/>
                    <w:kinsoku/>
                    <w:wordWrap/>
                    <w:overflowPunct/>
                    <w:topLinePunct w:val="0"/>
                    <w:autoSpaceDE/>
                    <w:autoSpaceDN/>
                    <w:bidi w:val="0"/>
                    <w:adjustRightInd/>
                    <w:snapToGrid w:val="0"/>
                    <w:jc w:val="left"/>
                    <w:textAlignment w:val="auto"/>
                    <w:rPr>
                      <w:rFonts w:hint="default" w:ascii="Times New Roman" w:hAnsi="Times New Roman" w:cs="Times New Roman"/>
                      <w:color w:val="auto"/>
                      <w:szCs w:val="21"/>
                      <w:highlight w:val="none"/>
                    </w:rPr>
                  </w:pPr>
                </w:p>
              </w:tc>
              <w:tc>
                <w:tcPr>
                  <w:tcW w:w="2332" w:type="dxa"/>
                  <w:tcBorders>
                    <w:top w:val="single" w:color="auto" w:sz="6" w:space="0"/>
                    <w:left w:val="single" w:color="auto" w:sz="6" w:space="0"/>
                    <w:bottom w:val="single" w:color="auto" w:sz="6" w:space="0"/>
                    <w:right w:val="single" w:color="auto" w:sz="6" w:space="0"/>
                  </w:tcBorders>
                  <w:noWrap w:val="0"/>
                  <w:vAlign w:val="center"/>
                </w:tcPr>
                <w:p w14:paraId="3A9CDBA1">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X</w:t>
                  </w:r>
                </w:p>
              </w:tc>
              <w:tc>
                <w:tcPr>
                  <w:tcW w:w="2099" w:type="dxa"/>
                  <w:tcBorders>
                    <w:top w:val="single" w:color="auto" w:sz="6" w:space="0"/>
                    <w:left w:val="single" w:color="auto" w:sz="6" w:space="0"/>
                    <w:bottom w:val="single" w:color="auto" w:sz="6" w:space="0"/>
                    <w:right w:val="single" w:color="auto" w:sz="6" w:space="0"/>
                  </w:tcBorders>
                  <w:noWrap w:val="0"/>
                  <w:vAlign w:val="center"/>
                </w:tcPr>
                <w:p w14:paraId="3A545A28">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w:t>
                  </w:r>
                </w:p>
              </w:tc>
              <w:tc>
                <w:tcPr>
                  <w:tcW w:w="1335" w:type="dxa"/>
                  <w:vMerge w:val="continue"/>
                  <w:tcBorders>
                    <w:top w:val="single" w:color="auto" w:sz="6" w:space="0"/>
                    <w:left w:val="single" w:color="auto" w:sz="6" w:space="0"/>
                    <w:bottom w:val="single" w:color="auto" w:sz="6" w:space="0"/>
                    <w:right w:val="single" w:color="auto" w:sz="12" w:space="0"/>
                  </w:tcBorders>
                  <w:noWrap w:val="0"/>
                  <w:vAlign w:val="center"/>
                </w:tcPr>
                <w:p w14:paraId="4D3ABB2E">
                  <w:pPr>
                    <w:keepNext w:val="0"/>
                    <w:keepLines w:val="0"/>
                    <w:pageBreakBefore w:val="0"/>
                    <w:widowControl/>
                    <w:kinsoku/>
                    <w:wordWrap/>
                    <w:overflowPunct/>
                    <w:topLinePunct w:val="0"/>
                    <w:autoSpaceDE/>
                    <w:autoSpaceDN/>
                    <w:bidi w:val="0"/>
                    <w:adjustRightInd/>
                    <w:snapToGrid w:val="0"/>
                    <w:jc w:val="left"/>
                    <w:textAlignment w:val="auto"/>
                    <w:rPr>
                      <w:rFonts w:hint="default" w:ascii="Times New Roman" w:hAnsi="Times New Roman" w:cs="Times New Roman"/>
                      <w:color w:val="auto"/>
                      <w:szCs w:val="21"/>
                      <w:highlight w:val="none"/>
                    </w:rPr>
                  </w:pPr>
                </w:p>
              </w:tc>
            </w:tr>
            <w:tr w14:paraId="562843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299" w:hRule="atLeast"/>
                <w:jc w:val="center"/>
              </w:trPr>
              <w:tc>
                <w:tcPr>
                  <w:tcW w:w="2113" w:type="dxa"/>
                  <w:vMerge w:val="continue"/>
                  <w:tcBorders>
                    <w:top w:val="single" w:color="auto" w:sz="6" w:space="0"/>
                    <w:left w:val="single" w:color="auto" w:sz="12" w:space="0"/>
                    <w:bottom w:val="single" w:color="auto" w:sz="6" w:space="0"/>
                    <w:right w:val="single" w:color="auto" w:sz="6" w:space="0"/>
                  </w:tcBorders>
                  <w:noWrap w:val="0"/>
                  <w:vAlign w:val="center"/>
                </w:tcPr>
                <w:p w14:paraId="3041665B">
                  <w:pPr>
                    <w:keepNext w:val="0"/>
                    <w:keepLines w:val="0"/>
                    <w:pageBreakBefore w:val="0"/>
                    <w:widowControl/>
                    <w:kinsoku/>
                    <w:wordWrap/>
                    <w:overflowPunct/>
                    <w:topLinePunct w:val="0"/>
                    <w:autoSpaceDE/>
                    <w:autoSpaceDN/>
                    <w:bidi w:val="0"/>
                    <w:adjustRightInd/>
                    <w:snapToGrid w:val="0"/>
                    <w:jc w:val="left"/>
                    <w:textAlignment w:val="auto"/>
                    <w:rPr>
                      <w:rFonts w:hint="default" w:ascii="Times New Roman" w:hAnsi="Times New Roman" w:cs="Times New Roman"/>
                      <w:color w:val="auto"/>
                      <w:szCs w:val="21"/>
                      <w:highlight w:val="none"/>
                    </w:rPr>
                  </w:pPr>
                </w:p>
              </w:tc>
              <w:tc>
                <w:tcPr>
                  <w:tcW w:w="2332" w:type="dxa"/>
                  <w:tcBorders>
                    <w:top w:val="single" w:color="auto" w:sz="6" w:space="0"/>
                    <w:left w:val="single" w:color="auto" w:sz="6" w:space="0"/>
                    <w:bottom w:val="single" w:color="auto" w:sz="6" w:space="0"/>
                    <w:right w:val="single" w:color="auto" w:sz="6" w:space="0"/>
                  </w:tcBorders>
                  <w:noWrap w:val="0"/>
                  <w:vAlign w:val="center"/>
                </w:tcPr>
                <w:p w14:paraId="7FD1F2BB">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HC+NO</w:t>
                  </w:r>
                  <w:r>
                    <w:rPr>
                      <w:rFonts w:hint="default" w:ascii="Times New Roman" w:hAnsi="Times New Roman" w:cs="Times New Roman"/>
                      <w:color w:val="auto"/>
                      <w:highlight w:val="none"/>
                      <w:vertAlign w:val="subscript"/>
                    </w:rPr>
                    <w:t>X</w:t>
                  </w:r>
                </w:p>
              </w:tc>
              <w:tc>
                <w:tcPr>
                  <w:tcW w:w="2099" w:type="dxa"/>
                  <w:tcBorders>
                    <w:top w:val="single" w:color="auto" w:sz="6" w:space="0"/>
                    <w:left w:val="single" w:color="auto" w:sz="6" w:space="0"/>
                    <w:bottom w:val="single" w:color="auto" w:sz="6" w:space="0"/>
                    <w:right w:val="single" w:color="auto" w:sz="6" w:space="0"/>
                  </w:tcBorders>
                  <w:noWrap w:val="0"/>
                  <w:vAlign w:val="center"/>
                </w:tcPr>
                <w:p w14:paraId="24FE56F6">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4.0</w:t>
                  </w:r>
                </w:p>
              </w:tc>
              <w:tc>
                <w:tcPr>
                  <w:tcW w:w="1335" w:type="dxa"/>
                  <w:vMerge w:val="continue"/>
                  <w:tcBorders>
                    <w:top w:val="single" w:color="auto" w:sz="6" w:space="0"/>
                    <w:left w:val="single" w:color="auto" w:sz="6" w:space="0"/>
                    <w:bottom w:val="single" w:color="auto" w:sz="6" w:space="0"/>
                    <w:right w:val="single" w:color="auto" w:sz="12" w:space="0"/>
                  </w:tcBorders>
                  <w:noWrap w:val="0"/>
                  <w:vAlign w:val="center"/>
                </w:tcPr>
                <w:p w14:paraId="6E2BA0BC">
                  <w:pPr>
                    <w:keepNext w:val="0"/>
                    <w:keepLines w:val="0"/>
                    <w:pageBreakBefore w:val="0"/>
                    <w:widowControl/>
                    <w:kinsoku/>
                    <w:wordWrap/>
                    <w:overflowPunct/>
                    <w:topLinePunct w:val="0"/>
                    <w:autoSpaceDE/>
                    <w:autoSpaceDN/>
                    <w:bidi w:val="0"/>
                    <w:adjustRightInd/>
                    <w:snapToGrid w:val="0"/>
                    <w:jc w:val="left"/>
                    <w:textAlignment w:val="auto"/>
                    <w:rPr>
                      <w:rFonts w:hint="default" w:ascii="Times New Roman" w:hAnsi="Times New Roman" w:cs="Times New Roman"/>
                      <w:color w:val="auto"/>
                      <w:szCs w:val="21"/>
                      <w:highlight w:val="none"/>
                    </w:rPr>
                  </w:pPr>
                </w:p>
              </w:tc>
            </w:tr>
            <w:tr w14:paraId="0D8A89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494" w:hRule="atLeast"/>
                <w:jc w:val="center"/>
              </w:trPr>
              <w:tc>
                <w:tcPr>
                  <w:tcW w:w="2113" w:type="dxa"/>
                  <w:tcBorders>
                    <w:top w:val="single" w:color="auto" w:sz="6" w:space="0"/>
                    <w:left w:val="single" w:color="auto" w:sz="12" w:space="0"/>
                    <w:bottom w:val="single" w:color="auto" w:sz="12" w:space="0"/>
                    <w:right w:val="single" w:color="auto" w:sz="6" w:space="0"/>
                  </w:tcBorders>
                  <w:noWrap w:val="0"/>
                  <w:vAlign w:val="center"/>
                </w:tcPr>
                <w:p w14:paraId="0B8EC5F5">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标准</w:t>
                  </w:r>
                </w:p>
              </w:tc>
              <w:tc>
                <w:tcPr>
                  <w:tcW w:w="5766" w:type="dxa"/>
                  <w:gridSpan w:val="3"/>
                  <w:tcBorders>
                    <w:top w:val="single" w:color="auto" w:sz="6" w:space="0"/>
                    <w:left w:val="single" w:color="auto" w:sz="6" w:space="0"/>
                    <w:bottom w:val="single" w:color="auto" w:sz="12" w:space="0"/>
                    <w:right w:val="single" w:color="auto" w:sz="12" w:space="0"/>
                  </w:tcBorders>
                  <w:noWrap w:val="0"/>
                  <w:vAlign w:val="center"/>
                </w:tcPr>
                <w:p w14:paraId="18E70540">
                  <w:pPr>
                    <w:keepNext w:val="0"/>
                    <w:keepLines w:val="0"/>
                    <w:pageBreakBefore w:val="0"/>
                    <w:widowControl/>
                    <w:kinsoku/>
                    <w:wordWrap/>
                    <w:overflowPunct/>
                    <w:topLinePunct w:val="0"/>
                    <w:autoSpaceDE/>
                    <w:autoSpaceDN/>
                    <w:bidi w:val="0"/>
                    <w:adjustRightInd/>
                    <w:snapToGrid w:val="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《非道路移动机械用柴油机排气污染物排放限值及测量方法》GB20891-2014第Ⅲ阶段</w:t>
                  </w:r>
                </w:p>
              </w:tc>
            </w:tr>
          </w:tbl>
          <w:p w14:paraId="2869BB00">
            <w:pPr>
              <w:spacing w:line="360" w:lineRule="auto"/>
              <w:ind w:firstLine="480" w:firstLineChars="200"/>
              <w:rPr>
                <w:rFonts w:hint="default" w:ascii="Times New Roman" w:hAnsi="Times New Roman" w:cs="Times New Roman"/>
                <w:color w:val="auto"/>
                <w:kern w:val="6"/>
                <w:sz w:val="24"/>
                <w:highlight w:val="none"/>
              </w:rPr>
            </w:pPr>
            <w:r>
              <w:rPr>
                <w:rFonts w:hint="eastAsia" w:ascii="Times New Roman" w:hAnsi="Times New Roman" w:cs="Times New Roman"/>
                <w:color w:val="auto"/>
                <w:kern w:val="6"/>
                <w:sz w:val="24"/>
                <w:highlight w:val="none"/>
                <w:lang w:val="en-US" w:eastAsia="zh-CN"/>
              </w:rPr>
              <w:t>②</w:t>
            </w:r>
            <w:r>
              <w:rPr>
                <w:rFonts w:hint="default" w:ascii="Times New Roman" w:hAnsi="Times New Roman" w:cs="Times New Roman"/>
                <w:color w:val="auto"/>
                <w:kern w:val="6"/>
                <w:sz w:val="24"/>
                <w:highlight w:val="none"/>
              </w:rPr>
              <w:t>施工扬尘《施工场界扬尘排放限值》（DB61/1078-2017）环境空气总悬浮颗粒物（TSP）浓度限值，具体控制指标详见下表</w:t>
            </w:r>
            <w:r>
              <w:rPr>
                <w:rFonts w:hint="eastAsia" w:cs="Times New Roman"/>
                <w:color w:val="auto"/>
                <w:kern w:val="6"/>
                <w:sz w:val="24"/>
                <w:highlight w:val="none"/>
                <w:lang w:val="en-US" w:eastAsia="zh-CN"/>
              </w:rPr>
              <w:t>3-4</w:t>
            </w:r>
            <w:r>
              <w:rPr>
                <w:rFonts w:hint="default" w:ascii="Times New Roman" w:hAnsi="Times New Roman" w:cs="Times New Roman"/>
                <w:color w:val="auto"/>
                <w:kern w:val="6"/>
                <w:sz w:val="24"/>
                <w:highlight w:val="none"/>
              </w:rPr>
              <w:t>。</w:t>
            </w:r>
          </w:p>
          <w:p w14:paraId="08D24A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eastAsia" w:cs="Times New Roman"/>
                <w:b/>
                <w:bCs/>
                <w:color w:val="auto"/>
                <w:sz w:val="21"/>
                <w:szCs w:val="21"/>
                <w:highlight w:val="none"/>
                <w:lang w:val="en-US" w:eastAsia="zh-CN"/>
              </w:rPr>
              <w:t xml:space="preserve">3-4  </w:t>
            </w:r>
            <w:r>
              <w:rPr>
                <w:rFonts w:hint="default" w:ascii="Times New Roman" w:hAnsi="Times New Roman" w:cs="Times New Roman"/>
                <w:b/>
                <w:bCs/>
                <w:color w:val="auto"/>
                <w:sz w:val="21"/>
                <w:szCs w:val="21"/>
                <w:highlight w:val="none"/>
              </w:rPr>
              <w:t>施工场界扬尘（总悬浮颗粒物）浓度限值</w:t>
            </w:r>
          </w:p>
          <w:tbl>
            <w:tblPr>
              <w:tblStyle w:val="19"/>
              <w:tblW w:w="80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99"/>
              <w:gridCol w:w="2066"/>
              <w:gridCol w:w="1110"/>
              <w:gridCol w:w="2769"/>
              <w:gridCol w:w="1655"/>
            </w:tblGrid>
            <w:tr w14:paraId="6B2CD6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499" w:type="dxa"/>
                  <w:noWrap w:val="0"/>
                  <w:vAlign w:val="center"/>
                </w:tcPr>
                <w:p w14:paraId="43587832">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highlight w:val="none"/>
                    </w:rPr>
                    <w:t>序号</w:t>
                  </w:r>
                </w:p>
              </w:tc>
              <w:tc>
                <w:tcPr>
                  <w:tcW w:w="2066" w:type="dxa"/>
                  <w:noWrap w:val="0"/>
                  <w:vAlign w:val="center"/>
                </w:tcPr>
                <w:p w14:paraId="25D4B125">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highlight w:val="none"/>
                    </w:rPr>
                    <w:t>污染物</w:t>
                  </w:r>
                </w:p>
              </w:tc>
              <w:tc>
                <w:tcPr>
                  <w:tcW w:w="1110" w:type="dxa"/>
                  <w:noWrap w:val="0"/>
                  <w:vAlign w:val="center"/>
                </w:tcPr>
                <w:p w14:paraId="0DC97232">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highlight w:val="none"/>
                    </w:rPr>
                    <w:t>监控点</w:t>
                  </w:r>
                </w:p>
              </w:tc>
              <w:tc>
                <w:tcPr>
                  <w:tcW w:w="2769" w:type="dxa"/>
                  <w:noWrap w:val="0"/>
                  <w:vAlign w:val="center"/>
                </w:tcPr>
                <w:p w14:paraId="601DCECA">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highlight w:val="none"/>
                    </w:rPr>
                    <w:t>施工阶段</w:t>
                  </w:r>
                </w:p>
              </w:tc>
              <w:tc>
                <w:tcPr>
                  <w:tcW w:w="1655" w:type="dxa"/>
                  <w:noWrap w:val="0"/>
                  <w:vAlign w:val="center"/>
                </w:tcPr>
                <w:p w14:paraId="70DB3A2A">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highlight w:val="none"/>
                    </w:rPr>
                    <w:t>小时平均浓度限值（mg/m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rPr>
                    <w:t>）</w:t>
                  </w:r>
                </w:p>
              </w:tc>
            </w:tr>
            <w:tr w14:paraId="0B5197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499" w:type="dxa"/>
                  <w:noWrap w:val="0"/>
                  <w:vAlign w:val="center"/>
                </w:tcPr>
                <w:p w14:paraId="3DB512CB">
                  <w:pPr>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1</w:t>
                  </w:r>
                </w:p>
              </w:tc>
              <w:tc>
                <w:tcPr>
                  <w:tcW w:w="2066" w:type="dxa"/>
                  <w:vMerge w:val="restart"/>
                  <w:noWrap w:val="0"/>
                  <w:vAlign w:val="center"/>
                </w:tcPr>
                <w:p w14:paraId="253C36B7">
                  <w:pPr>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施工场界扬尘（总悬浮颗粒物TSP）</w:t>
                  </w:r>
                </w:p>
              </w:tc>
              <w:tc>
                <w:tcPr>
                  <w:tcW w:w="1110" w:type="dxa"/>
                  <w:vMerge w:val="restart"/>
                  <w:noWrap w:val="0"/>
                  <w:vAlign w:val="center"/>
                </w:tcPr>
                <w:p w14:paraId="3DC7D21B">
                  <w:pPr>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周界外浓度最高点</w:t>
                  </w:r>
                </w:p>
              </w:tc>
              <w:tc>
                <w:tcPr>
                  <w:tcW w:w="2769" w:type="dxa"/>
                  <w:noWrap w:val="0"/>
                  <w:vAlign w:val="center"/>
                </w:tcPr>
                <w:p w14:paraId="39E35E17">
                  <w:pPr>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拆除、土方及地基处理工程</w:t>
                  </w:r>
                </w:p>
              </w:tc>
              <w:tc>
                <w:tcPr>
                  <w:tcW w:w="1655" w:type="dxa"/>
                  <w:noWrap w:val="0"/>
                  <w:vAlign w:val="center"/>
                </w:tcPr>
                <w:p w14:paraId="2E2BD2B8">
                  <w:pPr>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≤0.8</w:t>
                  </w:r>
                </w:p>
              </w:tc>
            </w:tr>
            <w:tr w14:paraId="04FF99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499" w:type="dxa"/>
                  <w:noWrap w:val="0"/>
                  <w:vAlign w:val="center"/>
                </w:tcPr>
                <w:p w14:paraId="507A1E63">
                  <w:pPr>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2</w:t>
                  </w:r>
                </w:p>
              </w:tc>
              <w:tc>
                <w:tcPr>
                  <w:tcW w:w="2066" w:type="dxa"/>
                  <w:vMerge w:val="continue"/>
                  <w:noWrap w:val="0"/>
                  <w:vAlign w:val="center"/>
                </w:tcPr>
                <w:p w14:paraId="4A2FECD6">
                  <w:pPr>
                    <w:widowControl/>
                    <w:jc w:val="left"/>
                    <w:rPr>
                      <w:rFonts w:hint="default" w:ascii="Times New Roman" w:hAnsi="Times New Roman" w:cs="Times New Roman"/>
                      <w:color w:val="auto"/>
                      <w:szCs w:val="21"/>
                      <w:highlight w:val="none"/>
                    </w:rPr>
                  </w:pPr>
                </w:p>
              </w:tc>
              <w:tc>
                <w:tcPr>
                  <w:tcW w:w="1110" w:type="dxa"/>
                  <w:vMerge w:val="continue"/>
                  <w:noWrap w:val="0"/>
                  <w:vAlign w:val="center"/>
                </w:tcPr>
                <w:p w14:paraId="7FF1A7A7">
                  <w:pPr>
                    <w:widowControl/>
                    <w:jc w:val="left"/>
                    <w:rPr>
                      <w:rFonts w:hint="default" w:ascii="Times New Roman" w:hAnsi="Times New Roman" w:cs="Times New Roman"/>
                      <w:color w:val="auto"/>
                      <w:szCs w:val="21"/>
                      <w:highlight w:val="none"/>
                    </w:rPr>
                  </w:pPr>
                </w:p>
              </w:tc>
              <w:tc>
                <w:tcPr>
                  <w:tcW w:w="2769" w:type="dxa"/>
                  <w:noWrap w:val="0"/>
                  <w:vAlign w:val="center"/>
                </w:tcPr>
                <w:p w14:paraId="3AEE11FB">
                  <w:pPr>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基础、主体结构及装饰工程</w:t>
                  </w:r>
                </w:p>
              </w:tc>
              <w:tc>
                <w:tcPr>
                  <w:tcW w:w="1655" w:type="dxa"/>
                  <w:noWrap w:val="0"/>
                  <w:vAlign w:val="center"/>
                </w:tcPr>
                <w:p w14:paraId="19E55CAA">
                  <w:pPr>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≤0.7</w:t>
                  </w:r>
                </w:p>
              </w:tc>
            </w:tr>
          </w:tbl>
          <w:p w14:paraId="415B50E4">
            <w:pPr>
              <w:pStyle w:val="9"/>
              <w:keepNext w:val="0"/>
              <w:keepLines w:val="0"/>
              <w:pageBreakBefore w:val="0"/>
              <w:widowControl w:val="0"/>
              <w:kinsoku/>
              <w:wordWrap/>
              <w:overflowPunct/>
              <w:topLinePunct w:val="0"/>
              <w:autoSpaceDE/>
              <w:autoSpaceDN/>
              <w:bidi w:val="0"/>
              <w:adjustRightInd/>
              <w:snapToGrid w:val="0"/>
              <w:spacing w:beforeLines="0" w:line="360" w:lineRule="auto"/>
              <w:ind w:left="0" w:leftChars="0" w:right="0" w:rightChars="0" w:firstLine="422" w:firstLineChars="20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注：CO和NO</w:t>
            </w:r>
            <w:r>
              <w:rPr>
                <w:rFonts w:hint="default" w:ascii="Times New Roman" w:hAnsi="Times New Roman" w:cs="Times New Roman"/>
                <w:b/>
                <w:bCs/>
                <w:color w:val="auto"/>
                <w:sz w:val="21"/>
                <w:szCs w:val="21"/>
                <w:highlight w:val="none"/>
                <w:vertAlign w:val="subscript"/>
              </w:rPr>
              <w:t>2</w:t>
            </w:r>
            <w:r>
              <w:rPr>
                <w:rFonts w:hint="default" w:ascii="Times New Roman" w:hAnsi="Times New Roman" w:cs="Times New Roman"/>
                <w:b/>
                <w:bCs/>
                <w:color w:val="auto"/>
                <w:sz w:val="21"/>
                <w:szCs w:val="21"/>
                <w:highlight w:val="none"/>
              </w:rPr>
              <w:t>浓度限值参照执行《工作场所有害因素职业接触限值》（GBZ2-2007）中短时间接触容许浓度，CO≤30mg/m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，NO</w:t>
            </w:r>
            <w:r>
              <w:rPr>
                <w:rFonts w:hint="default" w:ascii="Times New Roman" w:hAnsi="Times New Roman" w:cs="Times New Roman"/>
                <w:b/>
                <w:bCs/>
                <w:color w:val="auto"/>
                <w:sz w:val="21"/>
                <w:szCs w:val="21"/>
                <w:highlight w:val="none"/>
                <w:vertAlign w:val="subscript"/>
              </w:rPr>
              <w:t>2</w:t>
            </w:r>
            <w:r>
              <w:rPr>
                <w:rFonts w:hint="default" w:ascii="Times New Roman" w:hAnsi="Times New Roman" w:cs="Times New Roman"/>
                <w:b/>
                <w:bCs/>
                <w:color w:val="auto"/>
                <w:sz w:val="21"/>
                <w:szCs w:val="21"/>
                <w:highlight w:val="none"/>
              </w:rPr>
              <w:t>≤10mg/m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p w14:paraId="50D12AFE">
            <w:pPr>
              <w:adjustRightInd w:val="0"/>
              <w:snapToGrid w:val="0"/>
              <w:spacing w:line="360" w:lineRule="auto"/>
              <w:ind w:firstLine="480" w:firstLineChars="200"/>
              <w:rPr>
                <w:rFonts w:hint="eastAsia" w:ascii="Times New Roman" w:hAnsi="Times New Roman" w:cs="Times New Roman" w:eastAsiaTheme="minorEastAsia"/>
                <w:color w:val="auto"/>
                <w:kern w:val="0"/>
                <w:sz w:val="24"/>
                <w:szCs w:val="22"/>
                <w:highlight w:val="none"/>
                <w:lang w:val="en-US" w:eastAsia="zh-CN"/>
              </w:rPr>
            </w:pPr>
            <w:r>
              <w:rPr>
                <w:rFonts w:hint="eastAsia" w:ascii="Times New Roman" w:hAnsi="Times New Roman" w:cs="Times New Roman" w:eastAsiaTheme="minorEastAsia"/>
                <w:color w:val="auto"/>
                <w:kern w:val="0"/>
                <w:sz w:val="24"/>
                <w:szCs w:val="22"/>
                <w:highlight w:val="none"/>
                <w:lang w:eastAsia="zh-CN"/>
              </w:rPr>
              <w:t>（</w:t>
            </w:r>
            <w:r>
              <w:rPr>
                <w:rFonts w:hint="eastAsia" w:ascii="Times New Roman" w:hAnsi="Times New Roman" w:cs="Times New Roman" w:eastAsiaTheme="minorEastAsia"/>
                <w:color w:val="auto"/>
                <w:kern w:val="0"/>
                <w:sz w:val="24"/>
                <w:szCs w:val="22"/>
                <w:highlight w:val="none"/>
                <w:lang w:val="en-US" w:eastAsia="zh-CN"/>
              </w:rPr>
              <w:t>2</w:t>
            </w:r>
            <w:r>
              <w:rPr>
                <w:rFonts w:hint="eastAsia" w:ascii="Times New Roman" w:hAnsi="Times New Roman" w:cs="Times New Roman" w:eastAsiaTheme="minorEastAsia"/>
                <w:color w:val="auto"/>
                <w:kern w:val="0"/>
                <w:sz w:val="24"/>
                <w:szCs w:val="22"/>
                <w:highlight w:val="none"/>
                <w:lang w:eastAsia="zh-CN"/>
              </w:rPr>
              <w:t>）</w:t>
            </w:r>
            <w:r>
              <w:rPr>
                <w:rFonts w:hint="eastAsia" w:ascii="Times New Roman" w:hAnsi="Times New Roman" w:cs="Times New Roman" w:eastAsiaTheme="minorEastAsia"/>
                <w:color w:val="auto"/>
                <w:kern w:val="0"/>
                <w:sz w:val="24"/>
                <w:szCs w:val="22"/>
                <w:highlight w:val="none"/>
                <w:lang w:val="en-US" w:eastAsia="zh-CN"/>
              </w:rPr>
              <w:t>运营期</w:t>
            </w:r>
          </w:p>
          <w:p w14:paraId="7DA5042F">
            <w:pPr>
              <w:adjustRightInd w:val="0"/>
              <w:snapToGrid w:val="0"/>
              <w:spacing w:line="360" w:lineRule="auto"/>
              <w:ind w:firstLine="480" w:firstLineChars="200"/>
              <w:rPr>
                <w:color w:val="auto"/>
                <w:highlight w:val="none"/>
              </w:rPr>
            </w:pPr>
            <w:r>
              <w:rPr>
                <w:rFonts w:hint="eastAsia" w:cs="Times New Roman" w:eastAsiaTheme="minorEastAsia"/>
                <w:color w:val="auto"/>
                <w:kern w:val="0"/>
                <w:sz w:val="24"/>
                <w:szCs w:val="22"/>
                <w:highlight w:val="none"/>
                <w:lang w:val="en-US" w:eastAsia="zh-CN"/>
              </w:rPr>
              <w:t>根据《水泥工业大气污染物排放标准》（GB4915-2013），“水泥制品生产”释义为：预拌混凝土、砂浆和混凝土预制件的生产，不包括水泥用于施工现场搅拌的过程。本项目生产干混砂浆，在释义范围内，因此本项目排放的颗粒物执行《水泥工业大气污染物排放标准》(GB 4915-2013)表2水泥制品生产有组织特别排放限值（≤10mg/m</w:t>
            </w:r>
            <w:r>
              <w:rPr>
                <w:rFonts w:hint="eastAsia" w:cs="Times New Roman" w:eastAsiaTheme="minorEastAsia"/>
                <w:color w:val="auto"/>
                <w:kern w:val="0"/>
                <w:sz w:val="24"/>
                <w:szCs w:val="22"/>
                <w:highlight w:val="none"/>
                <w:vertAlign w:val="superscript"/>
                <w:lang w:val="en-US" w:eastAsia="zh-CN"/>
              </w:rPr>
              <w:t>3</w:t>
            </w:r>
            <w:r>
              <w:rPr>
                <w:rFonts w:hint="eastAsia"/>
                <w:lang w:eastAsia="zh-CN"/>
              </w:rPr>
              <w:t>）</w:t>
            </w:r>
            <w:r>
              <w:rPr>
                <w:rFonts w:hint="eastAsia" w:cs="Times New Roman" w:eastAsiaTheme="minorEastAsia"/>
                <w:color w:val="auto"/>
                <w:kern w:val="0"/>
                <w:sz w:val="24"/>
                <w:szCs w:val="22"/>
                <w:highlight w:val="none"/>
                <w:lang w:val="en-US" w:eastAsia="zh-CN"/>
              </w:rPr>
              <w:t>和表3无组织排放限值（≤0.5mg/m</w:t>
            </w:r>
            <w:r>
              <w:rPr>
                <w:rFonts w:hint="eastAsia" w:cs="Times New Roman" w:eastAsiaTheme="minorEastAsia"/>
                <w:color w:val="auto"/>
                <w:kern w:val="0"/>
                <w:sz w:val="24"/>
                <w:szCs w:val="22"/>
                <w:highlight w:val="none"/>
                <w:vertAlign w:val="superscript"/>
                <w:lang w:val="en-US" w:eastAsia="zh-CN"/>
              </w:rPr>
              <w:t>3</w:t>
            </w:r>
            <w:r>
              <w:rPr>
                <w:rFonts w:hint="eastAsia"/>
                <w:lang w:eastAsia="zh-CN"/>
              </w:rPr>
              <w:t>）</w:t>
            </w:r>
            <w:r>
              <w:rPr>
                <w:rFonts w:hint="eastAsia" w:cs="Times New Roman" w:eastAsiaTheme="minorEastAsia"/>
                <w:color w:val="auto"/>
                <w:kern w:val="0"/>
                <w:sz w:val="24"/>
                <w:szCs w:val="22"/>
                <w:highlight w:val="none"/>
                <w:lang w:val="en-US" w:eastAsia="zh-CN"/>
              </w:rPr>
              <w:t>。</w:t>
            </w:r>
          </w:p>
          <w:p w14:paraId="7B52EB26">
            <w:pPr>
              <w:adjustRightInd w:val="0"/>
              <w:snapToGrid w:val="0"/>
              <w:spacing w:line="360" w:lineRule="auto"/>
              <w:ind w:firstLine="482" w:firstLineChars="200"/>
              <w:rPr>
                <w:rFonts w:ascii="Times New Roman" w:hAnsi="Times New Roman" w:cs="Times New Roman" w:eastAsiaTheme="minorEastAsia"/>
                <w:b/>
                <w:bCs/>
                <w:color w:val="auto"/>
                <w:kern w:val="0"/>
                <w:sz w:val="24"/>
                <w:szCs w:val="22"/>
                <w:highlight w:val="none"/>
              </w:rPr>
            </w:pPr>
            <w:r>
              <w:rPr>
                <w:rFonts w:hint="eastAsia" w:cs="Times New Roman" w:eastAsiaTheme="minorEastAsia"/>
                <w:b/>
                <w:bCs/>
                <w:color w:val="auto"/>
                <w:kern w:val="0"/>
                <w:sz w:val="24"/>
                <w:szCs w:val="22"/>
                <w:highlight w:val="none"/>
                <w:lang w:val="en-US" w:eastAsia="zh-CN"/>
              </w:rPr>
              <w:t>2.</w:t>
            </w:r>
            <w:r>
              <w:rPr>
                <w:rFonts w:ascii="Times New Roman" w:hAnsi="Times New Roman" w:cs="Times New Roman" w:eastAsiaTheme="minorEastAsia"/>
                <w:b/>
                <w:bCs/>
                <w:color w:val="auto"/>
                <w:kern w:val="0"/>
                <w:sz w:val="24"/>
                <w:szCs w:val="22"/>
                <w:highlight w:val="none"/>
              </w:rPr>
              <w:t>噪声排放标准</w:t>
            </w:r>
          </w:p>
          <w:p w14:paraId="45607985">
            <w:pPr>
              <w:adjustRightInd w:val="0"/>
              <w:snapToGrid w:val="0"/>
              <w:spacing w:line="360" w:lineRule="auto"/>
              <w:ind w:firstLine="480" w:firstLineChars="200"/>
              <w:rPr>
                <w:rFonts w:hint="default" w:ascii="Times New Roman" w:hAnsi="Times New Roman" w:cs="Times New Roman" w:eastAsiaTheme="minorEastAsia"/>
                <w:color w:val="auto"/>
                <w:kern w:val="0"/>
                <w:sz w:val="24"/>
                <w:szCs w:val="22"/>
                <w:highlight w:val="none"/>
                <w:lang w:val="en-US" w:eastAsia="zh-CN"/>
              </w:rPr>
            </w:pPr>
            <w:r>
              <w:rPr>
                <w:rFonts w:ascii="Times New Roman" w:hAnsi="Times New Roman" w:cs="Times New Roman" w:eastAsiaTheme="minorEastAsia"/>
                <w:color w:val="auto"/>
                <w:kern w:val="0"/>
                <w:sz w:val="24"/>
                <w:szCs w:val="22"/>
                <w:highlight w:val="none"/>
              </w:rPr>
              <w:t>运营期厂界噪声执行《工业企业厂界环境噪声排放标准》（GB12348-2008）</w:t>
            </w:r>
            <w:r>
              <w:rPr>
                <w:rFonts w:hint="eastAsia" w:ascii="Times New Roman" w:hAnsi="Times New Roman" w:cs="Times New Roman" w:eastAsiaTheme="minorEastAsia"/>
                <w:color w:val="auto"/>
                <w:kern w:val="0"/>
                <w:sz w:val="24"/>
                <w:szCs w:val="22"/>
                <w:highlight w:val="none"/>
                <w:lang w:val="en-US" w:eastAsia="zh-CN"/>
              </w:rPr>
              <w:t>表1中3</w:t>
            </w:r>
            <w:r>
              <w:rPr>
                <w:rFonts w:ascii="Times New Roman" w:hAnsi="Times New Roman" w:cs="Times New Roman" w:eastAsiaTheme="minorEastAsia"/>
                <w:color w:val="auto"/>
                <w:kern w:val="0"/>
                <w:sz w:val="24"/>
                <w:szCs w:val="22"/>
                <w:highlight w:val="none"/>
              </w:rPr>
              <w:t>类标准。</w:t>
            </w:r>
            <w:r>
              <w:rPr>
                <w:rFonts w:hint="eastAsia" w:ascii="Times New Roman" w:hAnsi="Times New Roman" w:cs="Times New Roman" w:eastAsiaTheme="minorEastAsia"/>
                <w:color w:val="auto"/>
                <w:kern w:val="0"/>
                <w:sz w:val="24"/>
                <w:szCs w:val="22"/>
                <w:highlight w:val="none"/>
                <w:lang w:val="en-US" w:eastAsia="zh-CN"/>
              </w:rPr>
              <w:t>具体标准见下表3-</w:t>
            </w:r>
            <w:r>
              <w:rPr>
                <w:rFonts w:hint="eastAsia" w:cs="Times New Roman" w:eastAsiaTheme="minorEastAsia"/>
                <w:color w:val="auto"/>
                <w:kern w:val="0"/>
                <w:sz w:val="24"/>
                <w:szCs w:val="22"/>
                <w:highlight w:val="none"/>
                <w:lang w:val="en-US" w:eastAsia="zh-CN"/>
              </w:rPr>
              <w:t>5</w:t>
            </w:r>
            <w:r>
              <w:rPr>
                <w:rFonts w:hint="eastAsia" w:ascii="Times New Roman" w:hAnsi="Times New Roman" w:cs="Times New Roman" w:eastAsiaTheme="minorEastAsia"/>
                <w:color w:val="auto"/>
                <w:kern w:val="0"/>
                <w:sz w:val="24"/>
                <w:szCs w:val="22"/>
                <w:highlight w:val="none"/>
                <w:lang w:val="en-US" w:eastAsia="zh-CN"/>
              </w:rPr>
              <w:t>。</w:t>
            </w:r>
          </w:p>
          <w:p w14:paraId="0C6E3B76">
            <w:pPr>
              <w:adjustRightInd w:val="0"/>
              <w:snapToGrid w:val="0"/>
              <w:spacing w:line="240" w:lineRule="auto"/>
              <w:ind w:firstLine="422" w:firstLineChars="200"/>
              <w:jc w:val="center"/>
              <w:rPr>
                <w:rFonts w:hint="default" w:ascii="Times New Roman" w:hAnsi="Times New Roman" w:cs="Times New Roman" w:eastAsiaTheme="minorEastAsia"/>
                <w:b/>
                <w:bCs/>
                <w:color w:val="auto"/>
                <w:kern w:val="0"/>
                <w:sz w:val="21"/>
                <w:szCs w:val="21"/>
                <w:highlight w:val="none"/>
                <w:lang w:val="en-US" w:eastAsia="zh-CN"/>
              </w:rPr>
            </w:pPr>
            <w:r>
              <w:rPr>
                <w:rFonts w:hint="eastAsia" w:ascii="Times New Roman" w:hAnsi="Times New Roman" w:cs="Times New Roman" w:eastAsiaTheme="minorEastAsia"/>
                <w:b/>
                <w:bCs/>
                <w:color w:val="auto"/>
                <w:kern w:val="0"/>
                <w:sz w:val="21"/>
                <w:szCs w:val="21"/>
                <w:highlight w:val="none"/>
                <w:lang w:val="en-US" w:eastAsia="zh-CN"/>
              </w:rPr>
              <w:t>表</w:t>
            </w:r>
            <w:r>
              <w:rPr>
                <w:rFonts w:hint="default" w:ascii="Times New Roman" w:hAnsi="Times New Roman" w:cs="Times New Roman" w:eastAsiaTheme="minorEastAsia"/>
                <w:b/>
                <w:bCs/>
                <w:color w:val="auto"/>
                <w:kern w:val="0"/>
                <w:sz w:val="21"/>
                <w:szCs w:val="21"/>
                <w:highlight w:val="none"/>
                <w:lang w:val="en-US" w:eastAsia="zh-CN"/>
              </w:rPr>
              <w:t>3-</w:t>
            </w:r>
            <w:r>
              <w:rPr>
                <w:rFonts w:hint="eastAsia" w:cs="Times New Roman" w:eastAsiaTheme="minorEastAsia"/>
                <w:b/>
                <w:bCs/>
                <w:color w:val="auto"/>
                <w:kern w:val="0"/>
                <w:sz w:val="21"/>
                <w:szCs w:val="21"/>
                <w:highlight w:val="none"/>
                <w:lang w:val="en-US" w:eastAsia="zh-CN"/>
              </w:rPr>
              <w:t>5</w:t>
            </w:r>
            <w:r>
              <w:rPr>
                <w:rFonts w:hint="default" w:ascii="Times New Roman" w:hAnsi="Times New Roman" w:cs="Times New Roman" w:eastAsiaTheme="minorEastAsia"/>
                <w:b/>
                <w:bCs/>
                <w:color w:val="auto"/>
                <w:kern w:val="0"/>
                <w:sz w:val="21"/>
                <w:szCs w:val="21"/>
                <w:highlight w:val="none"/>
                <w:lang w:val="en-US" w:eastAsia="zh-CN"/>
              </w:rPr>
              <w:t xml:space="preserve"> </w:t>
            </w:r>
            <w:r>
              <w:rPr>
                <w:rFonts w:hint="eastAsia" w:ascii="Times New Roman" w:hAnsi="Times New Roman" w:cs="Times New Roman" w:eastAsiaTheme="minorEastAsia"/>
                <w:b/>
                <w:bCs/>
                <w:color w:val="auto"/>
                <w:kern w:val="0"/>
                <w:sz w:val="21"/>
                <w:szCs w:val="21"/>
                <w:highlight w:val="none"/>
                <w:lang w:val="en-US" w:eastAsia="zh-CN"/>
              </w:rPr>
              <w:t xml:space="preserve"> 环境噪声排放标准（摘录） 单位：</w:t>
            </w:r>
            <w:r>
              <w:rPr>
                <w:rFonts w:hint="default" w:ascii="Times New Roman" w:hAnsi="Times New Roman" w:cs="Times New Roman" w:eastAsiaTheme="minorEastAsia"/>
                <w:b/>
                <w:bCs/>
                <w:color w:val="auto"/>
                <w:kern w:val="0"/>
                <w:sz w:val="21"/>
                <w:szCs w:val="21"/>
                <w:highlight w:val="none"/>
                <w:lang w:val="en-US" w:eastAsia="zh-CN"/>
              </w:rPr>
              <w:t>dB</w:t>
            </w:r>
            <w:r>
              <w:rPr>
                <w:rFonts w:hint="eastAsia" w:ascii="Times New Roman" w:hAnsi="Times New Roman" w:cs="Times New Roman" w:eastAsiaTheme="minorEastAsia"/>
                <w:b/>
                <w:bCs/>
                <w:color w:val="auto"/>
                <w:kern w:val="0"/>
                <w:sz w:val="21"/>
                <w:szCs w:val="21"/>
                <w:highlight w:val="none"/>
                <w:lang w:val="en-US" w:eastAsia="zh-CN"/>
              </w:rPr>
              <w:t>（A）</w:t>
            </w:r>
          </w:p>
          <w:tbl>
            <w:tblPr>
              <w:tblStyle w:val="19"/>
              <w:tblW w:w="80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594"/>
              <w:gridCol w:w="763"/>
              <w:gridCol w:w="883"/>
              <w:gridCol w:w="1023"/>
              <w:gridCol w:w="916"/>
            </w:tblGrid>
            <w:tr w14:paraId="7C1B0A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78" w:type="dxa"/>
                  <w:vMerge w:val="restart"/>
                  <w:noWrap w:val="0"/>
                  <w:vAlign w:val="center"/>
                </w:tcPr>
                <w:p w14:paraId="43FBF303">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监测点</w:t>
                  </w:r>
                </w:p>
              </w:tc>
              <w:tc>
                <w:tcPr>
                  <w:tcW w:w="3594" w:type="dxa"/>
                  <w:vMerge w:val="restart"/>
                  <w:noWrap w:val="0"/>
                  <w:vAlign w:val="center"/>
                </w:tcPr>
                <w:p w14:paraId="3E1424CE">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执行标准</w:t>
                  </w:r>
                </w:p>
              </w:tc>
              <w:tc>
                <w:tcPr>
                  <w:tcW w:w="763" w:type="dxa"/>
                  <w:vMerge w:val="restart"/>
                  <w:noWrap w:val="0"/>
                  <w:vAlign w:val="center"/>
                </w:tcPr>
                <w:p w14:paraId="652128C6">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级别</w:t>
                  </w:r>
                </w:p>
              </w:tc>
              <w:tc>
                <w:tcPr>
                  <w:tcW w:w="883" w:type="dxa"/>
                  <w:vMerge w:val="restart"/>
                  <w:noWrap w:val="0"/>
                  <w:vAlign w:val="center"/>
                </w:tcPr>
                <w:p w14:paraId="734DF5B3">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单位</w:t>
                  </w:r>
                </w:p>
              </w:tc>
              <w:tc>
                <w:tcPr>
                  <w:tcW w:w="1939" w:type="dxa"/>
                  <w:gridSpan w:val="2"/>
                  <w:noWrap w:val="0"/>
                  <w:vAlign w:val="center"/>
                </w:tcPr>
                <w:p w14:paraId="2D9B5F18">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标准限值</w:t>
                  </w:r>
                </w:p>
              </w:tc>
            </w:tr>
            <w:tr w14:paraId="045F54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78" w:type="dxa"/>
                  <w:vMerge w:val="continue"/>
                  <w:noWrap w:val="0"/>
                  <w:vAlign w:val="center"/>
                </w:tcPr>
                <w:p w14:paraId="19397B21">
                  <w:pPr>
                    <w:widowControl/>
                    <w:jc w:val="left"/>
                    <w:rPr>
                      <w:rFonts w:hint="eastAsia" w:ascii="宋体" w:hAnsi="宋体" w:eastAsia="宋体" w:cs="宋体"/>
                      <w:b/>
                      <w:color w:val="auto"/>
                      <w:sz w:val="21"/>
                      <w:szCs w:val="21"/>
                      <w:highlight w:val="none"/>
                    </w:rPr>
                  </w:pPr>
                </w:p>
              </w:tc>
              <w:tc>
                <w:tcPr>
                  <w:tcW w:w="3594" w:type="dxa"/>
                  <w:vMerge w:val="continue"/>
                  <w:noWrap w:val="0"/>
                  <w:vAlign w:val="center"/>
                </w:tcPr>
                <w:p w14:paraId="48CCEB81">
                  <w:pPr>
                    <w:widowControl/>
                    <w:jc w:val="left"/>
                    <w:rPr>
                      <w:rFonts w:hint="eastAsia" w:ascii="宋体" w:hAnsi="宋体" w:eastAsia="宋体" w:cs="宋体"/>
                      <w:b/>
                      <w:color w:val="auto"/>
                      <w:sz w:val="21"/>
                      <w:szCs w:val="21"/>
                      <w:highlight w:val="none"/>
                    </w:rPr>
                  </w:pPr>
                </w:p>
              </w:tc>
              <w:tc>
                <w:tcPr>
                  <w:tcW w:w="763" w:type="dxa"/>
                  <w:vMerge w:val="continue"/>
                  <w:noWrap w:val="0"/>
                  <w:vAlign w:val="center"/>
                </w:tcPr>
                <w:p w14:paraId="356470D6">
                  <w:pPr>
                    <w:widowControl/>
                    <w:jc w:val="left"/>
                    <w:rPr>
                      <w:rFonts w:hint="eastAsia" w:ascii="宋体" w:hAnsi="宋体" w:eastAsia="宋体" w:cs="宋体"/>
                      <w:b/>
                      <w:color w:val="auto"/>
                      <w:sz w:val="21"/>
                      <w:szCs w:val="21"/>
                      <w:highlight w:val="none"/>
                    </w:rPr>
                  </w:pPr>
                </w:p>
              </w:tc>
              <w:tc>
                <w:tcPr>
                  <w:tcW w:w="883" w:type="dxa"/>
                  <w:vMerge w:val="continue"/>
                  <w:noWrap w:val="0"/>
                  <w:vAlign w:val="center"/>
                </w:tcPr>
                <w:p w14:paraId="00916773">
                  <w:pPr>
                    <w:widowControl/>
                    <w:jc w:val="left"/>
                    <w:rPr>
                      <w:rFonts w:hint="eastAsia" w:ascii="宋体" w:hAnsi="宋体" w:eastAsia="宋体" w:cs="宋体"/>
                      <w:b/>
                      <w:color w:val="auto"/>
                      <w:sz w:val="21"/>
                      <w:szCs w:val="21"/>
                      <w:highlight w:val="none"/>
                    </w:rPr>
                  </w:pPr>
                </w:p>
              </w:tc>
              <w:tc>
                <w:tcPr>
                  <w:tcW w:w="1023" w:type="dxa"/>
                  <w:noWrap w:val="0"/>
                  <w:vAlign w:val="center"/>
                </w:tcPr>
                <w:p w14:paraId="308589E9">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昼间</w:t>
                  </w:r>
                </w:p>
              </w:tc>
              <w:tc>
                <w:tcPr>
                  <w:tcW w:w="916" w:type="dxa"/>
                  <w:noWrap w:val="0"/>
                  <w:vAlign w:val="center"/>
                </w:tcPr>
                <w:p w14:paraId="0AB50C27">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夜间</w:t>
                  </w:r>
                </w:p>
              </w:tc>
            </w:tr>
            <w:tr w14:paraId="576950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78" w:type="dxa"/>
                  <w:noWrap w:val="0"/>
                  <w:vAlign w:val="center"/>
                </w:tcPr>
                <w:p w14:paraId="5CDB335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厂界</w:t>
                  </w:r>
                </w:p>
              </w:tc>
              <w:tc>
                <w:tcPr>
                  <w:tcW w:w="3594" w:type="dxa"/>
                  <w:noWrap w:val="0"/>
                  <w:vAlign w:val="center"/>
                </w:tcPr>
                <w:p w14:paraId="423C8B7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《工业企业厂界环境噪声排放标准》</w:t>
                  </w:r>
                  <w:r>
                    <w:rPr>
                      <w:rFonts w:hint="default" w:ascii="Times New Roman" w:hAnsi="Times New Roman" w:eastAsia="宋体" w:cs="Times New Roman"/>
                      <w:color w:val="auto"/>
                      <w:sz w:val="21"/>
                      <w:szCs w:val="21"/>
                      <w:highlight w:val="none"/>
                    </w:rPr>
                    <w:t>（GB12348-2008</w:t>
                  </w:r>
                  <w:r>
                    <w:rPr>
                      <w:rFonts w:hint="eastAsia" w:ascii="宋体" w:hAnsi="宋体" w:eastAsia="宋体" w:cs="宋体"/>
                      <w:color w:val="auto"/>
                      <w:sz w:val="21"/>
                      <w:szCs w:val="21"/>
                      <w:highlight w:val="none"/>
                    </w:rPr>
                    <w:t>）</w:t>
                  </w:r>
                </w:p>
              </w:tc>
              <w:tc>
                <w:tcPr>
                  <w:tcW w:w="763" w:type="dxa"/>
                  <w:noWrap w:val="0"/>
                  <w:vAlign w:val="center"/>
                </w:tcPr>
                <w:p w14:paraId="41CD53EE">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w:t>
                  </w:r>
                </w:p>
              </w:tc>
              <w:tc>
                <w:tcPr>
                  <w:tcW w:w="883" w:type="dxa"/>
                  <w:noWrap w:val="0"/>
                  <w:vAlign w:val="center"/>
                </w:tcPr>
                <w:p w14:paraId="658152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eastAsia" w:cs="Times New Roman"/>
                      <w:color w:val="auto"/>
                      <w:sz w:val="21"/>
                      <w:szCs w:val="21"/>
                      <w:highlight w:val="none"/>
                      <w:lang w:eastAsia="zh-CN"/>
                    </w:rPr>
                    <w:t>)</w:t>
                  </w:r>
                </w:p>
              </w:tc>
              <w:tc>
                <w:tcPr>
                  <w:tcW w:w="1023" w:type="dxa"/>
                  <w:noWrap w:val="0"/>
                  <w:vAlign w:val="center"/>
                </w:tcPr>
                <w:p w14:paraId="242F53F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w:t>
                  </w:r>
                </w:p>
              </w:tc>
              <w:tc>
                <w:tcPr>
                  <w:tcW w:w="916" w:type="dxa"/>
                  <w:noWrap w:val="0"/>
                  <w:vAlign w:val="center"/>
                </w:tcPr>
                <w:p w14:paraId="51F852C2">
                  <w:pPr>
                    <w:ind w:firstLine="105" w:firstLineChars="5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w:t>
                  </w:r>
                </w:p>
              </w:tc>
            </w:tr>
          </w:tbl>
          <w:p w14:paraId="04A16A2C">
            <w:pPr>
              <w:adjustRightInd w:val="0"/>
              <w:snapToGrid w:val="0"/>
              <w:spacing w:line="360" w:lineRule="auto"/>
              <w:ind w:firstLine="482" w:firstLineChars="200"/>
              <w:rPr>
                <w:rFonts w:hint="default" w:ascii="Times New Roman" w:hAnsi="Times New Roman" w:cs="Times New Roman" w:eastAsiaTheme="minorEastAsia"/>
                <w:b/>
                <w:bCs/>
                <w:color w:val="auto"/>
                <w:kern w:val="0"/>
                <w:sz w:val="24"/>
                <w:szCs w:val="22"/>
                <w:highlight w:val="none"/>
                <w:lang w:val="en-US" w:eastAsia="zh-CN"/>
              </w:rPr>
            </w:pPr>
            <w:r>
              <w:rPr>
                <w:rFonts w:hint="eastAsia" w:cs="Times New Roman" w:eastAsiaTheme="minorEastAsia"/>
                <w:b/>
                <w:bCs/>
                <w:color w:val="auto"/>
                <w:kern w:val="0"/>
                <w:sz w:val="24"/>
                <w:szCs w:val="22"/>
                <w:highlight w:val="none"/>
                <w:lang w:val="en-US" w:eastAsia="zh-CN"/>
              </w:rPr>
              <w:t>3.</w:t>
            </w:r>
            <w:r>
              <w:rPr>
                <w:rFonts w:ascii="Times New Roman" w:hAnsi="Times New Roman" w:cs="Times New Roman" w:eastAsiaTheme="minorEastAsia"/>
                <w:b/>
                <w:bCs/>
                <w:color w:val="auto"/>
                <w:kern w:val="0"/>
                <w:sz w:val="24"/>
                <w:szCs w:val="22"/>
                <w:highlight w:val="none"/>
              </w:rPr>
              <w:t>固体废物</w:t>
            </w:r>
            <w:r>
              <w:rPr>
                <w:rFonts w:hint="eastAsia" w:ascii="Times New Roman" w:hAnsi="Times New Roman" w:cs="Times New Roman" w:eastAsiaTheme="minorEastAsia"/>
                <w:b/>
                <w:bCs/>
                <w:color w:val="auto"/>
                <w:kern w:val="0"/>
                <w:sz w:val="24"/>
                <w:szCs w:val="22"/>
                <w:highlight w:val="none"/>
                <w:lang w:val="en-US" w:eastAsia="zh-CN"/>
              </w:rPr>
              <w:t>排放标准</w:t>
            </w:r>
          </w:p>
          <w:p w14:paraId="2AA61D07">
            <w:pPr>
              <w:adjustRightInd w:val="0"/>
              <w:snapToGrid w:val="0"/>
              <w:spacing w:line="360" w:lineRule="auto"/>
              <w:ind w:firstLine="480" w:firstLineChars="200"/>
              <w:rPr>
                <w:rFonts w:eastAsiaTheme="minorEastAsia"/>
                <w:color w:val="auto"/>
                <w:sz w:val="24"/>
                <w:highlight w:val="none"/>
              </w:rPr>
            </w:pPr>
            <w:r>
              <w:rPr>
                <w:rFonts w:hint="eastAsia" w:ascii="Times New Roman" w:hAnsi="Times New Roman" w:cs="Times New Roman" w:eastAsiaTheme="minorEastAsia"/>
                <w:color w:val="auto"/>
                <w:kern w:val="0"/>
                <w:sz w:val="24"/>
                <w:szCs w:val="22"/>
                <w:highlight w:val="none"/>
                <w:lang w:val="en-US" w:eastAsia="zh-CN"/>
              </w:rPr>
              <w:t>本项目一般工业固体废物的处理、处置</w:t>
            </w:r>
            <w:r>
              <w:rPr>
                <w:rFonts w:ascii="Times New Roman" w:hAnsi="Times New Roman" w:cs="Times New Roman" w:eastAsiaTheme="minorEastAsia"/>
                <w:color w:val="auto"/>
                <w:kern w:val="0"/>
                <w:sz w:val="24"/>
                <w:szCs w:val="22"/>
                <w:highlight w:val="none"/>
              </w:rPr>
              <w:t>执行《一般工业固体废物贮存和填埋污染控制标准》（GB18599-2020）</w:t>
            </w:r>
            <w:r>
              <w:rPr>
                <w:rFonts w:hint="eastAsia" w:ascii="Times New Roman" w:hAnsi="Times New Roman" w:cs="Times New Roman" w:eastAsiaTheme="minorEastAsia"/>
                <w:color w:val="auto"/>
                <w:kern w:val="0"/>
                <w:sz w:val="24"/>
                <w:szCs w:val="22"/>
                <w:highlight w:val="none"/>
                <w:lang w:eastAsia="zh-CN"/>
              </w:rPr>
              <w:t>；</w:t>
            </w:r>
            <w:r>
              <w:rPr>
                <w:rFonts w:ascii="Times New Roman" w:hAnsi="Times New Roman" w:cs="Times New Roman" w:eastAsiaTheme="minorEastAsia"/>
                <w:color w:val="auto"/>
                <w:kern w:val="0"/>
                <w:sz w:val="24"/>
                <w:szCs w:val="22"/>
                <w:highlight w:val="none"/>
              </w:rPr>
              <w:t>危险废物</w:t>
            </w:r>
            <w:r>
              <w:rPr>
                <w:rFonts w:hint="eastAsia" w:ascii="Times New Roman" w:hAnsi="Times New Roman" w:cs="Times New Roman" w:eastAsiaTheme="minorEastAsia"/>
                <w:color w:val="auto"/>
                <w:kern w:val="0"/>
                <w:sz w:val="24"/>
                <w:szCs w:val="22"/>
                <w:highlight w:val="none"/>
                <w:lang w:val="en-US" w:eastAsia="zh-CN"/>
              </w:rPr>
              <w:t>贮存</w:t>
            </w:r>
            <w:r>
              <w:rPr>
                <w:rFonts w:ascii="Times New Roman" w:hAnsi="Times New Roman" w:cs="Times New Roman" w:eastAsiaTheme="minorEastAsia"/>
                <w:color w:val="auto"/>
                <w:kern w:val="0"/>
                <w:sz w:val="24"/>
                <w:szCs w:val="22"/>
                <w:highlight w:val="none"/>
              </w:rPr>
              <w:t>执行《危险废物贮存污染控制标准》（GB18597-2023）</w:t>
            </w:r>
            <w:r>
              <w:rPr>
                <w:rFonts w:hint="eastAsia" w:cs="Times New Roman" w:eastAsiaTheme="minorEastAsia"/>
                <w:color w:val="auto"/>
                <w:kern w:val="0"/>
                <w:sz w:val="24"/>
                <w:szCs w:val="22"/>
                <w:highlight w:val="none"/>
                <w:lang w:val="en-US" w:eastAsia="zh-CN"/>
              </w:rPr>
              <w:t>相关</w:t>
            </w:r>
            <w:r>
              <w:rPr>
                <w:rFonts w:ascii="Times New Roman" w:hAnsi="Times New Roman" w:cs="Times New Roman" w:eastAsiaTheme="minorEastAsia"/>
                <w:color w:val="auto"/>
                <w:kern w:val="0"/>
                <w:sz w:val="24"/>
                <w:szCs w:val="22"/>
                <w:highlight w:val="none"/>
              </w:rPr>
              <w:t>要求</w:t>
            </w:r>
            <w:r>
              <w:rPr>
                <w:rFonts w:hint="eastAsia" w:ascii="Times New Roman" w:hAnsi="Times New Roman" w:cs="Times New Roman" w:eastAsiaTheme="minorEastAsia"/>
                <w:color w:val="auto"/>
                <w:kern w:val="0"/>
                <w:sz w:val="24"/>
                <w:szCs w:val="22"/>
                <w:highlight w:val="none"/>
              </w:rPr>
              <w:t>。</w:t>
            </w:r>
          </w:p>
        </w:tc>
      </w:tr>
      <w:tr w14:paraId="79D08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Borders>
              <w:tl2br w:val="nil"/>
              <w:tr2bl w:val="nil"/>
            </w:tcBorders>
            <w:noWrap/>
            <w:vAlign w:val="center"/>
          </w:tcPr>
          <w:p w14:paraId="225FDA9E">
            <w:pPr>
              <w:adjustRightInd w:val="0"/>
              <w:snapToGrid w:val="0"/>
              <w:jc w:val="center"/>
              <w:rPr>
                <w:rFonts w:eastAsiaTheme="minorEastAsia"/>
                <w:color w:val="auto"/>
                <w:kern w:val="0"/>
                <w:sz w:val="24"/>
                <w:highlight w:val="none"/>
              </w:rPr>
            </w:pPr>
            <w:r>
              <w:rPr>
                <w:rFonts w:eastAsiaTheme="minorEastAsia"/>
                <w:color w:val="auto"/>
                <w:kern w:val="0"/>
                <w:sz w:val="24"/>
                <w:highlight w:val="none"/>
              </w:rPr>
              <w:t>总量</w:t>
            </w:r>
          </w:p>
          <w:p w14:paraId="0E4E1E55">
            <w:pPr>
              <w:adjustRightInd w:val="0"/>
              <w:snapToGrid w:val="0"/>
              <w:jc w:val="center"/>
              <w:rPr>
                <w:rFonts w:eastAsiaTheme="minorEastAsia"/>
                <w:color w:val="auto"/>
                <w:kern w:val="0"/>
                <w:sz w:val="24"/>
                <w:highlight w:val="none"/>
              </w:rPr>
            </w:pPr>
            <w:r>
              <w:rPr>
                <w:rFonts w:eastAsiaTheme="minorEastAsia"/>
                <w:color w:val="auto"/>
                <w:kern w:val="0"/>
                <w:sz w:val="24"/>
                <w:highlight w:val="none"/>
              </w:rPr>
              <w:t>控制</w:t>
            </w:r>
          </w:p>
          <w:p w14:paraId="1ED141EE">
            <w:pPr>
              <w:adjustRightInd w:val="0"/>
              <w:snapToGrid w:val="0"/>
              <w:jc w:val="center"/>
              <w:rPr>
                <w:rFonts w:eastAsiaTheme="minorEastAsia"/>
                <w:color w:val="auto"/>
                <w:kern w:val="0"/>
                <w:szCs w:val="21"/>
                <w:highlight w:val="none"/>
              </w:rPr>
            </w:pPr>
            <w:r>
              <w:rPr>
                <w:rFonts w:eastAsiaTheme="minorEastAsia"/>
                <w:color w:val="auto"/>
                <w:kern w:val="0"/>
                <w:sz w:val="24"/>
                <w:highlight w:val="none"/>
              </w:rPr>
              <w:t>指标</w:t>
            </w:r>
          </w:p>
        </w:tc>
        <w:tc>
          <w:tcPr>
            <w:tcW w:w="8190" w:type="dxa"/>
            <w:tcBorders>
              <w:tl2br w:val="nil"/>
              <w:tr2bl w:val="nil"/>
            </w:tcBorders>
            <w:noWrap/>
            <w:vAlign w:val="center"/>
          </w:tcPr>
          <w:p w14:paraId="582AF47A">
            <w:pPr>
              <w:adjustRightInd w:val="0"/>
              <w:snapToGrid w:val="0"/>
              <w:spacing w:line="360" w:lineRule="auto"/>
              <w:ind w:firstLine="480" w:firstLineChars="200"/>
              <w:rPr>
                <w:rFonts w:ascii="Times New Roman" w:hAnsi="Times New Roman" w:cs="Times New Roman" w:eastAsiaTheme="minorEastAsia"/>
                <w:color w:val="auto"/>
                <w:kern w:val="0"/>
                <w:sz w:val="24"/>
                <w:szCs w:val="22"/>
                <w:highlight w:val="none"/>
              </w:rPr>
            </w:pPr>
          </w:p>
          <w:p w14:paraId="1E57D8B8">
            <w:pPr>
              <w:adjustRightInd w:val="0"/>
              <w:snapToGrid w:val="0"/>
              <w:spacing w:line="360" w:lineRule="auto"/>
              <w:ind w:firstLine="480" w:firstLineChars="200"/>
              <w:rPr>
                <w:rFonts w:ascii="Times New Roman" w:hAnsi="Times New Roman" w:cs="Times New Roman" w:eastAsiaTheme="minorEastAsia"/>
                <w:color w:val="auto"/>
                <w:kern w:val="0"/>
                <w:sz w:val="24"/>
                <w:szCs w:val="22"/>
                <w:highlight w:val="none"/>
              </w:rPr>
            </w:pPr>
            <w:r>
              <w:rPr>
                <w:rFonts w:ascii="Times New Roman" w:hAnsi="Times New Roman" w:cs="Times New Roman" w:eastAsiaTheme="minorEastAsia"/>
                <w:color w:val="auto"/>
                <w:kern w:val="0"/>
                <w:sz w:val="24"/>
                <w:szCs w:val="22"/>
                <w:highlight w:val="none"/>
              </w:rPr>
              <w:t>根据</w:t>
            </w:r>
            <w:r>
              <w:rPr>
                <w:rFonts w:hint="eastAsia" w:ascii="Times New Roman" w:hAnsi="Times New Roman" w:cs="Times New Roman" w:eastAsiaTheme="minorEastAsia"/>
                <w:color w:val="auto"/>
                <w:kern w:val="0"/>
                <w:sz w:val="24"/>
                <w:szCs w:val="22"/>
                <w:highlight w:val="none"/>
              </w:rPr>
              <w:t>“十四五”</w:t>
            </w:r>
            <w:r>
              <w:rPr>
                <w:rFonts w:ascii="Times New Roman" w:hAnsi="Times New Roman" w:cs="Times New Roman" w:eastAsiaTheme="minorEastAsia"/>
                <w:color w:val="auto"/>
                <w:kern w:val="0"/>
                <w:sz w:val="24"/>
                <w:szCs w:val="22"/>
                <w:highlight w:val="none"/>
              </w:rPr>
              <w:t>期间国家对总量控制要求</w:t>
            </w:r>
            <w:r>
              <w:rPr>
                <w:rFonts w:hint="eastAsia" w:ascii="Times New Roman" w:hAnsi="Times New Roman" w:cs="Times New Roman" w:eastAsiaTheme="minorEastAsia"/>
                <w:color w:val="auto"/>
                <w:kern w:val="0"/>
                <w:sz w:val="24"/>
                <w:szCs w:val="22"/>
                <w:highlight w:val="none"/>
                <w:lang w:val="en-US" w:eastAsia="zh-CN"/>
              </w:rPr>
              <w:t>及</w:t>
            </w:r>
            <w:r>
              <w:rPr>
                <w:rFonts w:ascii="Times New Roman" w:hAnsi="Times New Roman" w:cs="Times New Roman" w:eastAsiaTheme="minorEastAsia"/>
                <w:color w:val="auto"/>
                <w:kern w:val="0"/>
                <w:sz w:val="24"/>
                <w:szCs w:val="22"/>
                <w:highlight w:val="none"/>
              </w:rPr>
              <w:t>《陕西省</w:t>
            </w:r>
            <w:r>
              <w:rPr>
                <w:rFonts w:hint="eastAsia" w:ascii="Times New Roman" w:hAnsi="Times New Roman" w:cs="Times New Roman" w:eastAsiaTheme="minorEastAsia"/>
                <w:color w:val="auto"/>
                <w:kern w:val="0"/>
                <w:sz w:val="24"/>
                <w:szCs w:val="22"/>
                <w:highlight w:val="none"/>
              </w:rPr>
              <w:t>“十四五”</w:t>
            </w:r>
            <w:r>
              <w:rPr>
                <w:rFonts w:ascii="Times New Roman" w:hAnsi="Times New Roman" w:cs="Times New Roman" w:eastAsiaTheme="minorEastAsia"/>
                <w:color w:val="auto"/>
                <w:kern w:val="0"/>
                <w:sz w:val="24"/>
                <w:szCs w:val="22"/>
                <w:highlight w:val="none"/>
              </w:rPr>
              <w:t>生态环境保护规划》（陕政办发〔2021〕25号）</w:t>
            </w:r>
            <w:r>
              <w:rPr>
                <w:rFonts w:hint="eastAsia" w:ascii="Times New Roman" w:hAnsi="Times New Roman" w:cs="Times New Roman" w:eastAsiaTheme="minorEastAsia"/>
                <w:color w:val="auto"/>
                <w:kern w:val="0"/>
                <w:sz w:val="24"/>
                <w:szCs w:val="22"/>
                <w:highlight w:val="none"/>
                <w:lang w:val="en-US" w:eastAsia="zh-CN"/>
              </w:rPr>
              <w:t>相关要求</w:t>
            </w:r>
            <w:r>
              <w:rPr>
                <w:rFonts w:ascii="Times New Roman" w:hAnsi="Times New Roman" w:cs="Times New Roman" w:eastAsiaTheme="minorEastAsia"/>
                <w:color w:val="auto"/>
                <w:kern w:val="0"/>
                <w:sz w:val="24"/>
                <w:szCs w:val="22"/>
                <w:highlight w:val="none"/>
              </w:rPr>
              <w:t>，</w:t>
            </w:r>
            <w:r>
              <w:rPr>
                <w:rFonts w:hint="eastAsia" w:ascii="Times New Roman" w:hAnsi="Times New Roman" w:cs="Times New Roman" w:eastAsiaTheme="minorEastAsia"/>
                <w:color w:val="auto"/>
                <w:kern w:val="0"/>
                <w:sz w:val="24"/>
                <w:szCs w:val="22"/>
                <w:highlight w:val="none"/>
              </w:rPr>
              <w:t>“十四五”</w:t>
            </w:r>
            <w:r>
              <w:rPr>
                <w:rFonts w:ascii="Times New Roman" w:hAnsi="Times New Roman" w:cs="Times New Roman" w:eastAsiaTheme="minorEastAsia"/>
                <w:color w:val="auto"/>
                <w:kern w:val="0"/>
                <w:sz w:val="24"/>
                <w:szCs w:val="22"/>
                <w:highlight w:val="none"/>
              </w:rPr>
              <w:t>污染物控制指标为：COD</w:t>
            </w:r>
            <w:r>
              <w:rPr>
                <w:rFonts w:hint="eastAsia" w:ascii="Times New Roman" w:hAnsi="Times New Roman" w:cs="Times New Roman" w:eastAsiaTheme="minorEastAsia"/>
                <w:color w:val="auto"/>
                <w:kern w:val="0"/>
                <w:sz w:val="24"/>
                <w:szCs w:val="22"/>
                <w:highlight w:val="none"/>
                <w:lang w:eastAsia="zh-CN"/>
              </w:rPr>
              <w:t>、</w:t>
            </w:r>
            <w:r>
              <w:rPr>
                <w:rFonts w:ascii="Times New Roman" w:hAnsi="Times New Roman" w:cs="Times New Roman" w:eastAsiaTheme="minorEastAsia"/>
                <w:color w:val="auto"/>
                <w:kern w:val="0"/>
                <w:sz w:val="24"/>
                <w:szCs w:val="22"/>
                <w:highlight w:val="none"/>
              </w:rPr>
              <w:t>NH</w:t>
            </w:r>
            <w:r>
              <w:rPr>
                <w:rFonts w:ascii="Times New Roman" w:hAnsi="Times New Roman" w:cs="Times New Roman" w:eastAsiaTheme="minorEastAsia"/>
                <w:color w:val="auto"/>
                <w:kern w:val="0"/>
                <w:sz w:val="24"/>
                <w:szCs w:val="22"/>
                <w:highlight w:val="none"/>
                <w:vertAlign w:val="subscript"/>
              </w:rPr>
              <w:t>3</w:t>
            </w:r>
            <w:r>
              <w:rPr>
                <w:rFonts w:hint="eastAsia" w:ascii="Times New Roman" w:hAnsi="Times New Roman" w:cs="Times New Roman" w:eastAsiaTheme="minorEastAsia"/>
                <w:color w:val="auto"/>
                <w:kern w:val="0"/>
                <w:sz w:val="24"/>
                <w:szCs w:val="22"/>
                <w:highlight w:val="none"/>
                <w:vertAlign w:val="baseline"/>
                <w:lang w:val="en-US" w:eastAsia="zh-CN"/>
              </w:rPr>
              <w:t>-</w:t>
            </w:r>
            <w:r>
              <w:rPr>
                <w:rFonts w:ascii="Times New Roman" w:hAnsi="Times New Roman" w:cs="Times New Roman" w:eastAsiaTheme="minorEastAsia"/>
                <w:color w:val="auto"/>
                <w:kern w:val="0"/>
                <w:sz w:val="24"/>
                <w:szCs w:val="22"/>
                <w:highlight w:val="none"/>
              </w:rPr>
              <w:t>N</w:t>
            </w:r>
            <w:r>
              <w:rPr>
                <w:rFonts w:hint="eastAsia" w:ascii="Times New Roman" w:hAnsi="Times New Roman" w:cs="Times New Roman" w:eastAsiaTheme="minorEastAsia"/>
                <w:color w:val="auto"/>
                <w:kern w:val="0"/>
                <w:sz w:val="24"/>
                <w:szCs w:val="22"/>
                <w:highlight w:val="none"/>
                <w:lang w:eastAsia="zh-CN"/>
              </w:rPr>
              <w:t>、</w:t>
            </w:r>
            <w:r>
              <w:rPr>
                <w:rFonts w:ascii="Times New Roman" w:hAnsi="Times New Roman" w:cs="Times New Roman" w:eastAsiaTheme="minorEastAsia"/>
                <w:color w:val="auto"/>
                <w:kern w:val="0"/>
                <w:sz w:val="24"/>
                <w:szCs w:val="22"/>
                <w:highlight w:val="none"/>
              </w:rPr>
              <w:t>NO</w:t>
            </w:r>
            <w:r>
              <w:rPr>
                <w:rFonts w:ascii="Times New Roman" w:hAnsi="Times New Roman" w:cs="Times New Roman" w:eastAsiaTheme="minorEastAsia"/>
                <w:color w:val="auto"/>
                <w:kern w:val="0"/>
                <w:sz w:val="24"/>
                <w:szCs w:val="22"/>
                <w:highlight w:val="none"/>
                <w:vertAlign w:val="subscript"/>
              </w:rPr>
              <w:t>X</w:t>
            </w:r>
            <w:r>
              <w:rPr>
                <w:rFonts w:hint="eastAsia" w:ascii="Times New Roman" w:hAnsi="Times New Roman" w:cs="Times New Roman" w:eastAsiaTheme="minorEastAsia"/>
                <w:color w:val="auto"/>
                <w:kern w:val="0"/>
                <w:sz w:val="24"/>
                <w:szCs w:val="22"/>
                <w:highlight w:val="none"/>
                <w:lang w:val="en-US" w:eastAsia="zh-CN"/>
              </w:rPr>
              <w:t>和</w:t>
            </w:r>
            <w:r>
              <w:rPr>
                <w:rFonts w:ascii="Times New Roman" w:hAnsi="Times New Roman" w:cs="Times New Roman" w:eastAsiaTheme="minorEastAsia"/>
                <w:color w:val="auto"/>
                <w:kern w:val="0"/>
                <w:sz w:val="24"/>
                <w:szCs w:val="22"/>
                <w:highlight w:val="none"/>
              </w:rPr>
              <w:t>VOCs。</w:t>
            </w:r>
          </w:p>
          <w:p w14:paraId="68E7132B">
            <w:pPr>
              <w:adjustRightInd w:val="0"/>
              <w:snapToGrid w:val="0"/>
              <w:spacing w:line="360" w:lineRule="auto"/>
              <w:ind w:firstLine="480" w:firstLineChars="200"/>
              <w:rPr>
                <w:rFonts w:hint="default" w:ascii="Times New Roman" w:hAnsi="Times New Roman" w:cs="Times New Roman" w:eastAsiaTheme="minorEastAsia"/>
                <w:color w:val="auto"/>
                <w:kern w:val="0"/>
                <w:sz w:val="24"/>
                <w:szCs w:val="22"/>
                <w:highlight w:val="none"/>
                <w:lang w:val="en-US" w:eastAsia="zh-CN"/>
              </w:rPr>
            </w:pPr>
            <w:r>
              <w:rPr>
                <w:rFonts w:hint="eastAsia" w:cs="Times New Roman" w:eastAsiaTheme="minorEastAsia"/>
                <w:color w:val="auto"/>
                <w:kern w:val="0"/>
                <w:sz w:val="24"/>
                <w:szCs w:val="22"/>
                <w:highlight w:val="none"/>
                <w:lang w:val="en-US" w:eastAsia="zh-CN"/>
              </w:rPr>
              <w:t>根据项目工程分析和排污特点，本项目运营过程中废气污染物主要为颗粒物</w:t>
            </w:r>
            <w:r>
              <w:rPr>
                <w:rFonts w:hint="eastAsia" w:cs="Times New Roman" w:eastAsiaTheme="minorEastAsia"/>
                <w:color w:val="auto"/>
                <w:kern w:val="0"/>
                <w:sz w:val="24"/>
                <w:szCs w:val="22"/>
                <w:highlight w:val="none"/>
                <w:vertAlign w:val="baseline"/>
                <w:lang w:val="en-US" w:eastAsia="zh-CN"/>
              </w:rPr>
              <w:t>，所以不涉及申请</w:t>
            </w:r>
            <w:r>
              <w:rPr>
                <w:rFonts w:ascii="Times New Roman" w:hAnsi="Times New Roman" w:cs="Times New Roman" w:eastAsiaTheme="minorEastAsia"/>
                <w:color w:val="auto"/>
                <w:kern w:val="0"/>
                <w:sz w:val="24"/>
                <w:szCs w:val="22"/>
                <w:highlight w:val="none"/>
              </w:rPr>
              <w:t>NO</w:t>
            </w:r>
            <w:r>
              <w:rPr>
                <w:rFonts w:ascii="Times New Roman" w:hAnsi="Times New Roman" w:cs="Times New Roman" w:eastAsiaTheme="minorEastAsia"/>
                <w:color w:val="auto"/>
                <w:kern w:val="0"/>
                <w:sz w:val="24"/>
                <w:szCs w:val="22"/>
                <w:highlight w:val="none"/>
                <w:vertAlign w:val="subscript"/>
              </w:rPr>
              <w:t>X</w:t>
            </w:r>
            <w:r>
              <w:rPr>
                <w:rFonts w:hint="eastAsia" w:cs="Times New Roman" w:eastAsiaTheme="minorEastAsia"/>
                <w:color w:val="auto"/>
                <w:kern w:val="0"/>
                <w:sz w:val="24"/>
                <w:szCs w:val="22"/>
                <w:highlight w:val="none"/>
                <w:lang w:val="en-US" w:eastAsia="zh-CN"/>
              </w:rPr>
              <w:t>、</w:t>
            </w:r>
            <w:r>
              <w:rPr>
                <w:rFonts w:ascii="Times New Roman" w:hAnsi="Times New Roman" w:cs="Times New Roman" w:eastAsiaTheme="minorEastAsia"/>
                <w:color w:val="auto"/>
                <w:kern w:val="0"/>
                <w:sz w:val="24"/>
                <w:szCs w:val="22"/>
                <w:highlight w:val="none"/>
              </w:rPr>
              <w:t>VOCs</w:t>
            </w:r>
            <w:r>
              <w:rPr>
                <w:rFonts w:hint="eastAsia" w:cs="Times New Roman" w:eastAsiaTheme="minorEastAsia"/>
                <w:color w:val="auto"/>
                <w:kern w:val="0"/>
                <w:sz w:val="24"/>
                <w:szCs w:val="22"/>
                <w:highlight w:val="none"/>
                <w:vertAlign w:val="baseline"/>
                <w:lang w:val="en-US" w:eastAsia="zh-CN"/>
              </w:rPr>
              <w:t>总量控制指标。项目运营过程中废水不外排，所以不需申请COD、</w:t>
            </w:r>
            <w:r>
              <w:rPr>
                <w:rFonts w:ascii="Times New Roman" w:hAnsi="Times New Roman" w:cs="Times New Roman" w:eastAsiaTheme="minorEastAsia"/>
                <w:color w:val="auto"/>
                <w:kern w:val="0"/>
                <w:sz w:val="24"/>
                <w:szCs w:val="22"/>
                <w:highlight w:val="none"/>
              </w:rPr>
              <w:t>NH</w:t>
            </w:r>
            <w:r>
              <w:rPr>
                <w:rFonts w:ascii="Times New Roman" w:hAnsi="Times New Roman" w:cs="Times New Roman" w:eastAsiaTheme="minorEastAsia"/>
                <w:color w:val="auto"/>
                <w:kern w:val="0"/>
                <w:sz w:val="24"/>
                <w:szCs w:val="22"/>
                <w:highlight w:val="none"/>
                <w:vertAlign w:val="subscript"/>
              </w:rPr>
              <w:t>3</w:t>
            </w:r>
            <w:r>
              <w:rPr>
                <w:rFonts w:hint="eastAsia" w:ascii="Times New Roman" w:hAnsi="Times New Roman" w:cs="Times New Roman" w:eastAsiaTheme="minorEastAsia"/>
                <w:color w:val="auto"/>
                <w:kern w:val="0"/>
                <w:sz w:val="24"/>
                <w:szCs w:val="22"/>
                <w:highlight w:val="none"/>
                <w:vertAlign w:val="baseline"/>
                <w:lang w:val="en-US" w:eastAsia="zh-CN"/>
              </w:rPr>
              <w:t>-</w:t>
            </w:r>
            <w:r>
              <w:rPr>
                <w:rFonts w:ascii="Times New Roman" w:hAnsi="Times New Roman" w:cs="Times New Roman" w:eastAsiaTheme="minorEastAsia"/>
                <w:color w:val="auto"/>
                <w:kern w:val="0"/>
                <w:sz w:val="24"/>
                <w:szCs w:val="22"/>
                <w:highlight w:val="none"/>
              </w:rPr>
              <w:t>N</w:t>
            </w:r>
            <w:r>
              <w:rPr>
                <w:rFonts w:hint="eastAsia" w:cs="Times New Roman" w:eastAsiaTheme="minorEastAsia"/>
                <w:color w:val="auto"/>
                <w:kern w:val="0"/>
                <w:sz w:val="24"/>
                <w:szCs w:val="22"/>
                <w:highlight w:val="none"/>
                <w:vertAlign w:val="baseline"/>
                <w:lang w:val="en-US" w:eastAsia="zh-CN"/>
              </w:rPr>
              <w:t>总量控制指标。</w:t>
            </w:r>
          </w:p>
          <w:p w14:paraId="587DEDFE">
            <w:pPr>
              <w:pStyle w:val="24"/>
              <w:jc w:val="both"/>
              <w:rPr>
                <w:color w:val="auto"/>
                <w:highlight w:val="none"/>
              </w:rPr>
            </w:pPr>
          </w:p>
          <w:p w14:paraId="5FBB5F28">
            <w:pPr>
              <w:rPr>
                <w:color w:val="auto"/>
                <w:highlight w:val="none"/>
              </w:rPr>
            </w:pPr>
          </w:p>
          <w:p w14:paraId="45863036">
            <w:pPr>
              <w:pStyle w:val="25"/>
              <w:rPr>
                <w:color w:val="auto"/>
                <w:highlight w:val="none"/>
              </w:rPr>
            </w:pPr>
          </w:p>
          <w:p w14:paraId="1DC52B6D">
            <w:pPr>
              <w:pStyle w:val="2"/>
              <w:rPr>
                <w:color w:val="auto"/>
                <w:highlight w:val="none"/>
              </w:rPr>
            </w:pPr>
          </w:p>
          <w:p w14:paraId="65CA0B77">
            <w:pPr>
              <w:rPr>
                <w:color w:val="auto"/>
                <w:highlight w:val="none"/>
              </w:rPr>
            </w:pPr>
          </w:p>
          <w:p w14:paraId="68B9F136">
            <w:pPr>
              <w:pStyle w:val="25"/>
              <w:rPr>
                <w:color w:val="auto"/>
                <w:highlight w:val="none"/>
              </w:rPr>
            </w:pPr>
          </w:p>
          <w:p w14:paraId="65B1A110">
            <w:pPr>
              <w:pStyle w:val="2"/>
              <w:rPr>
                <w:color w:val="auto"/>
                <w:highlight w:val="none"/>
              </w:rPr>
            </w:pPr>
          </w:p>
          <w:p w14:paraId="0280E2A7">
            <w:pPr>
              <w:pStyle w:val="2"/>
              <w:ind w:left="0" w:leftChars="0" w:firstLine="0" w:firstLineChars="0"/>
              <w:rPr>
                <w:color w:val="auto"/>
                <w:highlight w:val="none"/>
              </w:rPr>
            </w:pPr>
          </w:p>
        </w:tc>
      </w:tr>
    </w:tbl>
    <w:p w14:paraId="7DC3895B">
      <w:pPr>
        <w:pStyle w:val="24"/>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015E52A">
      <w:pPr>
        <w:pStyle w:val="17"/>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ascii="Times New Roman" w:hAnsi="Times New Roman" w:eastAsiaTheme="minorEastAsia"/>
          <w:snapToGrid w:val="0"/>
          <w:color w:val="auto"/>
          <w:sz w:val="30"/>
          <w:szCs w:val="30"/>
          <w:highlight w:val="none"/>
        </w:rPr>
      </w:pPr>
      <w:bookmarkStart w:id="20" w:name="_Toc26757"/>
      <w:bookmarkStart w:id="21" w:name="_Toc15227"/>
      <w:bookmarkStart w:id="22" w:name="_Toc27698"/>
      <w:r>
        <w:rPr>
          <w:rFonts w:ascii="Times New Roman" w:hAnsi="Times New Roman" w:eastAsiaTheme="minorEastAsia"/>
          <w:snapToGrid w:val="0"/>
          <w:color w:val="auto"/>
          <w:sz w:val="30"/>
          <w:szCs w:val="30"/>
          <w:highlight w:val="none"/>
        </w:rPr>
        <w:t>四、主要环境影响和保护措施</w:t>
      </w:r>
      <w:bookmarkEnd w:id="20"/>
      <w:bookmarkEnd w:id="21"/>
      <w:bookmarkEnd w:id="22"/>
    </w:p>
    <w:tbl>
      <w:tblPr>
        <w:tblStyle w:val="19"/>
        <w:tblW w:w="93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7"/>
        <w:gridCol w:w="8848"/>
      </w:tblGrid>
      <w:tr w14:paraId="17EF5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dxa"/>
            <w:tcBorders>
              <w:tl2br w:val="nil"/>
              <w:tr2bl w:val="nil"/>
            </w:tcBorders>
            <w:noWrap/>
            <w:tcMar>
              <w:top w:w="0" w:type="dxa"/>
              <w:left w:w="28" w:type="dxa"/>
              <w:bottom w:w="0" w:type="dxa"/>
              <w:right w:w="28" w:type="dxa"/>
            </w:tcMar>
            <w:vAlign w:val="center"/>
          </w:tcPr>
          <w:p w14:paraId="763E1C53">
            <w:pPr>
              <w:pStyle w:val="17"/>
              <w:adjustRightInd w:val="0"/>
              <w:snapToGrid w:val="0"/>
              <w:spacing w:before="0" w:beforeAutospacing="0" w:after="0" w:afterAutospacing="0"/>
              <w:jc w:val="center"/>
              <w:rPr>
                <w:rFonts w:ascii="Times New Roman" w:hAnsi="Times New Roman" w:eastAsiaTheme="minorEastAsia"/>
                <w:color w:val="auto"/>
                <w:kern w:val="2"/>
                <w:szCs w:val="24"/>
                <w:highlight w:val="none"/>
              </w:rPr>
            </w:pPr>
            <w:r>
              <w:rPr>
                <w:rFonts w:ascii="Times New Roman" w:hAnsi="Times New Roman" w:eastAsiaTheme="minorEastAsia"/>
                <w:color w:val="auto"/>
                <w:kern w:val="2"/>
                <w:szCs w:val="24"/>
                <w:highlight w:val="none"/>
              </w:rPr>
              <w:t>施工期环境保护措施</w:t>
            </w:r>
          </w:p>
        </w:tc>
        <w:tc>
          <w:tcPr>
            <w:tcW w:w="8848" w:type="dxa"/>
            <w:tcBorders>
              <w:tl2br w:val="nil"/>
              <w:tr2bl w:val="nil"/>
            </w:tcBorders>
            <w:noWrap/>
            <w:vAlign w:val="center"/>
          </w:tcPr>
          <w:p w14:paraId="3A0F89B7">
            <w:pPr>
              <w:widowControl/>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bookmarkStart w:id="23" w:name="OLE_LINK93"/>
            <w:r>
              <w:rPr>
                <w:rFonts w:hint="default" w:ascii="Times New Roman" w:hAnsi="Times New Roman" w:eastAsia="宋体" w:cs="Times New Roman"/>
                <w:bCs/>
                <w:color w:val="auto"/>
                <w:sz w:val="24"/>
                <w:szCs w:val="24"/>
                <w:highlight w:val="none"/>
                <w:lang w:val="en-US" w:eastAsia="zh-CN"/>
              </w:rPr>
              <w:t>根据工程特点，</w:t>
            </w:r>
            <w:bookmarkStart w:id="24" w:name="OLE_LINK95"/>
            <w:r>
              <w:rPr>
                <w:rFonts w:hint="eastAsia" w:eastAsiaTheme="minorEastAsia"/>
                <w:color w:val="auto"/>
                <w:sz w:val="24"/>
                <w:highlight w:val="none"/>
                <w:lang w:val="zh-CN"/>
              </w:rPr>
              <w:t>本项目建设内容主要包括利用现有水泥包装厂房，对包装5-8车道进行改造，拆除5-7车道装车机，将7车道的自动装车机及收尘器移到2车道，将包装二层四条皮带缩短，水泥袋装在1-4车道发运，拆除6、7车道部分厂房，建设一条干混砂浆生产线。干混砂浆的生产分为原材料预处理及上料储存、配料计量、搅拌混合、成品散装及袋装、袋装码包及覆膜系统及配套电气等辅助设施</w:t>
            </w:r>
            <w:r>
              <w:rPr>
                <w:rFonts w:hint="eastAsia" w:eastAsia="宋体"/>
                <w:bCs/>
                <w:color w:val="auto"/>
                <w:sz w:val="24"/>
                <w:szCs w:val="24"/>
                <w:highlight w:val="none"/>
                <w:lang w:val="en-US" w:eastAsia="zh-CN"/>
              </w:rPr>
              <w:t>。</w:t>
            </w:r>
            <w:bookmarkEnd w:id="24"/>
          </w:p>
          <w:p w14:paraId="07F35059">
            <w:pPr>
              <w:widowControl/>
              <w:adjustRightInd w:val="0"/>
              <w:snapToGrid w:val="0"/>
              <w:spacing w:line="360" w:lineRule="auto"/>
              <w:ind w:firstLine="482" w:firstLineChars="2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1</w:t>
            </w:r>
            <w:r>
              <w:rPr>
                <w:rFonts w:hint="eastAsia" w:cs="Times New Roman"/>
                <w:b/>
                <w:color w:val="auto"/>
                <w:sz w:val="24"/>
                <w:highlight w:val="none"/>
                <w:lang w:val="en-US" w:eastAsia="zh-CN"/>
              </w:rPr>
              <w:t>.</w:t>
            </w:r>
            <w:r>
              <w:rPr>
                <w:rFonts w:hint="default" w:ascii="Times New Roman" w:hAnsi="Times New Roman" w:eastAsia="宋体" w:cs="Times New Roman"/>
                <w:b/>
                <w:color w:val="auto"/>
                <w:sz w:val="24"/>
                <w:highlight w:val="none"/>
              </w:rPr>
              <w:t>大气污染源</w:t>
            </w:r>
          </w:p>
          <w:p w14:paraId="4FC0680E">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项目施工期的环境空气污染主要来自基础施工以及动力机械排出的尾气污染，其中以粉尘污染对周围环境的影响较突出。</w:t>
            </w:r>
          </w:p>
          <w:p w14:paraId="56B4B609">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施工扬尘</w:t>
            </w:r>
          </w:p>
          <w:p w14:paraId="587787B9">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项目施工扬尘主要</w:t>
            </w:r>
            <w:r>
              <w:rPr>
                <w:rFonts w:hint="default" w:ascii="Times New Roman" w:hAnsi="Times New Roman" w:eastAsia="宋体" w:cs="Times New Roman"/>
                <w:color w:val="auto"/>
                <w:sz w:val="24"/>
                <w:highlight w:val="none"/>
                <w:lang w:eastAsia="zh-CN"/>
              </w:rPr>
              <w:t>来自</w:t>
            </w:r>
            <w:r>
              <w:rPr>
                <w:rFonts w:hint="default" w:ascii="Times New Roman" w:hAnsi="Times New Roman" w:eastAsia="宋体" w:cs="Times New Roman"/>
                <w:color w:val="auto"/>
                <w:sz w:val="24"/>
                <w:szCs w:val="24"/>
                <w:highlight w:val="none"/>
              </w:rPr>
              <w:t>：</w:t>
            </w:r>
            <w:r>
              <w:rPr>
                <w:rFonts w:hint="eastAsia" w:ascii="宋体" w:hAnsi="宋体" w:eastAsia="宋体" w:cs="宋体"/>
                <w:color w:val="auto"/>
                <w:sz w:val="24"/>
                <w:szCs w:val="24"/>
                <w:highlight w:val="none"/>
              </w:rPr>
              <w:t>①</w:t>
            </w:r>
            <w:r>
              <w:rPr>
                <w:rFonts w:hint="default" w:ascii="Times New Roman" w:hAnsi="Times New Roman" w:eastAsia="宋体" w:cs="Times New Roman"/>
                <w:color w:val="auto"/>
                <w:sz w:val="24"/>
                <w:szCs w:val="24"/>
                <w:highlight w:val="none"/>
              </w:rPr>
              <w:t>工业场地设施建设、土方挖掘、回填、堆放和清运过程中的扬尘；</w:t>
            </w:r>
            <w:r>
              <w:rPr>
                <w:rFonts w:hint="eastAsia" w:ascii="宋体" w:hAnsi="宋体" w:eastAsia="宋体" w:cs="宋体"/>
                <w:color w:val="auto"/>
                <w:sz w:val="24"/>
                <w:szCs w:val="24"/>
                <w:highlight w:val="none"/>
              </w:rPr>
              <w:t>②</w:t>
            </w:r>
            <w:r>
              <w:rPr>
                <w:rFonts w:hint="default" w:ascii="Times New Roman" w:hAnsi="Times New Roman" w:eastAsia="宋体" w:cs="Times New Roman"/>
                <w:color w:val="auto"/>
                <w:sz w:val="24"/>
                <w:szCs w:val="24"/>
                <w:highlight w:val="none"/>
              </w:rPr>
              <w:t>建筑材料、水泥、</w:t>
            </w:r>
            <w:r>
              <w:rPr>
                <w:rFonts w:hint="eastAsia" w:cs="Times New Roman"/>
                <w:color w:val="auto"/>
                <w:sz w:val="24"/>
                <w:szCs w:val="24"/>
                <w:highlight w:val="none"/>
                <w:lang w:val="en-US" w:eastAsia="zh-CN"/>
              </w:rPr>
              <w:t>石灰</w:t>
            </w:r>
            <w:r>
              <w:rPr>
                <w:rFonts w:hint="default" w:ascii="Times New Roman" w:hAnsi="Times New Roman" w:eastAsia="宋体" w:cs="Times New Roman"/>
                <w:color w:val="auto"/>
                <w:sz w:val="24"/>
                <w:szCs w:val="24"/>
                <w:highlight w:val="none"/>
              </w:rPr>
              <w:t>、砂子等装卸、堆放的扬尘；</w:t>
            </w:r>
            <w:r>
              <w:rPr>
                <w:rFonts w:hint="eastAsia" w:ascii="宋体" w:hAnsi="宋体" w:eastAsia="宋体" w:cs="宋体"/>
                <w:color w:val="auto"/>
                <w:sz w:val="24"/>
                <w:szCs w:val="24"/>
                <w:highlight w:val="none"/>
              </w:rPr>
              <w:t>③</w:t>
            </w:r>
            <w:r>
              <w:rPr>
                <w:rFonts w:hint="default" w:ascii="Times New Roman" w:hAnsi="Times New Roman" w:eastAsia="宋体" w:cs="Times New Roman"/>
                <w:color w:val="auto"/>
                <w:sz w:val="24"/>
                <w:szCs w:val="24"/>
                <w:highlight w:val="none"/>
              </w:rPr>
              <w:t>运输车辆来往形成的道路扬尘</w:t>
            </w:r>
            <w:r>
              <w:rPr>
                <w:rFonts w:hint="default" w:ascii="Times New Roman" w:hAnsi="Times New Roman" w:eastAsia="宋体" w:cs="Times New Roman"/>
                <w:color w:val="auto"/>
                <w:sz w:val="24"/>
                <w:szCs w:val="24"/>
                <w:highlight w:val="none"/>
                <w:lang w:eastAsia="zh-CN"/>
              </w:rPr>
              <w:t>污染</w:t>
            </w:r>
            <w:r>
              <w:rPr>
                <w:rFonts w:hint="default" w:ascii="Times New Roman" w:hAnsi="Times New Roman" w:eastAsia="宋体" w:cs="Times New Roman"/>
                <w:color w:val="auto"/>
                <w:sz w:val="24"/>
                <w:szCs w:val="24"/>
                <w:highlight w:val="none"/>
              </w:rPr>
              <w:t>；</w:t>
            </w:r>
            <w:r>
              <w:rPr>
                <w:rFonts w:hint="eastAsia" w:ascii="宋体" w:hAnsi="宋体" w:eastAsia="宋体" w:cs="宋体"/>
                <w:color w:val="auto"/>
                <w:sz w:val="24"/>
                <w:szCs w:val="24"/>
                <w:highlight w:val="none"/>
              </w:rPr>
              <w:t>④</w:t>
            </w:r>
            <w:r>
              <w:rPr>
                <w:rFonts w:hint="default" w:ascii="Times New Roman" w:hAnsi="Times New Roman" w:eastAsia="宋体" w:cs="Times New Roman"/>
                <w:color w:val="auto"/>
                <w:sz w:val="24"/>
                <w:szCs w:val="24"/>
                <w:highlight w:val="none"/>
              </w:rPr>
              <w:t>建筑垃圾和弃土的堆放</w:t>
            </w:r>
            <w:r>
              <w:rPr>
                <w:rFonts w:hint="eastAsia" w:ascii="Times New Roman" w:hAnsi="Times New Roman" w:eastAsia="宋体" w:cs="Times New Roman"/>
                <w:color w:val="auto"/>
                <w:sz w:val="24"/>
                <w:szCs w:val="24"/>
                <w:highlight w:val="none"/>
                <w:lang w:val="en-US" w:eastAsia="zh-CN"/>
              </w:rPr>
              <w:t>以及</w:t>
            </w:r>
            <w:r>
              <w:rPr>
                <w:rFonts w:hint="default" w:ascii="Times New Roman" w:hAnsi="Times New Roman" w:eastAsia="宋体" w:cs="Times New Roman"/>
                <w:color w:val="auto"/>
                <w:sz w:val="24"/>
                <w:szCs w:val="24"/>
                <w:highlight w:val="none"/>
              </w:rPr>
              <w:t>清运过程中造成的扬尘。</w:t>
            </w:r>
          </w:p>
          <w:p w14:paraId="2B21EC97">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按照《</w:t>
            </w:r>
            <w:bookmarkStart w:id="25" w:name="OLE_LINK96"/>
            <w:r>
              <w:rPr>
                <w:rFonts w:hint="default" w:ascii="Times New Roman" w:hAnsi="Times New Roman" w:eastAsia="宋体" w:cs="Times New Roman"/>
                <w:color w:val="auto"/>
                <w:sz w:val="24"/>
                <w:highlight w:val="none"/>
              </w:rPr>
              <w:t>陕西省建筑施工扬尘治理措施16条</w:t>
            </w:r>
            <w:bookmarkEnd w:id="25"/>
            <w:r>
              <w:rPr>
                <w:rFonts w:hint="default" w:ascii="Times New Roman" w:hAnsi="Times New Roman" w:eastAsia="宋体" w:cs="Times New Roman"/>
                <w:color w:val="auto"/>
                <w:sz w:val="24"/>
                <w:highlight w:val="none"/>
              </w:rPr>
              <w:t>》及《</w:t>
            </w:r>
            <w:r>
              <w:rPr>
                <w:rFonts w:hint="default" w:ascii="Times New Roman" w:hAnsi="Times New Roman" w:eastAsia="宋体" w:cs="Times New Roman"/>
                <w:color w:val="auto"/>
                <w:sz w:val="24"/>
                <w:highlight w:val="none"/>
                <w:lang w:eastAsia="zh-CN"/>
              </w:rPr>
              <w:t>宝鸡市大气污染防治条例</w:t>
            </w:r>
            <w:r>
              <w:rPr>
                <w:rFonts w:hint="default" w:ascii="Times New Roman" w:hAnsi="Times New Roman" w:eastAsia="宋体" w:cs="Times New Roman"/>
                <w:color w:val="auto"/>
                <w:sz w:val="24"/>
                <w:highlight w:val="none"/>
              </w:rPr>
              <w:t>》相关规定，要求</w:t>
            </w:r>
            <w:r>
              <w:rPr>
                <w:rFonts w:hint="default" w:ascii="Times New Roman" w:hAnsi="Times New Roman" w:eastAsia="宋体" w:cs="Times New Roman"/>
                <w:color w:val="auto"/>
                <w:sz w:val="24"/>
                <w:highlight w:val="none"/>
                <w:lang w:val="en-US" w:eastAsia="zh-CN"/>
              </w:rPr>
              <w:t>建设单位</w:t>
            </w:r>
            <w:r>
              <w:rPr>
                <w:rFonts w:hint="default" w:ascii="Times New Roman" w:hAnsi="Times New Roman" w:eastAsia="宋体" w:cs="Times New Roman"/>
                <w:color w:val="auto"/>
                <w:sz w:val="24"/>
                <w:highlight w:val="none"/>
              </w:rPr>
              <w:t>采用以下扬尘防治</w:t>
            </w:r>
            <w:r>
              <w:rPr>
                <w:rFonts w:hint="eastAsia" w:cs="Times New Roman"/>
                <w:color w:val="auto"/>
                <w:sz w:val="24"/>
                <w:highlight w:val="none"/>
                <w:lang w:val="en-US" w:eastAsia="zh-CN"/>
              </w:rPr>
              <w:t>措施</w:t>
            </w:r>
            <w:r>
              <w:rPr>
                <w:rFonts w:hint="default" w:ascii="Times New Roman" w:hAnsi="Times New Roman" w:eastAsia="宋体" w:cs="Times New Roman"/>
                <w:color w:val="auto"/>
                <w:sz w:val="24"/>
                <w:highlight w:val="none"/>
              </w:rPr>
              <w:t>要求：</w:t>
            </w:r>
          </w:p>
          <w:p w14:paraId="78F32A68">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①施工组织设计中，必须制定施工现场扬尘预防治理专项方案，并指定专人负责落实，无专项方案严禁开工。</w:t>
            </w:r>
          </w:p>
          <w:p w14:paraId="5469984E">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②工程项目部必须制定空气重污染应急预案，政府发布重污染预警时，立即启动应急响应。</w:t>
            </w:r>
          </w:p>
          <w:p w14:paraId="7D0CE7C1">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③施工工地工程概况标志牌</w:t>
            </w:r>
            <w:r>
              <w:rPr>
                <w:rFonts w:hint="eastAsia" w:cs="Times New Roman"/>
                <w:color w:val="auto"/>
                <w:sz w:val="24"/>
                <w:highlight w:val="none"/>
                <w:lang w:val="en-US" w:eastAsia="zh-CN"/>
              </w:rPr>
              <w:t>上</w:t>
            </w:r>
            <w:r>
              <w:rPr>
                <w:rFonts w:hint="default" w:ascii="Times New Roman" w:hAnsi="Times New Roman" w:eastAsia="宋体" w:cs="Times New Roman"/>
                <w:color w:val="auto"/>
                <w:sz w:val="24"/>
                <w:highlight w:val="none"/>
              </w:rPr>
              <w:t>必须公布扬尘投诉举报电话，举报电话应包括施工企业电话和主管部门电话。</w:t>
            </w:r>
          </w:p>
          <w:p w14:paraId="3F663B37">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④在建工程施工现场必须封闭围挡施工，严禁围挡不严或敞开式施工。</w:t>
            </w:r>
          </w:p>
          <w:p w14:paraId="0098C6BB">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⑤工程开工前，施工现场出入口及场内主要道路必须硬化，其余场地必须绿化或固化。</w:t>
            </w:r>
          </w:p>
          <w:p w14:paraId="734D268D">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⑥施工现场集中堆放的土方必须覆盖，严禁裸露。</w:t>
            </w:r>
          </w:p>
          <w:p w14:paraId="131EB1AB">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⑦施工现场运送土方、渣土的车辆必须封闭或遮盖，严禁沿路遗漏或抛撒。</w:t>
            </w:r>
          </w:p>
          <w:p w14:paraId="34F31B45">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⑧施工现场必须设置固定垃圾存放点，垃圾应分类集中堆放并覆盖，及时清运，严禁焚烧、填埋和随意丢弃。</w:t>
            </w:r>
          </w:p>
          <w:p w14:paraId="582B0877">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⑨施工现场必须建立洒水清扫制度或</w:t>
            </w:r>
            <w:r>
              <w:rPr>
                <w:rFonts w:hint="eastAsia" w:cs="Times New Roman"/>
                <w:color w:val="auto"/>
                <w:sz w:val="24"/>
                <w:highlight w:val="none"/>
                <w:lang w:val="en-US" w:eastAsia="zh-CN"/>
              </w:rPr>
              <w:t>采取</w:t>
            </w:r>
            <w:r>
              <w:rPr>
                <w:rFonts w:hint="default" w:ascii="Times New Roman" w:hAnsi="Times New Roman" w:eastAsia="宋体" w:cs="Times New Roman"/>
                <w:color w:val="auto"/>
                <w:sz w:val="24"/>
                <w:highlight w:val="none"/>
              </w:rPr>
              <w:t>雾化降尘措施，并有专人负责。</w:t>
            </w:r>
          </w:p>
          <w:p w14:paraId="4B566DBA">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采取上述措施后，项目扬尘对周围环境的影响可大大降低，施工场地扬尘的影响范围可降至10m左右，车辆运输扬尘可降至20m</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rPr>
              <w:t>50m以内，大大降低其对周围环境的影响。</w:t>
            </w:r>
          </w:p>
          <w:p w14:paraId="1C87B68B">
            <w:pPr>
              <w:tabs>
                <w:tab w:val="left" w:pos="4425"/>
              </w:tabs>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施工机械废气</w:t>
            </w:r>
          </w:p>
          <w:p w14:paraId="438E2C8E">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szCs w:val="22"/>
                <w:highlight w:val="none"/>
              </w:rPr>
              <w:t>施工机械废气主要来自各类燃油动力机械排放废气，</w:t>
            </w:r>
            <w:r>
              <w:rPr>
                <w:rFonts w:hint="default" w:ascii="Times New Roman" w:hAnsi="Times New Roman" w:eastAsia="宋体" w:cs="Times New Roman"/>
                <w:color w:val="auto"/>
                <w:kern w:val="0"/>
                <w:sz w:val="24"/>
                <w:szCs w:val="22"/>
                <w:highlight w:val="none"/>
              </w:rPr>
              <w:t>主要污染物为</w:t>
            </w:r>
            <w:r>
              <w:rPr>
                <w:rFonts w:hint="default" w:ascii="Times New Roman" w:hAnsi="Times New Roman" w:eastAsia="宋体" w:cs="Times New Roman"/>
                <w:color w:val="auto"/>
                <w:sz w:val="24"/>
                <w:szCs w:val="22"/>
                <w:highlight w:val="none"/>
              </w:rPr>
              <w:t>CO、NO</w:t>
            </w:r>
            <w:r>
              <w:rPr>
                <w:rFonts w:hint="default" w:ascii="Times New Roman" w:hAnsi="Times New Roman" w:eastAsia="宋体" w:cs="Times New Roman"/>
                <w:color w:val="auto"/>
                <w:sz w:val="24"/>
                <w:szCs w:val="22"/>
                <w:highlight w:val="none"/>
                <w:vertAlign w:val="subscript"/>
              </w:rPr>
              <w:t>x</w:t>
            </w:r>
            <w:r>
              <w:rPr>
                <w:rFonts w:hint="default" w:ascii="Times New Roman" w:hAnsi="Times New Roman" w:eastAsia="宋体" w:cs="Times New Roman"/>
                <w:color w:val="auto"/>
                <w:kern w:val="0"/>
                <w:sz w:val="24"/>
                <w:szCs w:val="22"/>
                <w:highlight w:val="none"/>
              </w:rPr>
              <w:t>及</w:t>
            </w:r>
            <w:r>
              <w:rPr>
                <w:rFonts w:hint="default" w:ascii="Times New Roman" w:hAnsi="Times New Roman" w:eastAsia="宋体" w:cs="Times New Roman"/>
                <w:color w:val="auto"/>
                <w:sz w:val="24"/>
                <w:szCs w:val="22"/>
                <w:highlight w:val="none"/>
              </w:rPr>
              <w:t>碳氢</w:t>
            </w:r>
            <w:r>
              <w:rPr>
                <w:rFonts w:hint="default" w:ascii="Times New Roman" w:hAnsi="Times New Roman" w:eastAsia="宋体" w:cs="Times New Roman"/>
                <w:color w:val="auto"/>
                <w:kern w:val="0"/>
                <w:sz w:val="24"/>
                <w:szCs w:val="22"/>
                <w:highlight w:val="none"/>
              </w:rPr>
              <w:t>化合物等，间断运行</w:t>
            </w:r>
            <w:r>
              <w:rPr>
                <w:rFonts w:hint="default" w:ascii="Times New Roman" w:hAnsi="Times New Roman" w:eastAsia="宋体" w:cs="Times New Roman"/>
                <w:color w:val="auto"/>
                <w:kern w:val="0"/>
                <w:sz w:val="24"/>
                <w:szCs w:val="22"/>
                <w:highlight w:val="none"/>
                <w:lang w:eastAsia="zh-CN"/>
              </w:rPr>
              <w:t>。</w:t>
            </w:r>
            <w:r>
              <w:rPr>
                <w:rFonts w:hint="default" w:ascii="Times New Roman" w:hAnsi="Times New Roman" w:eastAsia="宋体" w:cs="Times New Roman"/>
                <w:color w:val="auto"/>
                <w:kern w:val="0"/>
                <w:sz w:val="24"/>
                <w:szCs w:val="22"/>
                <w:highlight w:val="none"/>
              </w:rPr>
              <w:t>项目在</w:t>
            </w:r>
            <w:bookmarkStart w:id="26" w:name="OLE_LINK147"/>
            <w:r>
              <w:rPr>
                <w:rFonts w:hint="default" w:ascii="Times New Roman" w:hAnsi="Times New Roman" w:eastAsia="宋体" w:cs="Times New Roman"/>
                <w:color w:val="auto"/>
                <w:kern w:val="0"/>
                <w:sz w:val="24"/>
                <w:szCs w:val="22"/>
                <w:highlight w:val="none"/>
              </w:rPr>
              <w:t>加强施工动力机械运行管理与维护保养</w:t>
            </w:r>
            <w:r>
              <w:rPr>
                <w:rFonts w:hint="eastAsia" w:cs="Times New Roman"/>
                <w:color w:val="auto"/>
                <w:kern w:val="0"/>
                <w:sz w:val="24"/>
                <w:szCs w:val="22"/>
                <w:highlight w:val="none"/>
                <w:lang w:val="en-US" w:eastAsia="zh-CN"/>
              </w:rPr>
              <w:t>的</w:t>
            </w:r>
            <w:r>
              <w:rPr>
                <w:rFonts w:hint="default" w:ascii="Times New Roman" w:hAnsi="Times New Roman" w:eastAsia="宋体" w:cs="Times New Roman"/>
                <w:color w:val="auto"/>
                <w:kern w:val="0"/>
                <w:sz w:val="24"/>
                <w:szCs w:val="22"/>
                <w:highlight w:val="none"/>
              </w:rPr>
              <w:t>情况下</w:t>
            </w:r>
            <w:bookmarkEnd w:id="26"/>
            <w:r>
              <w:rPr>
                <w:rFonts w:hint="default" w:ascii="Times New Roman" w:hAnsi="Times New Roman" w:eastAsia="宋体" w:cs="Times New Roman"/>
                <w:color w:val="auto"/>
                <w:kern w:val="0"/>
                <w:sz w:val="24"/>
                <w:szCs w:val="22"/>
                <w:highlight w:val="none"/>
              </w:rPr>
              <w:t>，可减少</w:t>
            </w:r>
            <w:r>
              <w:rPr>
                <w:rFonts w:hint="default" w:ascii="Times New Roman" w:hAnsi="Times New Roman" w:eastAsia="宋体" w:cs="Times New Roman"/>
                <w:color w:val="auto"/>
                <w:sz w:val="24"/>
                <w:szCs w:val="22"/>
                <w:highlight w:val="none"/>
              </w:rPr>
              <w:t>尾气</w:t>
            </w:r>
            <w:r>
              <w:rPr>
                <w:rFonts w:hint="default" w:ascii="Times New Roman" w:hAnsi="Times New Roman" w:eastAsia="宋体" w:cs="Times New Roman"/>
                <w:color w:val="auto"/>
                <w:kern w:val="0"/>
                <w:sz w:val="24"/>
                <w:szCs w:val="22"/>
                <w:highlight w:val="none"/>
              </w:rPr>
              <w:t>排放</w:t>
            </w:r>
            <w:r>
              <w:rPr>
                <w:rFonts w:hint="default" w:ascii="Times New Roman" w:hAnsi="Times New Roman" w:eastAsia="宋体" w:cs="Times New Roman"/>
                <w:color w:val="auto"/>
                <w:sz w:val="24"/>
                <w:szCs w:val="22"/>
                <w:highlight w:val="none"/>
              </w:rPr>
              <w:t>对环境的污染。</w:t>
            </w:r>
          </w:p>
          <w:p w14:paraId="75FBFCA5">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环保措施初步要求：</w:t>
            </w:r>
          </w:p>
          <w:p w14:paraId="30DE6AF8">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①施工机械</w:t>
            </w:r>
            <w:r>
              <w:rPr>
                <w:rFonts w:hint="eastAsia"/>
                <w:sz w:val="24"/>
                <w:szCs w:val="24"/>
                <w:lang w:val="en-US" w:eastAsia="zh-CN"/>
              </w:rPr>
              <w:t>废气</w:t>
            </w:r>
            <w:r>
              <w:rPr>
                <w:rFonts w:hint="default" w:ascii="Times New Roman" w:hAnsi="Times New Roman" w:eastAsia="宋体" w:cs="Times New Roman"/>
                <w:color w:val="auto"/>
                <w:sz w:val="24"/>
                <w:highlight w:val="none"/>
              </w:rPr>
              <w:t>达标排放：施工过程中</w:t>
            </w:r>
            <w:r>
              <w:rPr>
                <w:rFonts w:hint="default" w:ascii="Times New Roman" w:hAnsi="Times New Roman" w:eastAsia="宋体" w:cs="Times New Roman"/>
                <w:bCs/>
                <w:color w:val="auto"/>
                <w:sz w:val="24"/>
                <w:highlight w:val="none"/>
              </w:rPr>
              <w:t>非道路移动机械用柴油机</w:t>
            </w:r>
            <w:r>
              <w:rPr>
                <w:rFonts w:hint="default" w:ascii="Times New Roman" w:hAnsi="Times New Roman" w:eastAsia="宋体" w:cs="Times New Roman"/>
                <w:color w:val="auto"/>
                <w:sz w:val="24"/>
                <w:highlight w:val="none"/>
              </w:rPr>
              <w:t>废气排放，必须执行并满足《</w:t>
            </w:r>
            <w:bookmarkStart w:id="27" w:name="OLE_LINK97"/>
            <w:r>
              <w:rPr>
                <w:rFonts w:hint="default" w:ascii="Times New Roman" w:hAnsi="Times New Roman" w:eastAsia="宋体" w:cs="Times New Roman"/>
                <w:color w:val="auto"/>
                <w:sz w:val="24"/>
                <w:highlight w:val="none"/>
              </w:rPr>
              <w:t>非道路移动机械用柴油机排气污染物排放</w:t>
            </w:r>
            <w:r>
              <w:rPr>
                <w:rFonts w:hint="default" w:ascii="Times New Roman" w:hAnsi="Times New Roman" w:eastAsia="宋体" w:cs="Times New Roman"/>
                <w:color w:val="auto"/>
                <w:sz w:val="24"/>
                <w:highlight w:val="none"/>
                <w:lang w:val="en-US" w:eastAsia="zh-CN"/>
              </w:rPr>
              <w:t>限值</w:t>
            </w:r>
            <w:r>
              <w:rPr>
                <w:rFonts w:hint="default" w:ascii="Times New Roman" w:hAnsi="Times New Roman" w:eastAsia="宋体" w:cs="Times New Roman"/>
                <w:color w:val="auto"/>
                <w:sz w:val="24"/>
                <w:highlight w:val="none"/>
              </w:rPr>
              <w:t>及测量方法（</w:t>
            </w:r>
            <w:r>
              <w:rPr>
                <w:rFonts w:hint="default" w:ascii="Times New Roman" w:hAnsi="Times New Roman" w:eastAsia="宋体" w:cs="Times New Roman"/>
                <w:color w:val="auto"/>
                <w:sz w:val="24"/>
                <w:highlight w:val="none"/>
                <w:lang w:eastAsia="zh-CN"/>
              </w:rPr>
              <w:t>中国第三、四</w:t>
            </w:r>
            <w:r>
              <w:rPr>
                <w:rFonts w:hint="default" w:ascii="Times New Roman" w:hAnsi="Times New Roman" w:eastAsia="宋体" w:cs="Times New Roman"/>
                <w:color w:val="auto"/>
                <w:sz w:val="24"/>
                <w:highlight w:val="none"/>
              </w:rPr>
              <w:t>阶段）</w:t>
            </w:r>
            <w:bookmarkEnd w:id="27"/>
            <w:r>
              <w:rPr>
                <w:rFonts w:hint="default" w:ascii="Times New Roman" w:hAnsi="Times New Roman" w:eastAsia="宋体" w:cs="Times New Roman"/>
                <w:color w:val="auto"/>
                <w:sz w:val="24"/>
                <w:highlight w:val="none"/>
              </w:rPr>
              <w:t>》（GB20891-</w:t>
            </w:r>
            <w:r>
              <w:rPr>
                <w:rFonts w:hint="default" w:ascii="Times New Roman" w:hAnsi="Times New Roman" w:eastAsia="宋体" w:cs="Times New Roman"/>
                <w:color w:val="auto"/>
                <w:sz w:val="24"/>
                <w:highlight w:val="none"/>
                <w:lang w:val="en-US" w:eastAsia="zh-CN"/>
              </w:rPr>
              <w:t>2014</w:t>
            </w:r>
            <w:r>
              <w:rPr>
                <w:rFonts w:hint="default" w:ascii="Times New Roman" w:hAnsi="Times New Roman" w:eastAsia="宋体" w:cs="Times New Roman"/>
                <w:color w:val="auto"/>
                <w:sz w:val="24"/>
                <w:highlight w:val="none"/>
              </w:rPr>
              <w:t>）中有关规定及排放限值要求；</w:t>
            </w:r>
          </w:p>
          <w:p w14:paraId="2607DE37">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②施工机械合理调度：合理调度施工机械设备，确保设备有效使用，避免空转，减少污染物排放。</w:t>
            </w:r>
          </w:p>
          <w:p w14:paraId="03CF3274">
            <w:pPr>
              <w:widowControl/>
              <w:adjustRightInd w:val="0"/>
              <w:snapToGrid w:val="0"/>
              <w:spacing w:line="360" w:lineRule="auto"/>
              <w:ind w:firstLine="482" w:firstLineChars="2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2</w:t>
            </w:r>
            <w:r>
              <w:rPr>
                <w:rFonts w:hint="eastAsia" w:cs="Times New Roman"/>
                <w:b/>
                <w:color w:val="auto"/>
                <w:sz w:val="24"/>
                <w:highlight w:val="none"/>
                <w:lang w:val="en-US" w:eastAsia="zh-CN"/>
              </w:rPr>
              <w:t>.</w:t>
            </w:r>
            <w:r>
              <w:rPr>
                <w:rFonts w:hint="default" w:ascii="Times New Roman" w:hAnsi="Times New Roman" w:eastAsia="宋体" w:cs="Times New Roman"/>
                <w:b/>
                <w:color w:val="auto"/>
                <w:sz w:val="24"/>
                <w:highlight w:val="none"/>
              </w:rPr>
              <w:t>水污染源</w:t>
            </w:r>
          </w:p>
          <w:p w14:paraId="3B0D6D4E">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生活污水</w:t>
            </w:r>
          </w:p>
          <w:p w14:paraId="17907D64">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根据建设单位提供资料</w:t>
            </w:r>
            <w:r>
              <w:rPr>
                <w:rFonts w:hint="default" w:ascii="Times New Roman" w:hAnsi="Times New Roman" w:eastAsia="宋体" w:cs="Times New Roman"/>
                <w:color w:val="auto"/>
                <w:sz w:val="24"/>
                <w:highlight w:val="none"/>
              </w:rPr>
              <w:t>，项目施工期</w:t>
            </w:r>
            <w:r>
              <w:rPr>
                <w:rFonts w:hint="default" w:ascii="Times New Roman" w:hAnsi="Times New Roman" w:eastAsia="宋体" w:cs="Times New Roman"/>
                <w:color w:val="auto"/>
                <w:sz w:val="24"/>
                <w:highlight w:val="none"/>
                <w:lang w:eastAsia="zh-CN"/>
              </w:rPr>
              <w:t>间施工高峰期</w:t>
            </w:r>
            <w:r>
              <w:rPr>
                <w:rFonts w:hint="default" w:ascii="Times New Roman" w:hAnsi="Times New Roman" w:eastAsia="宋体" w:cs="Times New Roman"/>
                <w:color w:val="auto"/>
                <w:sz w:val="24"/>
                <w:highlight w:val="none"/>
              </w:rPr>
              <w:t>用工</w:t>
            </w:r>
            <w:r>
              <w:rPr>
                <w:rFonts w:hint="default" w:ascii="Times New Roman" w:hAnsi="Times New Roman" w:eastAsia="宋体" w:cs="Times New Roman"/>
                <w:color w:val="auto"/>
                <w:sz w:val="24"/>
                <w:highlight w:val="none"/>
                <w:lang w:eastAsia="zh-CN"/>
              </w:rPr>
              <w:t>人数为</w:t>
            </w:r>
            <w:r>
              <w:rPr>
                <w:rFonts w:hint="eastAsia"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rPr>
              <w:t>人。施工人员为附近</w:t>
            </w:r>
            <w:r>
              <w:rPr>
                <w:rFonts w:hint="default" w:ascii="Times New Roman" w:hAnsi="Times New Roman" w:eastAsia="宋体" w:cs="Times New Roman"/>
                <w:color w:val="auto"/>
                <w:sz w:val="24"/>
                <w:highlight w:val="none"/>
                <w:lang w:eastAsia="zh-CN"/>
              </w:rPr>
              <w:t>村民</w:t>
            </w:r>
            <w:r>
              <w:rPr>
                <w:rFonts w:hint="default" w:ascii="Times New Roman" w:hAnsi="Times New Roman" w:eastAsia="宋体" w:cs="Times New Roman"/>
                <w:color w:val="auto"/>
                <w:sz w:val="24"/>
                <w:highlight w:val="none"/>
              </w:rPr>
              <w:t>，不在工地食宿。生活用水量参照</w:t>
            </w:r>
            <w:r>
              <w:rPr>
                <w:rFonts w:hint="default" w:ascii="Times New Roman" w:hAnsi="Times New Roman" w:eastAsia="宋体" w:cs="Times New Roman"/>
                <w:color w:val="auto"/>
                <w:sz w:val="24"/>
                <w:szCs w:val="26"/>
                <w:highlight w:val="none"/>
                <w:shd w:val="clear" w:color="auto" w:fill="FFFFFF"/>
                <w:lang w:val="zh-TW" w:eastAsia="zh-TW"/>
              </w:rPr>
              <w:t>《陕西省行业用水定额》</w:t>
            </w:r>
            <w:r>
              <w:rPr>
                <w:rFonts w:hint="default" w:ascii="Times New Roman" w:hAnsi="Times New Roman" w:eastAsia="宋体" w:cs="Times New Roman"/>
                <w:color w:val="auto"/>
                <w:sz w:val="24"/>
                <w:szCs w:val="26"/>
                <w:highlight w:val="none"/>
                <w:shd w:val="clear" w:color="auto" w:fill="FFFFFF"/>
              </w:rPr>
              <w:t>（DB61/T</w:t>
            </w:r>
            <w:r>
              <w:rPr>
                <w:rFonts w:hint="default" w:ascii="Times New Roman" w:hAnsi="Times New Roman" w:eastAsia="宋体" w:cs="Times New Roman"/>
                <w:color w:val="auto"/>
                <w:sz w:val="24"/>
                <w:szCs w:val="26"/>
                <w:highlight w:val="none"/>
                <w:shd w:val="clear" w:color="auto" w:fill="FFFFFF"/>
                <w:lang w:val="en-US" w:eastAsia="zh-CN"/>
              </w:rPr>
              <w:t xml:space="preserve"> </w:t>
            </w:r>
            <w:r>
              <w:rPr>
                <w:rFonts w:hint="default" w:ascii="Times New Roman" w:hAnsi="Times New Roman" w:eastAsia="宋体" w:cs="Times New Roman"/>
                <w:color w:val="auto"/>
                <w:sz w:val="24"/>
                <w:szCs w:val="26"/>
                <w:highlight w:val="none"/>
                <w:shd w:val="clear" w:color="auto" w:fill="FFFFFF"/>
                <w:lang w:val="zh-TW" w:eastAsia="zh-TW"/>
              </w:rPr>
              <w:t>943-20</w:t>
            </w:r>
            <w:r>
              <w:rPr>
                <w:rFonts w:hint="default" w:ascii="Times New Roman" w:hAnsi="Times New Roman" w:eastAsia="宋体" w:cs="Times New Roman"/>
                <w:color w:val="auto"/>
                <w:sz w:val="24"/>
                <w:szCs w:val="26"/>
                <w:highlight w:val="none"/>
                <w:shd w:val="clear" w:color="auto" w:fill="FFFFFF"/>
                <w:lang w:val="en-US" w:eastAsia="zh-CN"/>
              </w:rPr>
              <w:t>20</w:t>
            </w:r>
            <w:r>
              <w:rPr>
                <w:rFonts w:hint="default" w:ascii="Times New Roman" w:hAnsi="Times New Roman" w:eastAsia="宋体" w:cs="Times New Roman"/>
                <w:color w:val="auto"/>
                <w:sz w:val="24"/>
                <w:szCs w:val="26"/>
                <w:highlight w:val="none"/>
                <w:shd w:val="clear" w:color="auto" w:fill="FFFFFF"/>
              </w:rPr>
              <w:t>）</w:t>
            </w:r>
            <w:r>
              <w:rPr>
                <w:rFonts w:hint="default" w:ascii="Times New Roman" w:hAnsi="Times New Roman" w:eastAsia="宋体" w:cs="Times New Roman"/>
                <w:color w:val="auto"/>
                <w:sz w:val="24"/>
                <w:szCs w:val="26"/>
                <w:highlight w:val="none"/>
                <w:shd w:val="clear" w:color="auto" w:fill="FFFFFF"/>
                <w:lang w:eastAsia="zh-CN"/>
              </w:rPr>
              <w:t>，生活用水量按</w:t>
            </w:r>
            <w:r>
              <w:rPr>
                <w:rFonts w:hint="default" w:ascii="Times New Roman" w:hAnsi="Times New Roman" w:eastAsia="宋体" w:cs="Times New Roman"/>
                <w:color w:val="auto"/>
                <w:sz w:val="24"/>
                <w:szCs w:val="26"/>
                <w:highlight w:val="none"/>
                <w:shd w:val="clear" w:color="auto" w:fill="FFFFFF"/>
              </w:rPr>
              <w:t>50L/人·d</w:t>
            </w:r>
            <w:r>
              <w:rPr>
                <w:rFonts w:hint="default" w:ascii="Times New Roman" w:hAnsi="Times New Roman" w:eastAsia="宋体" w:cs="Times New Roman"/>
                <w:color w:val="auto"/>
                <w:sz w:val="24"/>
                <w:szCs w:val="26"/>
                <w:highlight w:val="none"/>
                <w:shd w:val="clear" w:color="auto" w:fill="FFFFFF"/>
                <w:lang w:eastAsia="zh-CN"/>
              </w:rPr>
              <w:t>计，</w:t>
            </w:r>
            <w:r>
              <w:rPr>
                <w:rFonts w:hint="default" w:ascii="Times New Roman" w:hAnsi="Times New Roman" w:eastAsia="宋体" w:cs="Times New Roman"/>
                <w:color w:val="auto"/>
                <w:sz w:val="24"/>
                <w:highlight w:val="none"/>
                <w:lang w:val="zh-CN"/>
              </w:rPr>
              <w:t>污水排放量按用水量的80%计，</w:t>
            </w:r>
            <w:r>
              <w:rPr>
                <w:rFonts w:hint="default" w:ascii="Times New Roman" w:hAnsi="Times New Roman" w:eastAsia="宋体" w:cs="Times New Roman"/>
                <w:color w:val="auto"/>
                <w:sz w:val="24"/>
                <w:highlight w:val="none"/>
              </w:rPr>
              <w:t>经核算：生活污水产生量</w:t>
            </w:r>
            <w:r>
              <w:rPr>
                <w:rFonts w:hint="eastAsia" w:ascii="Times New Roman" w:hAnsi="Times New Roman" w:eastAsia="宋体" w:cs="Times New Roman"/>
                <w:color w:val="auto"/>
                <w:sz w:val="24"/>
                <w:highlight w:val="none"/>
                <w:lang w:val="en-US" w:eastAsia="zh-CN"/>
              </w:rPr>
              <w:t>0.8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highlight w:val="none"/>
              </w:rPr>
              <w:t>。</w:t>
            </w:r>
          </w:p>
          <w:p w14:paraId="1DBC1DBC">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环保措施初步要求：</w:t>
            </w:r>
          </w:p>
          <w:p w14:paraId="6CF64BE8">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①严格管理禁止直排：含油</w:t>
            </w:r>
            <w:r>
              <w:rPr>
                <w:rFonts w:hint="default" w:ascii="Times New Roman" w:hAnsi="Times New Roman" w:eastAsia="宋体" w:cs="Times New Roman"/>
                <w:color w:val="auto"/>
                <w:sz w:val="24"/>
                <w:highlight w:val="none"/>
                <w:lang w:eastAsia="zh-CN"/>
              </w:rPr>
              <w:t>生活污水</w:t>
            </w:r>
            <w:r>
              <w:rPr>
                <w:rFonts w:hint="default" w:ascii="Times New Roman" w:hAnsi="Times New Roman" w:eastAsia="宋体" w:cs="Times New Roman"/>
                <w:color w:val="auto"/>
                <w:sz w:val="24"/>
                <w:highlight w:val="none"/>
              </w:rPr>
              <w:t>需先经隔油处理，严禁直排，少量生活盥洗水经收集后</w:t>
            </w:r>
            <w:r>
              <w:rPr>
                <w:rFonts w:hint="default" w:ascii="Times New Roman" w:hAnsi="Times New Roman" w:eastAsia="宋体" w:cs="Times New Roman"/>
                <w:color w:val="auto"/>
                <w:sz w:val="24"/>
                <w:highlight w:val="none"/>
                <w:lang w:eastAsia="zh-CN"/>
              </w:rPr>
              <w:t>，可用于</w:t>
            </w:r>
            <w:r>
              <w:rPr>
                <w:rFonts w:hint="default" w:ascii="Times New Roman" w:hAnsi="Times New Roman" w:eastAsia="宋体" w:cs="Times New Roman"/>
                <w:color w:val="auto"/>
                <w:sz w:val="24"/>
                <w:highlight w:val="none"/>
              </w:rPr>
              <w:t>施工场地、道路和绿化洒水；</w:t>
            </w:r>
          </w:p>
          <w:p w14:paraId="28019441">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②生活污水依托处理：</w:t>
            </w:r>
            <w:bookmarkStart w:id="28" w:name="OLE_LINK98"/>
            <w:r>
              <w:rPr>
                <w:rFonts w:hint="default" w:ascii="Times New Roman" w:hAnsi="Times New Roman" w:eastAsia="宋体" w:cs="Times New Roman"/>
                <w:color w:val="auto"/>
                <w:sz w:val="24"/>
                <w:highlight w:val="none"/>
              </w:rPr>
              <w:t>生活污水依托现有生活污水处理站，经处理后全部回用，不外排。</w:t>
            </w:r>
            <w:bookmarkEnd w:id="28"/>
          </w:p>
          <w:p w14:paraId="70F9EE4A">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生产废水</w:t>
            </w:r>
          </w:p>
          <w:p w14:paraId="07282A4C">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施工期生产废水主要包括混凝土搅拌废水、混凝土养护排水，废水含有水泥、沙子、块状垃圾等杂质；车辆和施工设备的冲洗</w:t>
            </w:r>
            <w:r>
              <w:rPr>
                <w:rFonts w:hint="eastAsia" w:ascii="Times New Roman" w:hAnsi="Times New Roman" w:eastAsia="宋体" w:cs="Times New Roman"/>
                <w:color w:val="auto"/>
                <w:sz w:val="24"/>
                <w:szCs w:val="24"/>
                <w:highlight w:val="none"/>
                <w:lang w:val="en-US" w:eastAsia="zh-CN"/>
              </w:rPr>
              <w:t>废</w:t>
            </w:r>
            <w:r>
              <w:rPr>
                <w:rFonts w:hint="default" w:ascii="Times New Roman" w:hAnsi="Times New Roman" w:eastAsia="宋体" w:cs="Times New Roman"/>
                <w:color w:val="auto"/>
                <w:sz w:val="24"/>
                <w:szCs w:val="24"/>
                <w:highlight w:val="none"/>
              </w:rPr>
              <w:t>水</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主要污染物是悬浮物、少量石油类污染物。</w:t>
            </w:r>
          </w:p>
          <w:p w14:paraId="5516C7E6">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为避免施工废水肆意排放对环境的不良影响，评价要求建设单位必须加强施工场地管理：</w:t>
            </w:r>
          </w:p>
          <w:p w14:paraId="74CFDADE">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①泥沙废水处理再利用：</w:t>
            </w:r>
            <w:r>
              <w:rPr>
                <w:rFonts w:hint="default" w:ascii="Times New Roman" w:hAnsi="Times New Roman" w:eastAsia="宋体" w:cs="Times New Roman"/>
                <w:color w:val="auto"/>
                <w:sz w:val="24"/>
                <w:highlight w:val="none"/>
                <w:lang w:eastAsia="zh-CN"/>
              </w:rPr>
              <w:t>在</w:t>
            </w:r>
            <w:r>
              <w:rPr>
                <w:rFonts w:hint="default" w:ascii="Times New Roman" w:hAnsi="Times New Roman" w:eastAsia="宋体" w:cs="Times New Roman"/>
                <w:color w:val="auto"/>
                <w:sz w:val="24"/>
                <w:highlight w:val="none"/>
              </w:rPr>
              <w:t>施工初期，</w:t>
            </w:r>
            <w:r>
              <w:rPr>
                <w:rFonts w:hint="default" w:ascii="Times New Roman" w:hAnsi="Times New Roman" w:eastAsia="宋体" w:cs="Times New Roman"/>
                <w:color w:val="auto"/>
                <w:sz w:val="24"/>
                <w:highlight w:val="none"/>
                <w:lang w:eastAsia="zh-CN"/>
              </w:rPr>
              <w:t>由于</w:t>
            </w:r>
            <w:r>
              <w:rPr>
                <w:rFonts w:hint="default" w:ascii="Times New Roman" w:hAnsi="Times New Roman" w:eastAsia="宋体" w:cs="Times New Roman"/>
                <w:color w:val="auto"/>
                <w:sz w:val="24"/>
                <w:highlight w:val="none"/>
              </w:rPr>
              <w:t>场地平整、地基开挖和混凝土养护等</w:t>
            </w:r>
            <w:r>
              <w:rPr>
                <w:rFonts w:hint="default" w:ascii="Times New Roman" w:hAnsi="Times New Roman" w:eastAsia="宋体" w:cs="Times New Roman"/>
                <w:color w:val="auto"/>
                <w:sz w:val="24"/>
                <w:highlight w:val="none"/>
                <w:lang w:eastAsia="zh-CN"/>
              </w:rPr>
              <w:t>原因</w:t>
            </w:r>
            <w:r>
              <w:rPr>
                <w:rFonts w:hint="default" w:ascii="Times New Roman" w:hAnsi="Times New Roman" w:eastAsia="宋体" w:cs="Times New Roman"/>
                <w:color w:val="auto"/>
                <w:sz w:val="24"/>
                <w:highlight w:val="none"/>
              </w:rPr>
              <w:t>，会产生浑浊的施工废水</w:t>
            </w:r>
            <w:r>
              <w:rPr>
                <w:rFonts w:hint="default" w:ascii="Times New Roman" w:hAnsi="Times New Roman" w:eastAsia="宋体" w:cs="Times New Roman"/>
                <w:color w:val="auto"/>
                <w:sz w:val="24"/>
                <w:highlight w:val="none"/>
                <w:lang w:eastAsia="zh-CN"/>
              </w:rPr>
              <w:t>。为了处理这些废水，需要设置</w:t>
            </w:r>
            <w:r>
              <w:rPr>
                <w:rFonts w:hint="default" w:ascii="Times New Roman" w:hAnsi="Times New Roman" w:eastAsia="宋体" w:cs="Times New Roman"/>
                <w:color w:val="auto"/>
                <w:sz w:val="24"/>
                <w:highlight w:val="none"/>
              </w:rPr>
              <w:t>沉砂池</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沉淀处理后尽量循环使用；</w:t>
            </w:r>
          </w:p>
          <w:p w14:paraId="42743F6D">
            <w:pPr>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②油污废水处理再利用：施工机械在保养和冲洗时将产生</w:t>
            </w:r>
            <w:r>
              <w:rPr>
                <w:rFonts w:hint="default" w:ascii="Times New Roman" w:hAnsi="Times New Roman" w:eastAsia="宋体" w:cs="Times New Roman"/>
                <w:color w:val="auto"/>
                <w:sz w:val="24"/>
                <w:highlight w:val="none"/>
                <w:lang w:eastAsia="zh-CN"/>
              </w:rPr>
              <w:t>含油</w:t>
            </w:r>
            <w:r>
              <w:rPr>
                <w:rFonts w:hint="default" w:ascii="Times New Roman" w:hAnsi="Times New Roman" w:eastAsia="宋体" w:cs="Times New Roman"/>
                <w:color w:val="auto"/>
                <w:sz w:val="24"/>
                <w:highlight w:val="none"/>
              </w:rPr>
              <w:t>类废水，经隔油、沉淀处理后对场地进行洒水降尘。</w:t>
            </w:r>
          </w:p>
          <w:p w14:paraId="4EDC725E">
            <w:pPr>
              <w:widowControl/>
              <w:adjustRightInd w:val="0"/>
              <w:snapToGrid w:val="0"/>
              <w:spacing w:line="360" w:lineRule="auto"/>
              <w:ind w:firstLine="482" w:firstLineChars="2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3</w:t>
            </w:r>
            <w:r>
              <w:rPr>
                <w:rFonts w:hint="eastAsia" w:cs="Times New Roman"/>
                <w:b/>
                <w:color w:val="auto"/>
                <w:sz w:val="24"/>
                <w:highlight w:val="none"/>
                <w:lang w:val="en-US" w:eastAsia="zh-CN"/>
              </w:rPr>
              <w:t>.</w:t>
            </w:r>
            <w:r>
              <w:rPr>
                <w:rFonts w:hint="default" w:ascii="Times New Roman" w:hAnsi="Times New Roman" w:eastAsia="宋体" w:cs="Times New Roman"/>
                <w:b/>
                <w:color w:val="auto"/>
                <w:sz w:val="24"/>
                <w:highlight w:val="none"/>
              </w:rPr>
              <w:t>噪声污染物</w:t>
            </w:r>
          </w:p>
          <w:p w14:paraId="16E54ABE">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施工设备噪声</w:t>
            </w:r>
            <w:r>
              <w:rPr>
                <w:rFonts w:hint="default" w:ascii="Times New Roman" w:hAnsi="Times New Roman" w:eastAsia="宋体" w:cs="Times New Roman"/>
                <w:color w:val="auto"/>
                <w:sz w:val="24"/>
                <w:highlight w:val="none"/>
                <w:lang w:eastAsia="zh-CN"/>
              </w:rPr>
              <w:t>及噪声源</w:t>
            </w:r>
          </w:p>
          <w:p w14:paraId="4DBC49BA">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施工期噪声主要来自施工过程中各种施工机械产生的噪声，包括各种轻重型运输车、土石方开挖阶段的推土机、挖掘机、装载机、翻斗机</w:t>
            </w:r>
            <w:r>
              <w:rPr>
                <w:rFonts w:hint="eastAsia"/>
                <w:lang w:eastAsia="zh-CN"/>
              </w:rPr>
              <w:t>、</w:t>
            </w:r>
            <w:r>
              <w:rPr>
                <w:rFonts w:hint="default" w:ascii="Times New Roman" w:hAnsi="Times New Roman" w:eastAsia="宋体" w:cs="Times New Roman"/>
                <w:color w:val="auto"/>
                <w:sz w:val="24"/>
                <w:szCs w:val="24"/>
                <w:highlight w:val="none"/>
              </w:rPr>
              <w:t>结构施工阶段的搅拌机，以及结构装修阶段的切割机等。</w:t>
            </w:r>
            <w:r>
              <w:rPr>
                <w:rFonts w:hint="default" w:ascii="Times New Roman" w:hAnsi="Times New Roman" w:eastAsia="宋体" w:cs="Times New Roman"/>
                <w:color w:val="auto"/>
                <w:sz w:val="24"/>
                <w:highlight w:val="none"/>
                <w:lang w:eastAsia="zh-CN"/>
              </w:rPr>
              <w:t>该噪声具有阶段性、临时性和不固定性等特点，因此管理显得尤为重要。施工现场的噪声管理执行《</w:t>
            </w:r>
            <w:bookmarkStart w:id="29" w:name="OLE_LINK99"/>
            <w:r>
              <w:rPr>
                <w:rFonts w:hint="default" w:ascii="Times New Roman" w:hAnsi="Times New Roman" w:eastAsia="宋体" w:cs="Times New Roman"/>
                <w:color w:val="auto"/>
                <w:sz w:val="24"/>
                <w:highlight w:val="none"/>
                <w:lang w:eastAsia="zh-CN"/>
              </w:rPr>
              <w:t>建筑施工场界环境噪声排放标准</w:t>
            </w:r>
            <w:bookmarkEnd w:id="29"/>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GB12523-2011</w:t>
            </w:r>
            <w:r>
              <w:rPr>
                <w:rFonts w:hint="default" w:ascii="Times New Roman" w:hAnsi="Times New Roman" w:eastAsia="宋体" w:cs="Times New Roman"/>
                <w:color w:val="auto"/>
                <w:sz w:val="24"/>
                <w:highlight w:val="none"/>
                <w:lang w:eastAsia="zh-CN"/>
              </w:rPr>
              <w:t>）的规定，加强管理，文明施工。</w:t>
            </w:r>
          </w:p>
          <w:p w14:paraId="49508B2F">
            <w:pPr>
              <w:widowControl/>
              <w:adjustRightInd w:val="0"/>
              <w:snapToGrid w:val="0"/>
              <w:spacing w:line="360" w:lineRule="auto"/>
              <w:ind w:firstLine="480"/>
              <w:jc w:val="left"/>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lang w:val="en-US" w:eastAsia="zh-CN"/>
              </w:rPr>
              <w:t>2</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rPr>
              <w:t>噪声防治措施</w:t>
            </w:r>
          </w:p>
          <w:p w14:paraId="13D0FA28">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为最大限度地减少施工噪声对环境的影响，确保施工期噪声达到</w:t>
            </w:r>
            <w:r>
              <w:rPr>
                <w:rFonts w:hint="default" w:ascii="Times New Roman" w:hAnsi="Times New Roman" w:eastAsia="宋体" w:cs="Times New Roman"/>
                <w:color w:val="auto"/>
                <w:kern w:val="0"/>
                <w:sz w:val="24"/>
                <w:highlight w:val="none"/>
              </w:rPr>
              <w:t>《建筑施工场界环境噪声排放标准》（GB12523-2011），</w:t>
            </w:r>
            <w:r>
              <w:rPr>
                <w:rFonts w:hint="default" w:ascii="Times New Roman" w:hAnsi="Times New Roman" w:eastAsia="宋体" w:cs="Times New Roman"/>
                <w:color w:val="auto"/>
                <w:sz w:val="24"/>
                <w:highlight w:val="none"/>
              </w:rPr>
              <w:t>要求施工单位在工程施工期采取以下噪声控制措施：</w:t>
            </w:r>
          </w:p>
          <w:p w14:paraId="6F22B182">
            <w:pPr>
              <w:adjustRightInd w:val="0"/>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①加强施工时间管控：合理安排施工时间，避免大量高噪声设备同时施工；采用先进的混凝土施工工艺，避免连续施工</w:t>
            </w:r>
            <w:r>
              <w:rPr>
                <w:rFonts w:hint="default" w:ascii="Times New Roman" w:hAnsi="Times New Roman" w:eastAsia="宋体" w:cs="Times New Roman"/>
                <w:color w:val="auto"/>
                <w:sz w:val="24"/>
                <w:highlight w:val="none"/>
                <w:lang w:eastAsia="zh-CN"/>
              </w:rPr>
              <w:t>。</w:t>
            </w:r>
          </w:p>
          <w:p w14:paraId="7EC33B0D">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施工场地优化布局：合理布置施工现场，避免在施工现场的同一地点安排大量的高噪声设备，造成局部声级过高；将高噪声设备尽量放置在用地中心，远离厂界；合理安排强噪声施工机械的工作频次，合理调配车辆来往行车密度。</w:t>
            </w:r>
          </w:p>
          <w:p w14:paraId="0E9A7784">
            <w:pPr>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噪声源头控制：采用低噪声的施工工艺和施工方法，选用低噪声设备，如振捣器采用高频振捣器等，使用商品混凝土，避免混凝土搅拌机等噪声的影响；对动力机械设备定期进行维修和养护，避免因松动部件振动或消声器损坏而加大设备工作时的声级；模板、支架拆卸过程中，遵守作业规定，减少碰撞</w:t>
            </w:r>
            <w:r>
              <w:rPr>
                <w:rFonts w:hint="default" w:ascii="Times New Roman" w:hAnsi="Times New Roman" w:eastAsia="宋体" w:cs="Times New Roman"/>
                <w:color w:val="auto"/>
                <w:sz w:val="24"/>
                <w:highlight w:val="none"/>
                <w:lang w:eastAsia="zh-CN"/>
              </w:rPr>
              <w:t>噪声</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建议</w:t>
            </w:r>
            <w:r>
              <w:rPr>
                <w:rFonts w:hint="default" w:ascii="Times New Roman" w:hAnsi="Times New Roman" w:eastAsia="宋体" w:cs="Times New Roman"/>
                <w:color w:val="auto"/>
                <w:sz w:val="24"/>
                <w:highlight w:val="none"/>
              </w:rPr>
              <w:t>少用哨子、喇叭、鸣笛等指挥作业，减少人为噪声</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运输车辆在进入施工区附近区域后要降低车速，避免鸣笛；在不影响施工</w:t>
            </w:r>
            <w:r>
              <w:rPr>
                <w:rFonts w:hint="eastAsia"/>
                <w:sz w:val="24"/>
                <w:szCs w:val="24"/>
                <w:lang w:val="en-US" w:eastAsia="zh-CN"/>
              </w:rPr>
              <w:t>的</w:t>
            </w:r>
            <w:r>
              <w:rPr>
                <w:rFonts w:hint="default" w:ascii="Times New Roman" w:hAnsi="Times New Roman" w:eastAsia="宋体" w:cs="Times New Roman"/>
                <w:color w:val="auto"/>
                <w:sz w:val="24"/>
                <w:highlight w:val="none"/>
              </w:rPr>
              <w:t>情况下将噪声设备尽量不集中安排，并将其移至距离居民住宅等敏感点较远处，对位置相对固定的机械设备，能</w:t>
            </w:r>
            <w:r>
              <w:rPr>
                <w:rFonts w:hint="eastAsia" w:cs="Times New Roman"/>
                <w:color w:val="auto"/>
                <w:sz w:val="24"/>
                <w:highlight w:val="none"/>
                <w:lang w:eastAsia="zh-CN"/>
              </w:rPr>
              <w:t>在</w:t>
            </w:r>
            <w:r>
              <w:rPr>
                <w:rFonts w:hint="default" w:ascii="Times New Roman" w:hAnsi="Times New Roman" w:eastAsia="宋体" w:cs="Times New Roman"/>
                <w:color w:val="auto"/>
                <w:sz w:val="24"/>
                <w:highlight w:val="none"/>
              </w:rPr>
              <w:t>隔声棚内操作的尽量进入隔声棚，隔声棚的墙高度应超过设备1.5m以上，墙宽度要使噪声敏感点阻隔在噪声发射角以外，顶部可用双层石棉瓦加盖；对不能入棚的机械设备，可适当建立单面声屏障，声屏障可选用砖石料、混凝土、木材、金属、轻型多孔吸声复合材料建造，当采用木材、多孔吸声材料时，应</w:t>
            </w:r>
            <w:r>
              <w:rPr>
                <w:rFonts w:hint="default" w:ascii="Times New Roman" w:hAnsi="Times New Roman" w:eastAsia="宋体" w:cs="Times New Roman"/>
                <w:color w:val="auto"/>
                <w:sz w:val="24"/>
                <w:highlight w:val="none"/>
                <w:lang w:eastAsia="zh-CN"/>
              </w:rPr>
              <w:t>做好</w:t>
            </w:r>
            <w:r>
              <w:rPr>
                <w:rFonts w:hint="default" w:ascii="Times New Roman" w:hAnsi="Times New Roman" w:eastAsia="宋体" w:cs="Times New Roman"/>
                <w:color w:val="auto"/>
                <w:sz w:val="24"/>
                <w:highlight w:val="none"/>
              </w:rPr>
              <w:t>防火、防腐处理。</w:t>
            </w:r>
          </w:p>
          <w:p w14:paraId="63E2F11A">
            <w:pPr>
              <w:widowControl/>
              <w:adjustRightInd w:val="0"/>
              <w:snapToGrid w:val="0"/>
              <w:spacing w:line="360" w:lineRule="auto"/>
              <w:ind w:firstLine="482" w:firstLineChars="2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4</w:t>
            </w:r>
            <w:r>
              <w:rPr>
                <w:rFonts w:hint="eastAsia" w:cs="Times New Roman"/>
                <w:b/>
                <w:color w:val="auto"/>
                <w:sz w:val="24"/>
                <w:highlight w:val="none"/>
                <w:lang w:val="en-US" w:eastAsia="zh-CN"/>
              </w:rPr>
              <w:t>.</w:t>
            </w:r>
            <w:r>
              <w:rPr>
                <w:rFonts w:hint="default" w:ascii="Times New Roman" w:hAnsi="Times New Roman" w:eastAsia="宋体" w:cs="Times New Roman"/>
                <w:b/>
                <w:color w:val="auto"/>
                <w:sz w:val="24"/>
                <w:highlight w:val="none"/>
              </w:rPr>
              <w:t>固体废弃物</w:t>
            </w:r>
          </w:p>
          <w:p w14:paraId="7C887AA8">
            <w:pPr>
              <w:widowControl/>
              <w:adjustRightInd w:val="0"/>
              <w:snapToGrid w:val="0"/>
              <w:spacing w:line="360" w:lineRule="auto"/>
              <w:ind w:firstLine="480" w:firstLineChars="200"/>
              <w:jc w:val="left"/>
              <w:rPr>
                <w:rFonts w:hint="default" w:ascii="Times New Roman" w:hAnsi="Times New Roman" w:eastAsia="宋体" w:cs="Times New Roman"/>
                <w:color w:val="auto"/>
                <w:sz w:val="24"/>
                <w:highlight w:val="none"/>
                <w:lang w:val="en-GB"/>
              </w:rPr>
            </w:pPr>
            <w:r>
              <w:rPr>
                <w:rFonts w:hint="default" w:ascii="Times New Roman" w:hAnsi="Times New Roman" w:eastAsia="宋体" w:cs="Times New Roman"/>
                <w:color w:val="auto"/>
                <w:sz w:val="24"/>
                <w:highlight w:val="none"/>
                <w:lang w:val="en-GB"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GB" w:eastAsia="zh-CN"/>
              </w:rPr>
              <w:t>）</w:t>
            </w:r>
            <w:r>
              <w:rPr>
                <w:rFonts w:hint="default" w:ascii="Times New Roman" w:hAnsi="Times New Roman" w:eastAsia="宋体" w:cs="Times New Roman"/>
                <w:color w:val="auto"/>
                <w:sz w:val="24"/>
                <w:highlight w:val="none"/>
                <w:lang w:val="en-GB"/>
              </w:rPr>
              <w:t>施工人员生活垃圾</w:t>
            </w:r>
          </w:p>
          <w:p w14:paraId="664B9070">
            <w:pPr>
              <w:pStyle w:val="27"/>
              <w:numPr>
                <w:ilvl w:val="0"/>
                <w:numId w:val="0"/>
              </w:numPr>
              <w:spacing w:line="360" w:lineRule="auto"/>
              <w:ind w:firstLine="480" w:firstLineChars="200"/>
              <w:rPr>
                <w:rFonts w:hint="default" w:ascii="Times New Roman" w:hAnsi="Times New Roman" w:eastAsia="宋体" w:cs="Times New Roman"/>
                <w:color w:val="auto"/>
                <w:sz w:val="24"/>
                <w:highlight w:val="none"/>
                <w:lang w:val="en-GB"/>
              </w:rPr>
            </w:pPr>
            <w:r>
              <w:rPr>
                <w:rFonts w:hint="default" w:ascii="Times New Roman" w:hAnsi="Times New Roman" w:eastAsia="宋体" w:cs="Times New Roman"/>
                <w:color w:val="auto"/>
                <w:sz w:val="24"/>
                <w:highlight w:val="none"/>
              </w:rPr>
              <w:t>项目施工期</w:t>
            </w:r>
            <w:r>
              <w:rPr>
                <w:rFonts w:hint="default" w:ascii="Times New Roman" w:hAnsi="Times New Roman" w:eastAsia="宋体" w:cs="Times New Roman"/>
                <w:color w:val="auto"/>
                <w:sz w:val="24"/>
                <w:highlight w:val="none"/>
                <w:lang w:eastAsia="zh-CN"/>
              </w:rPr>
              <w:t>间施工高峰期</w:t>
            </w:r>
            <w:r>
              <w:rPr>
                <w:rFonts w:hint="default" w:ascii="Times New Roman" w:hAnsi="Times New Roman" w:eastAsia="宋体" w:cs="Times New Roman"/>
                <w:color w:val="auto"/>
                <w:sz w:val="24"/>
                <w:highlight w:val="none"/>
              </w:rPr>
              <w:t>用工</w:t>
            </w:r>
            <w:r>
              <w:rPr>
                <w:rFonts w:hint="default" w:ascii="Times New Roman" w:hAnsi="Times New Roman" w:eastAsia="宋体" w:cs="Times New Roman"/>
                <w:color w:val="auto"/>
                <w:sz w:val="24"/>
                <w:highlight w:val="none"/>
                <w:lang w:eastAsia="zh-CN"/>
              </w:rPr>
              <w:t>人数为</w:t>
            </w:r>
            <w:r>
              <w:rPr>
                <w:rFonts w:hint="eastAsia"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rPr>
              <w:t>人，</w:t>
            </w:r>
            <w:r>
              <w:rPr>
                <w:rFonts w:hint="default" w:ascii="Times New Roman" w:hAnsi="Times New Roman" w:eastAsia="宋体" w:cs="Times New Roman"/>
                <w:color w:val="auto"/>
                <w:sz w:val="24"/>
                <w:highlight w:val="none"/>
                <w:lang w:val="en-US" w:eastAsia="zh-CN"/>
              </w:rPr>
              <w:t>经查阅《第二次全国污染源普查 城镇生活源产排污系数手册》，生活垃圾产生量按0.44kg/d·人</w:t>
            </w:r>
            <w:r>
              <w:rPr>
                <w:rFonts w:hint="eastAsia" w:ascii="Times New Roman" w:hAnsi="Times New Roman" w:cs="Times New Roman"/>
                <w:color w:val="auto"/>
                <w:sz w:val="24"/>
                <w:highlight w:val="none"/>
                <w:lang w:val="en-US" w:eastAsia="zh-CN"/>
              </w:rPr>
              <w:t>计算</w:t>
            </w:r>
            <w:r>
              <w:rPr>
                <w:rFonts w:hint="default" w:ascii="Times New Roman" w:hAnsi="Times New Roman" w:eastAsia="宋体" w:cs="Times New Roman"/>
                <w:color w:val="auto"/>
                <w:sz w:val="24"/>
                <w:highlight w:val="none"/>
                <w:lang w:val="en-US" w:eastAsia="zh-CN"/>
              </w:rPr>
              <w:t>，项目生活垃圾产生量为</w:t>
            </w:r>
            <w:r>
              <w:rPr>
                <w:rFonts w:hint="eastAsia" w:ascii="Times New Roman" w:hAnsi="Times New Roman" w:eastAsia="宋体" w:cs="Times New Roman"/>
                <w:color w:val="auto"/>
                <w:sz w:val="24"/>
                <w:highlight w:val="none"/>
                <w:lang w:val="en-US" w:eastAsia="zh-CN"/>
              </w:rPr>
              <w:t>8.8</w:t>
            </w:r>
            <w:r>
              <w:rPr>
                <w:rFonts w:hint="default" w:ascii="Times New Roman" w:hAnsi="Times New Roman" w:eastAsia="宋体" w:cs="Times New Roman"/>
                <w:color w:val="auto"/>
                <w:sz w:val="24"/>
                <w:highlight w:val="none"/>
                <w:lang w:val="en-US" w:eastAsia="zh-CN"/>
              </w:rPr>
              <w:t>kg/d。</w:t>
            </w:r>
          </w:p>
          <w:p w14:paraId="78941A02">
            <w:pPr>
              <w:widowControl/>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环保措施初步要求：</w:t>
            </w:r>
          </w:p>
          <w:p w14:paraId="7467985A">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①文明施工管理：加强施工人员管理，培养环境保护意识，禁止</w:t>
            </w:r>
            <w:r>
              <w:rPr>
                <w:rFonts w:hint="eastAsia" w:cs="Times New Roman"/>
                <w:color w:val="auto"/>
                <w:sz w:val="24"/>
                <w:highlight w:val="none"/>
                <w:lang w:val="en-US" w:eastAsia="zh-CN"/>
              </w:rPr>
              <w:t>将</w:t>
            </w:r>
            <w:r>
              <w:rPr>
                <w:rFonts w:hint="default" w:ascii="Times New Roman" w:hAnsi="Times New Roman" w:eastAsia="宋体" w:cs="Times New Roman"/>
                <w:color w:val="auto"/>
                <w:sz w:val="24"/>
                <w:highlight w:val="none"/>
              </w:rPr>
              <w:t>生活垃圾随意丢弃；</w:t>
            </w:r>
          </w:p>
          <w:p w14:paraId="7F1DA77A">
            <w:pPr>
              <w:adjustRightInd w:val="0"/>
              <w:snapToGrid w:val="0"/>
              <w:spacing w:line="360" w:lineRule="auto"/>
              <w:ind w:firstLine="480" w:firstLineChars="200"/>
              <w:jc w:val="left"/>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②生活垃圾收集</w:t>
            </w:r>
            <w:r>
              <w:rPr>
                <w:rFonts w:hint="eastAsia" w:ascii="Times New Roman" w:hAnsi="Times New Roman" w:eastAsia="宋体" w:cs="Times New Roman"/>
                <w:color w:val="auto"/>
                <w:sz w:val="24"/>
                <w:highlight w:val="none"/>
                <w:lang w:val="en-US" w:eastAsia="zh-CN"/>
              </w:rPr>
              <w:t>处置</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highlight w:val="none"/>
              </w:rPr>
              <w:t>厂内生活垃圾设垃圾桶集中收集，</w:t>
            </w:r>
            <w:r>
              <w:rPr>
                <w:rFonts w:hint="eastAsia" w:ascii="Times New Roman" w:hAnsi="Times New Roman" w:eastAsia="宋体" w:cs="Times New Roman"/>
                <w:color w:val="auto"/>
                <w:sz w:val="24"/>
                <w:szCs w:val="24"/>
                <w:highlight w:val="none"/>
                <w:lang w:val="en-US" w:eastAsia="zh-CN"/>
              </w:rPr>
              <w:t>定期交由环卫部门清运处置</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 xml:space="preserve"> </w:t>
            </w:r>
          </w:p>
          <w:p w14:paraId="34156EBC">
            <w:pPr>
              <w:widowControl/>
              <w:adjustRightInd w:val="0"/>
              <w:snapToGrid w:val="0"/>
              <w:spacing w:line="360" w:lineRule="auto"/>
              <w:ind w:firstLine="480" w:firstLineChars="200"/>
              <w:jc w:val="left"/>
              <w:rPr>
                <w:rFonts w:hint="default" w:ascii="Times New Roman" w:hAnsi="Times New Roman" w:eastAsia="宋体" w:cs="Times New Roman"/>
                <w:color w:val="auto"/>
                <w:sz w:val="24"/>
                <w:highlight w:val="none"/>
                <w:lang w:val="en-GB"/>
              </w:rPr>
            </w:pPr>
            <w:r>
              <w:rPr>
                <w:rFonts w:hint="default" w:ascii="Times New Roman" w:hAnsi="Times New Roman" w:eastAsia="宋体" w:cs="Times New Roman"/>
                <w:color w:val="auto"/>
                <w:sz w:val="24"/>
                <w:highlight w:val="none"/>
                <w:lang w:val="en-GB"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GB" w:eastAsia="zh-CN"/>
              </w:rPr>
              <w:t>）</w:t>
            </w:r>
            <w:r>
              <w:rPr>
                <w:rFonts w:hint="default" w:ascii="Times New Roman" w:hAnsi="Times New Roman" w:eastAsia="宋体" w:cs="Times New Roman"/>
                <w:color w:val="auto"/>
                <w:sz w:val="24"/>
                <w:highlight w:val="none"/>
                <w:lang w:val="en-GB"/>
              </w:rPr>
              <w:t>建筑垃圾</w:t>
            </w:r>
          </w:p>
          <w:p w14:paraId="4C08A06B">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项目施工建筑垃圾包括基础开挖及土建工程产生的砖瓦</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石块、渣土、泥土、废弃的混凝土、水泥和砂浆等。施工建筑垃圾成分以无机物为主。</w:t>
            </w:r>
          </w:p>
          <w:p w14:paraId="6E13F6A7">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环保措施初步要求：</w:t>
            </w:r>
          </w:p>
          <w:p w14:paraId="248EF411">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①建筑垃圾</w:t>
            </w:r>
            <w:r>
              <w:rPr>
                <w:rFonts w:hint="default" w:ascii="Times New Roman" w:hAnsi="Times New Roman" w:eastAsia="宋体" w:cs="Times New Roman"/>
                <w:color w:val="auto"/>
                <w:sz w:val="24"/>
                <w:highlight w:val="none"/>
                <w:lang w:eastAsia="zh-CN"/>
              </w:rPr>
              <w:t>及</w:t>
            </w:r>
            <w:r>
              <w:rPr>
                <w:rFonts w:hint="default" w:ascii="Times New Roman" w:hAnsi="Times New Roman" w:eastAsia="宋体" w:cs="Times New Roman"/>
                <w:color w:val="auto"/>
                <w:sz w:val="24"/>
                <w:highlight w:val="none"/>
                <w:lang w:val="en-US" w:eastAsia="zh-CN"/>
              </w:rPr>
              <w:t>废弃</w:t>
            </w:r>
            <w:r>
              <w:rPr>
                <w:rFonts w:hint="default" w:ascii="Times New Roman" w:hAnsi="Times New Roman" w:eastAsia="宋体" w:cs="Times New Roman"/>
                <w:color w:val="auto"/>
                <w:sz w:val="24"/>
                <w:highlight w:val="none"/>
                <w:lang w:eastAsia="zh-CN"/>
              </w:rPr>
              <w:t>土方</w:t>
            </w:r>
            <w:r>
              <w:rPr>
                <w:rFonts w:hint="default" w:ascii="Times New Roman" w:hAnsi="Times New Roman" w:eastAsia="宋体" w:cs="Times New Roman"/>
                <w:color w:val="auto"/>
                <w:sz w:val="24"/>
                <w:highlight w:val="none"/>
              </w:rPr>
              <w:t>综合利用：对于表层土应妥善堆放用于绿化，其余基土优先用于高填方及管道回填土使用，其他建筑垃圾</w:t>
            </w:r>
            <w:r>
              <w:rPr>
                <w:rFonts w:hint="default" w:ascii="Times New Roman" w:hAnsi="Times New Roman" w:eastAsia="宋体" w:cs="Times New Roman"/>
                <w:color w:val="auto"/>
                <w:sz w:val="24"/>
                <w:highlight w:val="none"/>
                <w:lang w:eastAsia="zh-CN"/>
              </w:rPr>
              <w:t>及弃土</w:t>
            </w:r>
            <w:r>
              <w:rPr>
                <w:rFonts w:hint="default" w:ascii="Times New Roman" w:hAnsi="Times New Roman" w:eastAsia="宋体" w:cs="Times New Roman"/>
                <w:color w:val="auto"/>
                <w:sz w:val="24"/>
                <w:highlight w:val="none"/>
              </w:rPr>
              <w:t>运至生活垃圾填埋场做覆土使用或运送到指定的建筑垃圾</w:t>
            </w:r>
            <w:r>
              <w:rPr>
                <w:rFonts w:hint="default" w:ascii="Times New Roman" w:hAnsi="Times New Roman" w:eastAsia="宋体" w:cs="Times New Roman"/>
                <w:color w:val="auto"/>
                <w:sz w:val="24"/>
                <w:highlight w:val="none"/>
                <w:lang w:eastAsia="zh-CN"/>
              </w:rPr>
              <w:t>收纳</w:t>
            </w:r>
            <w:r>
              <w:rPr>
                <w:rFonts w:hint="default" w:ascii="Times New Roman" w:hAnsi="Times New Roman" w:eastAsia="宋体" w:cs="Times New Roman"/>
                <w:color w:val="auto"/>
                <w:sz w:val="24"/>
                <w:highlight w:val="none"/>
              </w:rPr>
              <w:t>场地；</w:t>
            </w:r>
          </w:p>
          <w:p w14:paraId="2C1ECAB3">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②加强运输管理：施工单位</w:t>
            </w:r>
            <w:r>
              <w:rPr>
                <w:rFonts w:hint="eastAsia" w:cs="Times New Roman"/>
                <w:color w:val="auto"/>
                <w:sz w:val="24"/>
                <w:highlight w:val="none"/>
                <w:lang w:val="en-US" w:eastAsia="zh-CN"/>
              </w:rPr>
              <w:t>要</w:t>
            </w:r>
            <w:r>
              <w:rPr>
                <w:rFonts w:hint="default" w:ascii="Times New Roman" w:hAnsi="Times New Roman" w:eastAsia="宋体" w:cs="Times New Roman"/>
                <w:color w:val="auto"/>
                <w:sz w:val="24"/>
                <w:highlight w:val="none"/>
              </w:rPr>
              <w:t>加强施工管理，规范运输，不得随意洒落，不得随意堆放；</w:t>
            </w:r>
          </w:p>
          <w:p w14:paraId="11D216C6">
            <w:pPr>
              <w:adjustRightInd w:val="0"/>
              <w:snapToGrid w:val="0"/>
              <w:spacing w:line="360" w:lineRule="auto"/>
              <w:ind w:firstLine="480" w:firstLineChars="200"/>
              <w:rPr>
                <w:color w:val="auto"/>
                <w:sz w:val="24"/>
                <w:highlight w:val="none"/>
              </w:rPr>
            </w:pPr>
            <w:r>
              <w:rPr>
                <w:rFonts w:hint="default" w:ascii="Times New Roman" w:hAnsi="Times New Roman" w:eastAsia="宋体" w:cs="Times New Roman"/>
                <w:color w:val="auto"/>
                <w:sz w:val="24"/>
                <w:highlight w:val="none"/>
              </w:rPr>
              <w:t>③办理准运手续：运输建筑垃圾前，到相应的</w:t>
            </w:r>
            <w:r>
              <w:rPr>
                <w:rFonts w:hint="eastAsia" w:cs="Times New Roman"/>
                <w:color w:val="auto"/>
                <w:sz w:val="24"/>
                <w:highlight w:val="none"/>
                <w:lang w:eastAsia="zh-CN"/>
              </w:rPr>
              <w:t>淤泥</w:t>
            </w:r>
            <w:r>
              <w:rPr>
                <w:rFonts w:hint="default" w:ascii="Times New Roman" w:hAnsi="Times New Roman" w:eastAsia="宋体" w:cs="Times New Roman"/>
                <w:color w:val="auto"/>
                <w:sz w:val="24"/>
                <w:highlight w:val="none"/>
              </w:rPr>
              <w:t>渣土管理机构办理准运证，并按规定的运输时间、路线运送</w:t>
            </w:r>
            <w:r>
              <w:rPr>
                <w:rFonts w:hint="default" w:ascii="Times New Roman" w:hAnsi="Times New Roman" w:eastAsia="宋体" w:cs="Times New Roman"/>
                <w:color w:val="auto"/>
                <w:sz w:val="24"/>
                <w:highlight w:val="none"/>
                <w:lang w:val="en-GB"/>
              </w:rPr>
              <w:t>至生活垃圾填埋场</w:t>
            </w:r>
            <w:r>
              <w:rPr>
                <w:rFonts w:hint="default" w:ascii="Times New Roman" w:hAnsi="Times New Roman" w:eastAsia="宋体" w:cs="Times New Roman"/>
                <w:color w:val="auto"/>
                <w:sz w:val="24"/>
                <w:highlight w:val="none"/>
                <w:lang w:val="en-GB" w:eastAsia="zh-CN"/>
              </w:rPr>
              <w:t>作</w:t>
            </w:r>
            <w:r>
              <w:rPr>
                <w:rFonts w:hint="default" w:ascii="Times New Roman" w:hAnsi="Times New Roman" w:eastAsia="宋体" w:cs="Times New Roman"/>
                <w:color w:val="auto"/>
                <w:sz w:val="24"/>
                <w:highlight w:val="none"/>
                <w:lang w:val="en-GB"/>
              </w:rPr>
              <w:t>覆土使用或</w:t>
            </w:r>
            <w:r>
              <w:rPr>
                <w:rFonts w:hint="default" w:ascii="Times New Roman" w:hAnsi="Times New Roman" w:eastAsia="宋体" w:cs="Times New Roman"/>
                <w:color w:val="auto"/>
                <w:sz w:val="24"/>
                <w:highlight w:val="none"/>
              </w:rPr>
              <w:t>指定的建筑垃圾</w:t>
            </w:r>
            <w:r>
              <w:rPr>
                <w:rFonts w:hint="default" w:ascii="Times New Roman" w:hAnsi="Times New Roman" w:eastAsia="宋体" w:cs="Times New Roman"/>
                <w:color w:val="auto"/>
                <w:sz w:val="24"/>
                <w:highlight w:val="none"/>
                <w:lang w:eastAsia="zh-CN"/>
              </w:rPr>
              <w:t>收纳</w:t>
            </w:r>
            <w:r>
              <w:rPr>
                <w:rFonts w:hint="default" w:ascii="Times New Roman" w:hAnsi="Times New Roman" w:eastAsia="宋体" w:cs="Times New Roman"/>
                <w:color w:val="auto"/>
                <w:sz w:val="24"/>
                <w:highlight w:val="none"/>
              </w:rPr>
              <w:t>场地</w:t>
            </w:r>
            <w:r>
              <w:rPr>
                <w:rFonts w:hint="eastAsia" w:cs="Times New Roman"/>
                <w:color w:val="auto"/>
                <w:sz w:val="24"/>
                <w:highlight w:val="none"/>
                <w:lang w:eastAsia="zh-CN"/>
              </w:rPr>
              <w:t>。</w:t>
            </w:r>
            <w:bookmarkEnd w:id="23"/>
          </w:p>
        </w:tc>
      </w:tr>
      <w:tr w14:paraId="0FAE4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dxa"/>
            <w:tcBorders>
              <w:tl2br w:val="nil"/>
              <w:tr2bl w:val="nil"/>
            </w:tcBorders>
            <w:noWrap/>
            <w:tcMar>
              <w:top w:w="0" w:type="dxa"/>
              <w:left w:w="28" w:type="dxa"/>
              <w:bottom w:w="0" w:type="dxa"/>
              <w:right w:w="28" w:type="dxa"/>
            </w:tcMar>
            <w:vAlign w:val="center"/>
          </w:tcPr>
          <w:p w14:paraId="51541FB3">
            <w:pPr>
              <w:adjustRightInd w:val="0"/>
              <w:snapToGrid w:val="0"/>
              <w:jc w:val="center"/>
              <w:rPr>
                <w:rFonts w:eastAsiaTheme="minorEastAsia"/>
                <w:bCs/>
                <w:color w:val="auto"/>
                <w:sz w:val="24"/>
                <w:highlight w:val="none"/>
              </w:rPr>
            </w:pPr>
            <w:r>
              <w:rPr>
                <w:rFonts w:eastAsiaTheme="minorEastAsia"/>
                <w:bCs/>
                <w:color w:val="auto"/>
                <w:sz w:val="24"/>
                <w:highlight w:val="none"/>
              </w:rPr>
              <w:t>运营期环境影响和保护措施</w:t>
            </w:r>
          </w:p>
        </w:tc>
        <w:tc>
          <w:tcPr>
            <w:tcW w:w="8848" w:type="dxa"/>
            <w:tcBorders>
              <w:tl2br w:val="nil"/>
              <w:tr2bl w:val="nil"/>
            </w:tcBorders>
            <w:noWrap/>
            <w:vAlign w:val="center"/>
          </w:tcPr>
          <w:p w14:paraId="556EA62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default" w:ascii="Times New Roman" w:hAnsi="Times New Roman" w:cs="Times New Roman"/>
                <w:b/>
                <w:bCs/>
                <w:color w:val="auto"/>
                <w:sz w:val="24"/>
                <w:szCs w:val="24"/>
                <w:highlight w:val="none"/>
                <w:lang w:val="en-US" w:eastAsia="zh-CN"/>
              </w:rPr>
            </w:pPr>
            <w:bookmarkStart w:id="30" w:name="_Toc7906"/>
            <w:bookmarkStart w:id="31" w:name="_Toc375849648"/>
            <w:bookmarkStart w:id="32" w:name="_Toc21365"/>
            <w:bookmarkStart w:id="33" w:name="_Toc15840"/>
            <w:r>
              <w:rPr>
                <w:rFonts w:hint="eastAsia" w:ascii="Times New Roman" w:hAnsi="Times New Roman" w:cs="Times New Roman"/>
                <w:b/>
                <w:bCs/>
                <w:color w:val="auto"/>
                <w:sz w:val="24"/>
                <w:szCs w:val="24"/>
                <w:highlight w:val="none"/>
                <w:lang w:val="en-US" w:eastAsia="zh-CN"/>
              </w:rPr>
              <w:t>一、废气</w:t>
            </w:r>
          </w:p>
          <w:p w14:paraId="08975A6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w:t>
            </w:r>
            <w:r>
              <w:rPr>
                <w:rFonts w:hint="eastAsia" w:ascii="Times New Roman" w:hAnsi="Times New Roman" w:cs="Times New Roman"/>
                <w:b/>
                <w:bCs/>
                <w:color w:val="auto"/>
                <w:sz w:val="24"/>
                <w:szCs w:val="24"/>
                <w:highlight w:val="none"/>
                <w:lang w:val="en-US" w:eastAsia="zh-CN"/>
              </w:rPr>
              <w:t>废气产排情况一览表</w:t>
            </w:r>
          </w:p>
          <w:p w14:paraId="7639F4B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项目运营期</w:t>
            </w:r>
            <w:r>
              <w:rPr>
                <w:rFonts w:hint="eastAsia" w:cs="Times New Roman"/>
                <w:b w:val="0"/>
                <w:bCs w:val="0"/>
                <w:color w:val="auto"/>
                <w:sz w:val="24"/>
                <w:szCs w:val="24"/>
                <w:highlight w:val="none"/>
                <w:lang w:val="en-US" w:eastAsia="zh-CN"/>
              </w:rPr>
              <w:t>废气主要为机制砂生产线产生的筛分粉尘、筒仓呼吸性粉尘、搅拌粉尘、投料粉尘、散装粉尘、袋装粉尘和车辆运输扬尘。</w:t>
            </w:r>
          </w:p>
          <w:p w14:paraId="0280CE6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本项目废气产排情况见下表4-1</w:t>
            </w:r>
            <w:r>
              <w:rPr>
                <w:rFonts w:hint="eastAsia" w:cs="Times New Roman"/>
                <w:b w:val="0"/>
                <w:bCs w:val="0"/>
                <w:color w:val="auto"/>
                <w:sz w:val="24"/>
                <w:szCs w:val="24"/>
                <w:highlight w:val="none"/>
                <w:lang w:val="en-US" w:eastAsia="zh-CN"/>
              </w:rPr>
              <w:t>、表4-2、表4-3</w:t>
            </w:r>
            <w:r>
              <w:rPr>
                <w:rFonts w:hint="eastAsia" w:ascii="Times New Roman" w:hAnsi="Times New Roman" w:cs="Times New Roman"/>
                <w:b w:val="0"/>
                <w:bCs w:val="0"/>
                <w:color w:val="auto"/>
                <w:sz w:val="24"/>
                <w:szCs w:val="24"/>
                <w:highlight w:val="none"/>
                <w:lang w:val="en-US" w:eastAsia="zh-CN"/>
              </w:rPr>
              <w:t>。</w:t>
            </w:r>
          </w:p>
          <w:p w14:paraId="0EB67A2C">
            <w:pPr>
              <w:pStyle w:val="32"/>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宋体" w:cs="Times New Roman"/>
                <w:color w:val="auto"/>
                <w:sz w:val="21"/>
                <w:szCs w:val="21"/>
                <w:highlight w:val="none"/>
              </w:rPr>
            </w:pPr>
            <w:bookmarkStart w:id="34" w:name="OLE_LINK102"/>
            <w:r>
              <w:rPr>
                <w:rFonts w:hint="default" w:ascii="Times New Roman" w:hAnsi="Times New Roman" w:eastAsia="宋体" w:cs="Times New Roman"/>
                <w:b/>
                <w:bCs/>
                <w:color w:val="auto"/>
                <w:spacing w:val="6"/>
                <w:sz w:val="21"/>
                <w:szCs w:val="21"/>
                <w:highlight w:val="none"/>
              </w:rPr>
              <w:t>表4-1  有组织废气产生和排放源强一览表</w:t>
            </w:r>
          </w:p>
          <w:tbl>
            <w:tblPr>
              <w:tblStyle w:val="45"/>
              <w:tblW w:w="825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62"/>
              <w:gridCol w:w="563"/>
              <w:gridCol w:w="720"/>
              <w:gridCol w:w="812"/>
              <w:gridCol w:w="757"/>
              <w:gridCol w:w="745"/>
              <w:gridCol w:w="543"/>
              <w:gridCol w:w="1035"/>
              <w:gridCol w:w="504"/>
              <w:gridCol w:w="720"/>
              <w:gridCol w:w="597"/>
              <w:gridCol w:w="698"/>
            </w:tblGrid>
            <w:tr w14:paraId="48A540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3" w:hRule="atLeast"/>
                <w:jc w:val="center"/>
              </w:trPr>
              <w:tc>
                <w:tcPr>
                  <w:tcW w:w="1125" w:type="dxa"/>
                  <w:gridSpan w:val="2"/>
                  <w:vMerge w:val="restart"/>
                  <w:tcBorders>
                    <w:tl2br w:val="nil"/>
                    <w:tr2bl w:val="nil"/>
                  </w:tcBorders>
                  <w:vAlign w:val="center"/>
                </w:tcPr>
                <w:p w14:paraId="1FD772F4">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污染源</w:t>
                  </w:r>
                </w:p>
              </w:tc>
              <w:tc>
                <w:tcPr>
                  <w:tcW w:w="720" w:type="dxa"/>
                  <w:vMerge w:val="restart"/>
                  <w:tcBorders>
                    <w:tl2br w:val="nil"/>
                    <w:tr2bl w:val="nil"/>
                  </w:tcBorders>
                  <w:vAlign w:val="center"/>
                </w:tcPr>
                <w:p w14:paraId="341E73CC">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污染物</w:t>
                  </w:r>
                  <w:r>
                    <w:rPr>
                      <w:rFonts w:hint="default" w:ascii="Times New Roman" w:hAnsi="Times New Roman" w:eastAsia="宋体" w:cs="Times New Roman"/>
                      <w:b/>
                      <w:bCs/>
                      <w:color w:val="auto"/>
                      <w:spacing w:val="2"/>
                      <w:sz w:val="21"/>
                      <w:szCs w:val="21"/>
                      <w:highlight w:val="none"/>
                    </w:rPr>
                    <w:t>名称</w:t>
                  </w:r>
                </w:p>
              </w:tc>
              <w:tc>
                <w:tcPr>
                  <w:tcW w:w="2314" w:type="dxa"/>
                  <w:gridSpan w:val="3"/>
                  <w:tcBorders>
                    <w:tl2br w:val="nil"/>
                    <w:tr2bl w:val="nil"/>
                  </w:tcBorders>
                  <w:vAlign w:val="center"/>
                </w:tcPr>
                <w:p w14:paraId="1A77FBC0">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7"/>
                      <w:sz w:val="21"/>
                      <w:szCs w:val="21"/>
                      <w:highlight w:val="none"/>
                    </w:rPr>
                    <w:t>污染物产生情况</w:t>
                  </w:r>
                </w:p>
              </w:tc>
              <w:tc>
                <w:tcPr>
                  <w:tcW w:w="543" w:type="dxa"/>
                  <w:vMerge w:val="restart"/>
                  <w:tcBorders>
                    <w:tl2br w:val="nil"/>
                    <w:tr2bl w:val="nil"/>
                  </w:tcBorders>
                  <w:vAlign w:val="center"/>
                </w:tcPr>
                <w:p w14:paraId="41FEF172">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运行</w:t>
                  </w:r>
                  <w:r>
                    <w:rPr>
                      <w:rFonts w:hint="default" w:ascii="Times New Roman" w:hAnsi="Times New Roman" w:eastAsia="宋体" w:cs="Times New Roman"/>
                      <w:b/>
                      <w:bCs/>
                      <w:color w:val="auto"/>
                      <w:spacing w:val="-1"/>
                      <w:sz w:val="21"/>
                      <w:szCs w:val="21"/>
                      <w:highlight w:val="none"/>
                    </w:rPr>
                    <w:t>时间</w:t>
                  </w:r>
                  <w:r>
                    <w:rPr>
                      <w:rFonts w:hint="default" w:ascii="Times New Roman" w:hAnsi="Times New Roman" w:eastAsia="宋体" w:cs="Times New Roman"/>
                      <w:b/>
                      <w:bCs/>
                      <w:color w:val="auto"/>
                      <w:spacing w:val="21"/>
                      <w:sz w:val="21"/>
                      <w:szCs w:val="21"/>
                      <w:highlight w:val="none"/>
                    </w:rPr>
                    <w:t>h/a</w:t>
                  </w:r>
                </w:p>
              </w:tc>
              <w:tc>
                <w:tcPr>
                  <w:tcW w:w="1035" w:type="dxa"/>
                  <w:vMerge w:val="restart"/>
                  <w:tcBorders>
                    <w:tl2br w:val="nil"/>
                    <w:tr2bl w:val="nil"/>
                  </w:tcBorders>
                  <w:vAlign w:val="center"/>
                </w:tcPr>
                <w:p w14:paraId="1DD04E53">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采取处理</w:t>
                  </w:r>
                  <w:r>
                    <w:rPr>
                      <w:rFonts w:hint="default" w:ascii="Times New Roman" w:hAnsi="Times New Roman" w:eastAsia="宋体" w:cs="Times New Roman"/>
                      <w:b/>
                      <w:bCs/>
                      <w:color w:val="auto"/>
                      <w:spacing w:val="3"/>
                      <w:sz w:val="21"/>
                      <w:szCs w:val="21"/>
                      <w:highlight w:val="none"/>
                    </w:rPr>
                    <w:t>措施</w:t>
                  </w:r>
                </w:p>
              </w:tc>
              <w:tc>
                <w:tcPr>
                  <w:tcW w:w="504" w:type="dxa"/>
                  <w:vMerge w:val="restart"/>
                  <w:tcBorders>
                    <w:tl2br w:val="nil"/>
                    <w:tr2bl w:val="nil"/>
                  </w:tcBorders>
                  <w:vAlign w:val="center"/>
                </w:tcPr>
                <w:p w14:paraId="42098A3F">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
                      <w:sz w:val="21"/>
                      <w:szCs w:val="21"/>
                      <w:highlight w:val="none"/>
                    </w:rPr>
                    <w:t>处理效率</w:t>
                  </w:r>
                </w:p>
              </w:tc>
              <w:tc>
                <w:tcPr>
                  <w:tcW w:w="2015" w:type="dxa"/>
                  <w:gridSpan w:val="3"/>
                  <w:tcBorders>
                    <w:tl2br w:val="nil"/>
                    <w:tr2bl w:val="nil"/>
                  </w:tcBorders>
                  <w:vAlign w:val="center"/>
                </w:tcPr>
                <w:p w14:paraId="1E56083E">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7"/>
                      <w:sz w:val="21"/>
                      <w:szCs w:val="21"/>
                      <w:highlight w:val="none"/>
                    </w:rPr>
                    <w:t>污染物排放情况</w:t>
                  </w:r>
                </w:p>
              </w:tc>
            </w:tr>
            <w:tr w14:paraId="5D54E8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5" w:type="dxa"/>
                  <w:gridSpan w:val="2"/>
                  <w:vMerge w:val="continue"/>
                  <w:tcBorders>
                    <w:tl2br w:val="nil"/>
                    <w:tr2bl w:val="nil"/>
                  </w:tcBorders>
                  <w:vAlign w:val="center"/>
                </w:tcPr>
                <w:p w14:paraId="4C5BAE9D">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720" w:type="dxa"/>
                  <w:vMerge w:val="continue"/>
                  <w:tcBorders>
                    <w:tl2br w:val="nil"/>
                    <w:tr2bl w:val="nil"/>
                  </w:tcBorders>
                  <w:vAlign w:val="center"/>
                </w:tcPr>
                <w:p w14:paraId="1D592044">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812" w:type="dxa"/>
                  <w:tcBorders>
                    <w:tl2br w:val="nil"/>
                    <w:tr2bl w:val="nil"/>
                  </w:tcBorders>
                  <w:vAlign w:val="center"/>
                </w:tcPr>
                <w:p w14:paraId="5FDCA5E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sz w:val="21"/>
                      <w:szCs w:val="21"/>
                      <w:highlight w:val="none"/>
                      <w:lang w:val="en-US" w:eastAsia="zh-CN"/>
                    </w:rPr>
                    <w:t>产生量</w:t>
                  </w:r>
                  <w:r>
                    <w:rPr>
                      <w:rFonts w:hint="eastAsia" w:ascii="Times New Roman" w:hAnsi="Times New Roman" w:eastAsia="宋体" w:cs="Times New Roman"/>
                      <w:b/>
                      <w:bCs w:val="0"/>
                      <w:color w:val="auto"/>
                      <w:sz w:val="21"/>
                      <w:szCs w:val="21"/>
                      <w:highlight w:val="none"/>
                      <w:lang w:val="en-US" w:eastAsia="zh-CN"/>
                    </w:rPr>
                    <w:t>（</w:t>
                  </w:r>
                  <w:r>
                    <w:rPr>
                      <w:rFonts w:hint="default" w:ascii="Times New Roman" w:hAnsi="Times New Roman" w:eastAsia="宋体" w:cs="Times New Roman"/>
                      <w:b/>
                      <w:bCs w:val="0"/>
                      <w:color w:val="auto"/>
                      <w:sz w:val="21"/>
                      <w:szCs w:val="21"/>
                      <w:highlight w:val="none"/>
                      <w:lang w:val="en-US" w:eastAsia="zh-CN"/>
                    </w:rPr>
                    <w:t>t/a）</w:t>
                  </w:r>
                </w:p>
              </w:tc>
              <w:tc>
                <w:tcPr>
                  <w:tcW w:w="757" w:type="dxa"/>
                  <w:tcBorders>
                    <w:tl2br w:val="nil"/>
                    <w:tr2bl w:val="nil"/>
                  </w:tcBorders>
                  <w:vAlign w:val="center"/>
                </w:tcPr>
                <w:p w14:paraId="2531C8E0">
                  <w:pPr>
                    <w:adjustRightInd w:val="0"/>
                    <w:snapToGrid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bCs w:val="0"/>
                      <w:color w:val="auto"/>
                      <w:sz w:val="21"/>
                      <w:szCs w:val="21"/>
                      <w:highlight w:val="none"/>
                      <w:lang w:val="en-US" w:eastAsia="zh-CN"/>
                    </w:rPr>
                    <w:t>产生速率（kg/h）</w:t>
                  </w:r>
                </w:p>
              </w:tc>
              <w:tc>
                <w:tcPr>
                  <w:tcW w:w="745" w:type="dxa"/>
                  <w:tcBorders>
                    <w:tl2br w:val="nil"/>
                    <w:tr2bl w:val="nil"/>
                  </w:tcBorders>
                  <w:vAlign w:val="center"/>
                </w:tcPr>
                <w:p w14:paraId="7E58310F">
                  <w:pPr>
                    <w:adjustRightInd w:val="0"/>
                    <w:snapToGrid w:val="0"/>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lang w:val="en-US" w:eastAsia="zh-CN"/>
                    </w:rPr>
                    <w:t>产生浓度（</w:t>
                  </w:r>
                  <w:r>
                    <w:rPr>
                      <w:rFonts w:hint="default" w:ascii="Times New Roman" w:hAnsi="Times New Roman" w:eastAsia="宋体" w:cs="Times New Roman"/>
                      <w:b/>
                      <w:bCs w:val="0"/>
                      <w:color w:val="auto"/>
                      <w:sz w:val="21"/>
                      <w:szCs w:val="21"/>
                      <w:highlight w:val="none"/>
                      <w:lang w:val="en-US" w:eastAsia="zh-CN"/>
                    </w:rPr>
                    <w:t>mg/m</w:t>
                  </w:r>
                  <w:r>
                    <w:rPr>
                      <w:rFonts w:hint="default" w:ascii="Times New Roman" w:hAnsi="Times New Roman" w:eastAsia="宋体" w:cs="Times New Roman"/>
                      <w:b/>
                      <w:bCs w:val="0"/>
                      <w:color w:val="auto"/>
                      <w:sz w:val="21"/>
                      <w:szCs w:val="21"/>
                      <w:highlight w:val="none"/>
                      <w:vertAlign w:val="superscript"/>
                      <w:lang w:val="en-US" w:eastAsia="zh-CN"/>
                    </w:rPr>
                    <w:t>3</w:t>
                  </w:r>
                  <w:r>
                    <w:rPr>
                      <w:rFonts w:hint="eastAsia" w:cs="Times New Roman"/>
                      <w:b/>
                      <w:bCs w:val="0"/>
                      <w:color w:val="auto"/>
                      <w:sz w:val="21"/>
                      <w:szCs w:val="21"/>
                      <w:highlight w:val="none"/>
                      <w:vertAlign w:val="baseline"/>
                      <w:lang w:val="en-US" w:eastAsia="zh-CN"/>
                    </w:rPr>
                    <w:t>）</w:t>
                  </w:r>
                </w:p>
              </w:tc>
              <w:tc>
                <w:tcPr>
                  <w:tcW w:w="543" w:type="dxa"/>
                  <w:vMerge w:val="continue"/>
                  <w:tcBorders>
                    <w:tl2br w:val="nil"/>
                    <w:tr2bl w:val="nil"/>
                  </w:tcBorders>
                  <w:vAlign w:val="center"/>
                </w:tcPr>
                <w:p w14:paraId="145D88A2">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1035" w:type="dxa"/>
                  <w:vMerge w:val="continue"/>
                  <w:tcBorders>
                    <w:tl2br w:val="nil"/>
                    <w:tr2bl w:val="nil"/>
                  </w:tcBorders>
                  <w:vAlign w:val="center"/>
                </w:tcPr>
                <w:p w14:paraId="578E70DC">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504" w:type="dxa"/>
                  <w:vMerge w:val="continue"/>
                  <w:tcBorders>
                    <w:tl2br w:val="nil"/>
                    <w:tr2bl w:val="nil"/>
                  </w:tcBorders>
                  <w:vAlign w:val="center"/>
                </w:tcPr>
                <w:p w14:paraId="58A0C83E">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720" w:type="dxa"/>
                  <w:tcBorders>
                    <w:tl2br w:val="nil"/>
                    <w:tr2bl w:val="nil"/>
                  </w:tcBorders>
                  <w:vAlign w:val="center"/>
                </w:tcPr>
                <w:p w14:paraId="2DCC7C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sz w:val="21"/>
                      <w:szCs w:val="21"/>
                      <w:highlight w:val="none"/>
                      <w:lang w:val="en-US" w:eastAsia="zh-CN"/>
                    </w:rPr>
                    <w:t>排放量</w:t>
                  </w:r>
                  <w:r>
                    <w:rPr>
                      <w:rFonts w:hint="eastAsia" w:ascii="Times New Roman" w:hAnsi="Times New Roman" w:eastAsia="宋体" w:cs="Times New Roman"/>
                      <w:b/>
                      <w:bCs w:val="0"/>
                      <w:color w:val="auto"/>
                      <w:sz w:val="21"/>
                      <w:szCs w:val="21"/>
                      <w:highlight w:val="none"/>
                      <w:lang w:val="en-US" w:eastAsia="zh-CN"/>
                    </w:rPr>
                    <w:t>（</w:t>
                  </w:r>
                  <w:r>
                    <w:rPr>
                      <w:rFonts w:hint="default" w:ascii="Times New Roman" w:hAnsi="Times New Roman" w:eastAsia="宋体" w:cs="Times New Roman"/>
                      <w:b/>
                      <w:bCs w:val="0"/>
                      <w:color w:val="auto"/>
                      <w:sz w:val="21"/>
                      <w:szCs w:val="21"/>
                      <w:highlight w:val="none"/>
                      <w:lang w:val="en-US" w:eastAsia="zh-CN"/>
                    </w:rPr>
                    <w:t>t/a</w:t>
                  </w:r>
                  <w:r>
                    <w:rPr>
                      <w:rFonts w:hint="eastAsia" w:ascii="Times New Roman" w:hAnsi="Times New Roman" w:eastAsia="宋体" w:cs="Times New Roman"/>
                      <w:b/>
                      <w:bCs w:val="0"/>
                      <w:color w:val="auto"/>
                      <w:sz w:val="21"/>
                      <w:szCs w:val="21"/>
                      <w:highlight w:val="none"/>
                      <w:lang w:val="en-US" w:eastAsia="zh-CN"/>
                    </w:rPr>
                    <w:t>）</w:t>
                  </w:r>
                </w:p>
              </w:tc>
              <w:tc>
                <w:tcPr>
                  <w:tcW w:w="597" w:type="dxa"/>
                  <w:tcBorders>
                    <w:tl2br w:val="nil"/>
                    <w:tr2bl w:val="nil"/>
                  </w:tcBorders>
                  <w:vAlign w:val="center"/>
                </w:tcPr>
                <w:p w14:paraId="6E22246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sz w:val="21"/>
                      <w:szCs w:val="21"/>
                      <w:highlight w:val="none"/>
                      <w:lang w:val="en-US" w:eastAsia="zh-CN"/>
                    </w:rPr>
                    <w:t>排放浓度</w:t>
                  </w:r>
                  <w:r>
                    <w:rPr>
                      <w:rFonts w:hint="eastAsia" w:ascii="Times New Roman" w:hAnsi="Times New Roman" w:eastAsia="宋体" w:cs="Times New Roman"/>
                      <w:b/>
                      <w:bCs w:val="0"/>
                      <w:color w:val="auto"/>
                      <w:sz w:val="21"/>
                      <w:szCs w:val="21"/>
                      <w:highlight w:val="none"/>
                      <w:lang w:val="en-US" w:eastAsia="zh-CN"/>
                    </w:rPr>
                    <w:t>（</w:t>
                  </w:r>
                  <w:r>
                    <w:rPr>
                      <w:rFonts w:hint="default" w:ascii="Times New Roman" w:hAnsi="Times New Roman" w:eastAsia="宋体" w:cs="Times New Roman"/>
                      <w:b/>
                      <w:bCs w:val="0"/>
                      <w:color w:val="auto"/>
                      <w:sz w:val="21"/>
                      <w:szCs w:val="21"/>
                      <w:highlight w:val="none"/>
                      <w:lang w:val="en-US" w:eastAsia="zh-CN"/>
                    </w:rPr>
                    <w:t>mg/m</w:t>
                  </w:r>
                  <w:r>
                    <w:rPr>
                      <w:rFonts w:hint="default" w:ascii="Times New Roman" w:hAnsi="Times New Roman" w:eastAsia="宋体" w:cs="Times New Roman"/>
                      <w:b/>
                      <w:bCs w:val="0"/>
                      <w:color w:val="auto"/>
                      <w:sz w:val="21"/>
                      <w:szCs w:val="21"/>
                      <w:highlight w:val="none"/>
                      <w:vertAlign w:val="superscript"/>
                      <w:lang w:val="en-US" w:eastAsia="zh-CN"/>
                    </w:rPr>
                    <w:t>3</w:t>
                  </w:r>
                  <w:r>
                    <w:rPr>
                      <w:rFonts w:hint="eastAsia" w:ascii="Times New Roman" w:hAnsi="Times New Roman" w:eastAsia="宋体" w:cs="Times New Roman"/>
                      <w:b/>
                      <w:bCs w:val="0"/>
                      <w:color w:val="auto"/>
                      <w:sz w:val="21"/>
                      <w:szCs w:val="21"/>
                      <w:highlight w:val="none"/>
                      <w:lang w:val="en-US" w:eastAsia="zh-CN"/>
                    </w:rPr>
                    <w:t>）</w:t>
                  </w:r>
                </w:p>
              </w:tc>
              <w:tc>
                <w:tcPr>
                  <w:tcW w:w="698" w:type="dxa"/>
                  <w:tcBorders>
                    <w:tl2br w:val="nil"/>
                    <w:tr2bl w:val="nil"/>
                  </w:tcBorders>
                  <w:vAlign w:val="center"/>
                </w:tcPr>
                <w:p w14:paraId="5EBD32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排放</w:t>
                  </w:r>
                </w:p>
                <w:p w14:paraId="7AF75AE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sz w:val="21"/>
                      <w:szCs w:val="21"/>
                      <w:highlight w:val="none"/>
                      <w:lang w:val="en-US" w:eastAsia="zh-CN"/>
                    </w:rPr>
                    <w:t>速率</w:t>
                  </w:r>
                  <w:r>
                    <w:rPr>
                      <w:rFonts w:hint="eastAsia" w:ascii="Times New Roman" w:hAnsi="Times New Roman" w:eastAsia="宋体" w:cs="Times New Roman"/>
                      <w:b/>
                      <w:bCs w:val="0"/>
                      <w:color w:val="auto"/>
                      <w:sz w:val="21"/>
                      <w:szCs w:val="21"/>
                      <w:highlight w:val="none"/>
                      <w:lang w:val="en-US" w:eastAsia="zh-CN"/>
                    </w:rPr>
                    <w:t>（</w:t>
                  </w:r>
                  <w:r>
                    <w:rPr>
                      <w:rFonts w:hint="default" w:ascii="Times New Roman" w:hAnsi="Times New Roman" w:eastAsia="宋体" w:cs="Times New Roman"/>
                      <w:b/>
                      <w:bCs w:val="0"/>
                      <w:color w:val="auto"/>
                      <w:sz w:val="21"/>
                      <w:szCs w:val="21"/>
                      <w:highlight w:val="none"/>
                      <w:lang w:val="en-US" w:eastAsia="zh-CN"/>
                    </w:rPr>
                    <w:t>kg/h</w:t>
                  </w:r>
                  <w:r>
                    <w:rPr>
                      <w:rFonts w:hint="eastAsia" w:ascii="Times New Roman" w:hAnsi="Times New Roman" w:eastAsia="宋体" w:cs="Times New Roman"/>
                      <w:b/>
                      <w:bCs w:val="0"/>
                      <w:color w:val="auto"/>
                      <w:sz w:val="21"/>
                      <w:szCs w:val="21"/>
                      <w:highlight w:val="none"/>
                      <w:lang w:val="en-US" w:eastAsia="zh-CN"/>
                    </w:rPr>
                    <w:t>）</w:t>
                  </w:r>
                </w:p>
              </w:tc>
            </w:tr>
            <w:tr w14:paraId="4CAEF5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62" w:type="dxa"/>
                  <w:tcBorders>
                    <w:tl2br w:val="nil"/>
                    <w:tr2bl w:val="nil"/>
                  </w:tcBorders>
                  <w:vAlign w:val="center"/>
                </w:tcPr>
                <w:p w14:paraId="6D6E754B">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筛分粉尘</w:t>
                  </w:r>
                </w:p>
              </w:tc>
              <w:tc>
                <w:tcPr>
                  <w:tcW w:w="563" w:type="dxa"/>
                  <w:tcBorders>
                    <w:tl2br w:val="nil"/>
                    <w:tr2bl w:val="nil"/>
                  </w:tcBorders>
                  <w:vAlign w:val="center"/>
                </w:tcPr>
                <w:p w14:paraId="318EC668">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4"/>
                      <w:sz w:val="21"/>
                      <w:szCs w:val="21"/>
                      <w:highlight w:val="none"/>
                    </w:rPr>
                    <w:t>DA</w:t>
                  </w:r>
                  <w:r>
                    <w:rPr>
                      <w:rFonts w:hint="eastAsia" w:cs="Times New Roman"/>
                      <w:color w:val="auto"/>
                      <w:spacing w:val="2"/>
                      <w:sz w:val="21"/>
                      <w:szCs w:val="21"/>
                      <w:highlight w:val="none"/>
                      <w:lang w:val="en-US" w:eastAsia="zh-CN"/>
                    </w:rPr>
                    <w:t>107</w:t>
                  </w:r>
                </w:p>
              </w:tc>
              <w:tc>
                <w:tcPr>
                  <w:tcW w:w="720" w:type="dxa"/>
                  <w:tcBorders>
                    <w:tl2br w:val="nil"/>
                    <w:tr2bl w:val="nil"/>
                  </w:tcBorders>
                  <w:vAlign w:val="center"/>
                </w:tcPr>
                <w:p w14:paraId="1EB7CB6F">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颗粒物</w:t>
                  </w:r>
                </w:p>
              </w:tc>
              <w:tc>
                <w:tcPr>
                  <w:tcW w:w="812" w:type="dxa"/>
                  <w:tcBorders>
                    <w:tl2br w:val="nil"/>
                    <w:tr2bl w:val="nil"/>
                  </w:tcBorders>
                  <w:vAlign w:val="center"/>
                </w:tcPr>
                <w:p w14:paraId="1E5FE6E4">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bCs/>
                      <w:color w:val="auto"/>
                      <w:sz w:val="21"/>
                      <w:szCs w:val="21"/>
                      <w:highlight w:val="none"/>
                      <w:lang w:val="en-US" w:eastAsia="zh-CN"/>
                    </w:rPr>
                    <w:t>184.275</w:t>
                  </w:r>
                </w:p>
              </w:tc>
              <w:tc>
                <w:tcPr>
                  <w:tcW w:w="757" w:type="dxa"/>
                  <w:tcBorders>
                    <w:tl2br w:val="nil"/>
                    <w:tr2bl w:val="nil"/>
                  </w:tcBorders>
                  <w:vAlign w:val="center"/>
                </w:tcPr>
                <w:p w14:paraId="083B629C">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bCs/>
                      <w:color w:val="auto"/>
                      <w:sz w:val="21"/>
                      <w:szCs w:val="21"/>
                      <w:highlight w:val="none"/>
                      <w:lang w:val="en-US" w:eastAsia="zh-CN"/>
                    </w:rPr>
                    <w:t>115.172</w:t>
                  </w:r>
                </w:p>
              </w:tc>
              <w:tc>
                <w:tcPr>
                  <w:tcW w:w="745" w:type="dxa"/>
                  <w:tcBorders>
                    <w:tl2br w:val="nil"/>
                    <w:tr2bl w:val="nil"/>
                  </w:tcBorders>
                  <w:vAlign w:val="center"/>
                </w:tcPr>
                <w:p w14:paraId="264859A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bCs/>
                      <w:color w:val="auto"/>
                      <w:sz w:val="21"/>
                      <w:szCs w:val="21"/>
                      <w:highlight w:val="none"/>
                      <w:lang w:val="en-US" w:eastAsia="zh-CN"/>
                    </w:rPr>
                    <w:t>7678.13</w:t>
                  </w:r>
                </w:p>
              </w:tc>
              <w:tc>
                <w:tcPr>
                  <w:tcW w:w="543" w:type="dxa"/>
                  <w:tcBorders>
                    <w:tl2br w:val="nil"/>
                    <w:tr2bl w:val="nil"/>
                  </w:tcBorders>
                  <w:vAlign w:val="center"/>
                </w:tcPr>
                <w:p w14:paraId="20E558FD">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1600</w:t>
                  </w:r>
                </w:p>
              </w:tc>
              <w:tc>
                <w:tcPr>
                  <w:tcW w:w="1035" w:type="dxa"/>
                  <w:tcBorders>
                    <w:tl2br w:val="nil"/>
                    <w:tr2bl w:val="nil"/>
                  </w:tcBorders>
                  <w:vAlign w:val="center"/>
                </w:tcPr>
                <w:p w14:paraId="1F652E26">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布袋除尘器</w:t>
                  </w:r>
                  <w:r>
                    <w:rPr>
                      <w:rFonts w:hint="default" w:ascii="Times New Roman" w:hAnsi="Times New Roman" w:eastAsia="宋体" w:cs="Times New Roman"/>
                      <w:color w:val="auto"/>
                      <w:spacing w:val="4"/>
                      <w:sz w:val="21"/>
                      <w:szCs w:val="21"/>
                      <w:highlight w:val="none"/>
                    </w:rPr>
                    <w:t>+15m排气</w:t>
                  </w:r>
                  <w:r>
                    <w:rPr>
                      <w:rFonts w:hint="default" w:ascii="Times New Roman" w:hAnsi="Times New Roman" w:eastAsia="宋体" w:cs="Times New Roman"/>
                      <w:color w:val="auto"/>
                      <w:sz w:val="21"/>
                      <w:szCs w:val="21"/>
                      <w:highlight w:val="none"/>
                    </w:rPr>
                    <w:t>筒</w:t>
                  </w:r>
                </w:p>
              </w:tc>
              <w:tc>
                <w:tcPr>
                  <w:tcW w:w="504" w:type="dxa"/>
                  <w:tcBorders>
                    <w:tl2br w:val="nil"/>
                    <w:tr2bl w:val="nil"/>
                  </w:tcBorders>
                  <w:vAlign w:val="center"/>
                </w:tcPr>
                <w:p w14:paraId="6FB588B1">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99.</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p>
              </w:tc>
              <w:tc>
                <w:tcPr>
                  <w:tcW w:w="720" w:type="dxa"/>
                  <w:tcBorders>
                    <w:tl2br w:val="nil"/>
                    <w:tr2bl w:val="nil"/>
                  </w:tcBorders>
                  <w:vAlign w:val="center"/>
                </w:tcPr>
                <w:p w14:paraId="6A4C59B6">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bCs/>
                      <w:color w:val="auto"/>
                      <w:sz w:val="21"/>
                      <w:szCs w:val="21"/>
                      <w:highlight w:val="none"/>
                      <w:lang w:val="en-US" w:eastAsia="zh-CN"/>
                    </w:rPr>
                    <w:t>0.184</w:t>
                  </w:r>
                </w:p>
              </w:tc>
              <w:tc>
                <w:tcPr>
                  <w:tcW w:w="597" w:type="dxa"/>
                  <w:tcBorders>
                    <w:tl2br w:val="nil"/>
                    <w:tr2bl w:val="nil"/>
                  </w:tcBorders>
                  <w:vAlign w:val="center"/>
                </w:tcPr>
                <w:p w14:paraId="394ABFB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b/>
                      <w:bCs w:val="0"/>
                      <w:color w:val="auto"/>
                      <w:sz w:val="21"/>
                      <w:szCs w:val="21"/>
                      <w:highlight w:val="none"/>
                      <w:lang w:val="en-US" w:eastAsia="zh-CN"/>
                    </w:rPr>
                    <w:t>7.67</w:t>
                  </w:r>
                </w:p>
              </w:tc>
              <w:tc>
                <w:tcPr>
                  <w:tcW w:w="698" w:type="dxa"/>
                  <w:tcBorders>
                    <w:tl2br w:val="nil"/>
                    <w:tr2bl w:val="nil"/>
                  </w:tcBorders>
                  <w:vAlign w:val="center"/>
                </w:tcPr>
                <w:p w14:paraId="62514F86">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bCs/>
                      <w:color w:val="auto"/>
                      <w:sz w:val="21"/>
                      <w:szCs w:val="21"/>
                      <w:highlight w:val="none"/>
                      <w:lang w:val="en-US" w:eastAsia="zh-CN"/>
                    </w:rPr>
                    <w:t>0.115</w:t>
                  </w:r>
                </w:p>
              </w:tc>
            </w:tr>
            <w:tr w14:paraId="4CC419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62" w:type="dxa"/>
                  <w:tcBorders>
                    <w:tl2br w:val="nil"/>
                    <w:tr2bl w:val="nil"/>
                  </w:tcBorders>
                  <w:vAlign w:val="center"/>
                </w:tcPr>
                <w:p w14:paraId="6D2574C4">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机制砂输送</w:t>
                  </w:r>
                </w:p>
              </w:tc>
              <w:tc>
                <w:tcPr>
                  <w:tcW w:w="563" w:type="dxa"/>
                  <w:tcBorders>
                    <w:tl2br w:val="nil"/>
                    <w:tr2bl w:val="nil"/>
                  </w:tcBorders>
                  <w:vAlign w:val="center"/>
                </w:tcPr>
                <w:p w14:paraId="3AA92F50">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cs="Times New Roman"/>
                      <w:color w:val="auto"/>
                      <w:spacing w:val="4"/>
                      <w:sz w:val="21"/>
                      <w:szCs w:val="21"/>
                      <w:highlight w:val="none"/>
                      <w:lang w:val="en-US" w:eastAsia="zh-CN"/>
                    </w:rPr>
                    <w:t>DA108</w:t>
                  </w:r>
                </w:p>
              </w:tc>
              <w:tc>
                <w:tcPr>
                  <w:tcW w:w="720" w:type="dxa"/>
                  <w:tcBorders>
                    <w:tl2br w:val="nil"/>
                    <w:tr2bl w:val="nil"/>
                  </w:tcBorders>
                  <w:vAlign w:val="center"/>
                </w:tcPr>
                <w:p w14:paraId="5E8D099B">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7"/>
                      <w:sz w:val="21"/>
                      <w:szCs w:val="21"/>
                      <w:highlight w:val="none"/>
                    </w:rPr>
                    <w:t>颗粒物</w:t>
                  </w:r>
                </w:p>
              </w:tc>
              <w:tc>
                <w:tcPr>
                  <w:tcW w:w="812" w:type="dxa"/>
                  <w:tcBorders>
                    <w:tl2br w:val="nil"/>
                    <w:tr2bl w:val="nil"/>
                  </w:tcBorders>
                  <w:vAlign w:val="center"/>
                </w:tcPr>
                <w:p w14:paraId="6106FC2F">
                  <w:pPr>
                    <w:adjustRightInd w:val="0"/>
                    <w:snapToGrid w:val="0"/>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37.5</w:t>
                  </w:r>
                </w:p>
              </w:tc>
              <w:tc>
                <w:tcPr>
                  <w:tcW w:w="757" w:type="dxa"/>
                  <w:tcBorders>
                    <w:tl2br w:val="nil"/>
                    <w:tr2bl w:val="nil"/>
                  </w:tcBorders>
                  <w:vAlign w:val="center"/>
                </w:tcPr>
                <w:p w14:paraId="66E3FD4F">
                  <w:pPr>
                    <w:adjustRightInd w:val="0"/>
                    <w:snapToGrid w:val="0"/>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23.44</w:t>
                  </w:r>
                </w:p>
              </w:tc>
              <w:tc>
                <w:tcPr>
                  <w:tcW w:w="745" w:type="dxa"/>
                  <w:tcBorders>
                    <w:tl2br w:val="nil"/>
                    <w:tr2bl w:val="nil"/>
                  </w:tcBorders>
                  <w:vAlign w:val="center"/>
                </w:tcPr>
                <w:p w14:paraId="5B058DF0">
                  <w:pPr>
                    <w:adjustRightInd w:val="0"/>
                    <w:snapToGrid w:val="0"/>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4688</w:t>
                  </w:r>
                </w:p>
              </w:tc>
              <w:tc>
                <w:tcPr>
                  <w:tcW w:w="543" w:type="dxa"/>
                  <w:tcBorders>
                    <w:tl2br w:val="nil"/>
                    <w:tr2bl w:val="nil"/>
                  </w:tcBorders>
                  <w:vAlign w:val="center"/>
                </w:tcPr>
                <w:p w14:paraId="37AD08E1">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cs="Times New Roman"/>
                      <w:color w:val="auto"/>
                      <w:spacing w:val="3"/>
                      <w:sz w:val="21"/>
                      <w:szCs w:val="21"/>
                      <w:highlight w:val="none"/>
                      <w:lang w:val="en-US" w:eastAsia="zh-CN"/>
                    </w:rPr>
                    <w:t>1600</w:t>
                  </w:r>
                </w:p>
              </w:tc>
              <w:tc>
                <w:tcPr>
                  <w:tcW w:w="1035" w:type="dxa"/>
                  <w:tcBorders>
                    <w:tl2br w:val="nil"/>
                    <w:tr2bl w:val="nil"/>
                  </w:tcBorders>
                  <w:vAlign w:val="center"/>
                </w:tcPr>
                <w:p w14:paraId="0B89762B">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脉冲式布袋除尘器+15m排气筒</w:t>
                  </w:r>
                </w:p>
              </w:tc>
              <w:tc>
                <w:tcPr>
                  <w:tcW w:w="504" w:type="dxa"/>
                  <w:tcBorders>
                    <w:tl2br w:val="nil"/>
                    <w:tr2bl w:val="nil"/>
                  </w:tcBorders>
                  <w:vAlign w:val="center"/>
                </w:tcPr>
                <w:p w14:paraId="5BC0F250">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99.9%</w:t>
                  </w:r>
                </w:p>
              </w:tc>
              <w:tc>
                <w:tcPr>
                  <w:tcW w:w="720" w:type="dxa"/>
                  <w:tcBorders>
                    <w:tl2br w:val="nil"/>
                    <w:tr2bl w:val="nil"/>
                  </w:tcBorders>
                  <w:vAlign w:val="center"/>
                </w:tcPr>
                <w:p w14:paraId="211FF371">
                  <w:pPr>
                    <w:adjustRightInd w:val="0"/>
                    <w:snapToGrid w:val="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0.0375</w:t>
                  </w:r>
                </w:p>
              </w:tc>
              <w:tc>
                <w:tcPr>
                  <w:tcW w:w="597" w:type="dxa"/>
                  <w:tcBorders>
                    <w:tl2br w:val="nil"/>
                    <w:tr2bl w:val="nil"/>
                  </w:tcBorders>
                  <w:vAlign w:val="center"/>
                </w:tcPr>
                <w:p w14:paraId="376A5EAF">
                  <w:pPr>
                    <w:adjustRightInd w:val="0"/>
                    <w:snapToGrid w:val="0"/>
                    <w:jc w:val="center"/>
                    <w:rPr>
                      <w:rFonts w:hint="eastAsia"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4.69</w:t>
                  </w:r>
                </w:p>
              </w:tc>
              <w:tc>
                <w:tcPr>
                  <w:tcW w:w="698" w:type="dxa"/>
                  <w:tcBorders>
                    <w:tl2br w:val="nil"/>
                    <w:tr2bl w:val="nil"/>
                  </w:tcBorders>
                  <w:vAlign w:val="center"/>
                </w:tcPr>
                <w:p w14:paraId="6C2E54A7">
                  <w:pPr>
                    <w:adjustRightInd w:val="0"/>
                    <w:snapToGrid w:val="0"/>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0.0234</w:t>
                  </w:r>
                </w:p>
              </w:tc>
            </w:tr>
          </w:tbl>
          <w:p w14:paraId="2AF4E951">
            <w:pPr>
              <w:pStyle w:val="32"/>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表4-2</w:t>
            </w:r>
            <w:r>
              <w:rPr>
                <w:rFonts w:hint="eastAsia" w:ascii="Times New Roman" w:hAnsi="Times New Roman" w:eastAsia="宋体" w:cs="Times New Roman"/>
                <w:b/>
                <w:bCs/>
                <w:color w:val="auto"/>
                <w:spacing w:val="6"/>
                <w:sz w:val="21"/>
                <w:szCs w:val="21"/>
                <w:highlight w:val="none"/>
                <w:lang w:val="en-US" w:eastAsia="zh-CN"/>
              </w:rPr>
              <w:t xml:space="preserve"> </w:t>
            </w:r>
            <w:r>
              <w:rPr>
                <w:rFonts w:hint="default" w:ascii="Times New Roman" w:hAnsi="Times New Roman" w:eastAsia="宋体" w:cs="Times New Roman"/>
                <w:b/>
                <w:bCs/>
                <w:color w:val="auto"/>
                <w:spacing w:val="6"/>
                <w:sz w:val="21"/>
                <w:szCs w:val="21"/>
                <w:highlight w:val="none"/>
              </w:rPr>
              <w:t xml:space="preserve"> 无组织废气产生和排放源强一</w:t>
            </w:r>
            <w:r>
              <w:rPr>
                <w:rFonts w:hint="default" w:ascii="Times New Roman" w:hAnsi="Times New Roman" w:eastAsia="宋体" w:cs="Times New Roman"/>
                <w:b/>
                <w:bCs/>
                <w:color w:val="auto"/>
                <w:spacing w:val="5"/>
                <w:sz w:val="21"/>
                <w:szCs w:val="21"/>
                <w:highlight w:val="none"/>
              </w:rPr>
              <w:t>览表</w:t>
            </w:r>
          </w:p>
          <w:tbl>
            <w:tblPr>
              <w:tblStyle w:val="45"/>
              <w:tblW w:w="836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26"/>
              <w:gridCol w:w="1245"/>
              <w:gridCol w:w="1095"/>
              <w:gridCol w:w="3533"/>
              <w:gridCol w:w="1369"/>
            </w:tblGrid>
            <w:tr w14:paraId="7239F9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26" w:type="dxa"/>
                  <w:tcBorders>
                    <w:tl2br w:val="nil"/>
                    <w:tr2bl w:val="nil"/>
                  </w:tcBorders>
                  <w:vAlign w:val="center"/>
                </w:tcPr>
                <w:p w14:paraId="77B60411">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污染源</w:t>
                  </w:r>
                </w:p>
              </w:tc>
              <w:tc>
                <w:tcPr>
                  <w:tcW w:w="1245" w:type="dxa"/>
                  <w:tcBorders>
                    <w:tl2br w:val="nil"/>
                    <w:tr2bl w:val="nil"/>
                  </w:tcBorders>
                  <w:vAlign w:val="center"/>
                </w:tcPr>
                <w:p w14:paraId="3E44C0CF">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污染物名称</w:t>
                  </w:r>
                </w:p>
              </w:tc>
              <w:tc>
                <w:tcPr>
                  <w:tcW w:w="1095" w:type="dxa"/>
                  <w:tcBorders>
                    <w:tl2br w:val="nil"/>
                    <w:tr2bl w:val="nil"/>
                  </w:tcBorders>
                  <w:vAlign w:val="center"/>
                </w:tcPr>
                <w:p w14:paraId="6450A5A8">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6"/>
                      <w:sz w:val="21"/>
                      <w:szCs w:val="21"/>
                      <w:highlight w:val="none"/>
                    </w:rPr>
                    <w:t>产生量（t/a）</w:t>
                  </w:r>
                </w:p>
              </w:tc>
              <w:tc>
                <w:tcPr>
                  <w:tcW w:w="3533" w:type="dxa"/>
                  <w:tcBorders>
                    <w:tl2br w:val="nil"/>
                    <w:tr2bl w:val="nil"/>
                  </w:tcBorders>
                  <w:vAlign w:val="center"/>
                </w:tcPr>
                <w:p w14:paraId="6540EF40">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7"/>
                      <w:sz w:val="21"/>
                      <w:szCs w:val="21"/>
                      <w:highlight w:val="none"/>
                    </w:rPr>
                    <w:t>采取处理措施</w:t>
                  </w:r>
                </w:p>
              </w:tc>
              <w:tc>
                <w:tcPr>
                  <w:tcW w:w="1369" w:type="dxa"/>
                  <w:tcBorders>
                    <w:tl2br w:val="nil"/>
                    <w:tr2bl w:val="nil"/>
                  </w:tcBorders>
                  <w:vAlign w:val="center"/>
                </w:tcPr>
                <w:p w14:paraId="2AACF8A0">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排放量</w:t>
                  </w:r>
                  <w:r>
                    <w:rPr>
                      <w:rFonts w:hint="default" w:ascii="Times New Roman" w:hAnsi="Times New Roman" w:eastAsia="宋体" w:cs="Times New Roman"/>
                      <w:b/>
                      <w:bCs/>
                      <w:color w:val="auto"/>
                      <w:spacing w:val="-1"/>
                      <w:sz w:val="21"/>
                      <w:szCs w:val="21"/>
                      <w:highlight w:val="none"/>
                    </w:rPr>
                    <w:t>（t/a）</w:t>
                  </w:r>
                </w:p>
              </w:tc>
            </w:tr>
            <w:tr w14:paraId="4EBCBC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1126" w:type="dxa"/>
                  <w:tcBorders>
                    <w:tl2br w:val="nil"/>
                    <w:tr2bl w:val="nil"/>
                  </w:tcBorders>
                  <w:vAlign w:val="center"/>
                </w:tcPr>
                <w:p w14:paraId="2E310705">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6"/>
                      <w:sz w:val="21"/>
                      <w:szCs w:val="21"/>
                      <w:highlight w:val="none"/>
                      <w:lang w:val="en-US" w:eastAsia="zh-CN"/>
                    </w:rPr>
                  </w:pPr>
                  <w:r>
                    <w:rPr>
                      <w:color w:val="auto"/>
                      <w:spacing w:val="6"/>
                      <w:sz w:val="21"/>
                      <w:szCs w:val="21"/>
                      <w:highlight w:val="none"/>
                    </w:rPr>
                    <w:t>筒仓粉尘</w:t>
                  </w:r>
                </w:p>
              </w:tc>
              <w:tc>
                <w:tcPr>
                  <w:tcW w:w="1245" w:type="dxa"/>
                  <w:tcBorders>
                    <w:tl2br w:val="nil"/>
                    <w:tr2bl w:val="nil"/>
                  </w:tcBorders>
                  <w:vAlign w:val="center"/>
                </w:tcPr>
                <w:p w14:paraId="033E3119">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7"/>
                      <w:sz w:val="21"/>
                      <w:szCs w:val="21"/>
                      <w:highlight w:val="none"/>
                    </w:rPr>
                  </w:pPr>
                  <w:r>
                    <w:rPr>
                      <w:color w:val="auto"/>
                      <w:spacing w:val="7"/>
                      <w:sz w:val="21"/>
                      <w:szCs w:val="21"/>
                      <w:highlight w:val="none"/>
                    </w:rPr>
                    <w:t>颗粒物</w:t>
                  </w:r>
                </w:p>
              </w:tc>
              <w:tc>
                <w:tcPr>
                  <w:tcW w:w="1095" w:type="dxa"/>
                  <w:tcBorders>
                    <w:tl2br w:val="nil"/>
                    <w:tr2bl w:val="nil"/>
                  </w:tcBorders>
                  <w:vAlign w:val="center"/>
                </w:tcPr>
                <w:p w14:paraId="459F8CF0">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30</w:t>
                  </w:r>
                </w:p>
              </w:tc>
              <w:tc>
                <w:tcPr>
                  <w:tcW w:w="3533" w:type="dxa"/>
                  <w:tcBorders>
                    <w:tl2br w:val="nil"/>
                    <w:tr2bl w:val="nil"/>
                  </w:tcBorders>
                  <w:vAlign w:val="center"/>
                </w:tcPr>
                <w:p w14:paraId="3BD53372">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8"/>
                      <w:sz w:val="21"/>
                      <w:szCs w:val="21"/>
                      <w:highlight w:val="none"/>
                      <w:lang w:val="en-US" w:eastAsia="zh-CN"/>
                    </w:rPr>
                  </w:pPr>
                  <w:r>
                    <w:rPr>
                      <w:color w:val="auto"/>
                      <w:spacing w:val="9"/>
                      <w:sz w:val="21"/>
                      <w:szCs w:val="21"/>
                      <w:highlight w:val="none"/>
                    </w:rPr>
                    <w:t>各筒仓均位于封闭式车间内，粉尘由仓顶设置的</w:t>
                  </w:r>
                  <w:r>
                    <w:rPr>
                      <w:rFonts w:hint="eastAsia"/>
                      <w:color w:val="auto"/>
                      <w:spacing w:val="9"/>
                      <w:sz w:val="21"/>
                      <w:szCs w:val="21"/>
                      <w:highlight w:val="none"/>
                      <w:lang w:val="en-US" w:eastAsia="zh-CN"/>
                    </w:rPr>
                    <w:t>仓顶</w:t>
                  </w:r>
                  <w:r>
                    <w:rPr>
                      <w:color w:val="auto"/>
                      <w:spacing w:val="9"/>
                      <w:sz w:val="21"/>
                      <w:szCs w:val="21"/>
                      <w:highlight w:val="none"/>
                    </w:rPr>
                    <w:t>布袋除尘装置，处理后车间内排放</w:t>
                  </w:r>
                  <w:r>
                    <w:rPr>
                      <w:rFonts w:hint="eastAsia"/>
                      <w:color w:val="auto"/>
                      <w:spacing w:val="9"/>
                      <w:sz w:val="21"/>
                      <w:szCs w:val="21"/>
                      <w:highlight w:val="none"/>
                      <w:lang w:eastAsia="zh-CN"/>
                    </w:rPr>
                    <w:t>。</w:t>
                  </w:r>
                </w:p>
              </w:tc>
              <w:tc>
                <w:tcPr>
                  <w:tcW w:w="1369" w:type="dxa"/>
                  <w:tcBorders>
                    <w:tl2br w:val="nil"/>
                    <w:tr2bl w:val="nil"/>
                  </w:tcBorders>
                  <w:vAlign w:val="center"/>
                </w:tcPr>
                <w:p w14:paraId="7588D6A4">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0.03</w:t>
                  </w:r>
                </w:p>
              </w:tc>
            </w:tr>
            <w:tr w14:paraId="73BEB4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1" w:hRule="atLeast"/>
                <w:jc w:val="center"/>
              </w:trPr>
              <w:tc>
                <w:tcPr>
                  <w:tcW w:w="1126" w:type="dxa"/>
                  <w:tcBorders>
                    <w:tl2br w:val="nil"/>
                    <w:tr2bl w:val="nil"/>
                  </w:tcBorders>
                  <w:vAlign w:val="center"/>
                </w:tcPr>
                <w:p w14:paraId="02F15B45">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color w:val="auto"/>
                      <w:spacing w:val="7"/>
                      <w:sz w:val="21"/>
                      <w:szCs w:val="21"/>
                      <w:highlight w:val="none"/>
                    </w:rPr>
                    <w:t>搅拌粉尘</w:t>
                  </w:r>
                </w:p>
              </w:tc>
              <w:tc>
                <w:tcPr>
                  <w:tcW w:w="1245" w:type="dxa"/>
                  <w:tcBorders>
                    <w:tl2br w:val="nil"/>
                    <w:tr2bl w:val="nil"/>
                  </w:tcBorders>
                  <w:vAlign w:val="center"/>
                </w:tcPr>
                <w:p w14:paraId="516D1BE3">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color w:val="auto"/>
                      <w:spacing w:val="7"/>
                      <w:sz w:val="21"/>
                      <w:szCs w:val="21"/>
                      <w:highlight w:val="none"/>
                    </w:rPr>
                    <w:t>颗粒物</w:t>
                  </w:r>
                </w:p>
              </w:tc>
              <w:tc>
                <w:tcPr>
                  <w:tcW w:w="1095" w:type="dxa"/>
                  <w:tcBorders>
                    <w:tl2br w:val="nil"/>
                    <w:tr2bl w:val="nil"/>
                  </w:tcBorders>
                  <w:vAlign w:val="center"/>
                </w:tcPr>
                <w:p w14:paraId="12EC6BF1">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130.75</w:t>
                  </w:r>
                </w:p>
              </w:tc>
              <w:tc>
                <w:tcPr>
                  <w:tcW w:w="3533" w:type="dxa"/>
                  <w:tcBorders>
                    <w:tl2br w:val="nil"/>
                    <w:tr2bl w:val="nil"/>
                  </w:tcBorders>
                  <w:vAlign w:val="center"/>
                </w:tcPr>
                <w:p w14:paraId="0CFC2A56">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z w:val="21"/>
                      <w:szCs w:val="21"/>
                      <w:highlight w:val="none"/>
                      <w:lang w:eastAsia="zh-CN"/>
                    </w:rPr>
                  </w:pPr>
                  <w:r>
                    <w:rPr>
                      <w:rFonts w:hint="eastAsia"/>
                      <w:color w:val="auto"/>
                      <w:spacing w:val="4"/>
                      <w:sz w:val="21"/>
                      <w:szCs w:val="21"/>
                      <w:highlight w:val="none"/>
                      <w:lang w:val="en-US" w:eastAsia="zh-CN"/>
                    </w:rPr>
                    <w:t>2</w:t>
                  </w:r>
                  <w:r>
                    <w:rPr>
                      <w:color w:val="auto"/>
                      <w:spacing w:val="4"/>
                      <w:sz w:val="21"/>
                      <w:szCs w:val="21"/>
                      <w:highlight w:val="none"/>
                    </w:rPr>
                    <w:t>台混合机</w:t>
                  </w:r>
                  <w:r>
                    <w:rPr>
                      <w:rFonts w:hint="eastAsia"/>
                      <w:color w:val="auto"/>
                      <w:spacing w:val="4"/>
                      <w:sz w:val="21"/>
                      <w:szCs w:val="21"/>
                      <w:highlight w:val="none"/>
                      <w:lang w:eastAsia="zh-CN"/>
                    </w:rPr>
                    <w:t>，</w:t>
                  </w:r>
                  <w:r>
                    <w:rPr>
                      <w:rFonts w:hint="eastAsia"/>
                      <w:color w:val="auto"/>
                      <w:spacing w:val="4"/>
                      <w:sz w:val="21"/>
                      <w:szCs w:val="21"/>
                      <w:highlight w:val="none"/>
                      <w:lang w:val="en-US" w:eastAsia="zh-CN"/>
                    </w:rPr>
                    <w:t>布设</w:t>
                  </w:r>
                  <w:r>
                    <w:rPr>
                      <w:rFonts w:ascii="Times New Roman" w:hAnsi="Times New Roman" w:eastAsia="Times New Roman" w:cs="Times New Roman"/>
                      <w:color w:val="auto"/>
                      <w:spacing w:val="6"/>
                      <w:sz w:val="21"/>
                      <w:szCs w:val="21"/>
                      <w:highlight w:val="none"/>
                    </w:rPr>
                    <w:t>2</w:t>
                  </w:r>
                  <w:r>
                    <w:rPr>
                      <w:color w:val="auto"/>
                      <w:spacing w:val="6"/>
                      <w:sz w:val="21"/>
                      <w:szCs w:val="21"/>
                      <w:highlight w:val="none"/>
                    </w:rPr>
                    <w:t>台</w:t>
                  </w:r>
                  <w:r>
                    <w:rPr>
                      <w:rFonts w:hint="eastAsia"/>
                      <w:color w:val="auto"/>
                      <w:spacing w:val="6"/>
                      <w:sz w:val="21"/>
                      <w:szCs w:val="21"/>
                      <w:highlight w:val="none"/>
                      <w:lang w:val="en-US" w:eastAsia="zh-CN"/>
                    </w:rPr>
                    <w:t>脉冲</w:t>
                  </w:r>
                  <w:r>
                    <w:rPr>
                      <w:color w:val="auto"/>
                      <w:spacing w:val="6"/>
                      <w:sz w:val="21"/>
                      <w:szCs w:val="21"/>
                      <w:highlight w:val="none"/>
                    </w:rPr>
                    <w:t>布袋除尘器，粉尘</w:t>
                  </w:r>
                  <w:r>
                    <w:rPr>
                      <w:color w:val="auto"/>
                      <w:spacing w:val="9"/>
                      <w:sz w:val="21"/>
                      <w:szCs w:val="21"/>
                      <w:highlight w:val="none"/>
                    </w:rPr>
                    <w:t>经负压管道收集后</w:t>
                  </w:r>
                  <w:r>
                    <w:rPr>
                      <w:rFonts w:hint="eastAsia"/>
                      <w:color w:val="auto"/>
                      <w:spacing w:val="9"/>
                      <w:sz w:val="21"/>
                      <w:szCs w:val="21"/>
                      <w:highlight w:val="none"/>
                      <w:lang w:eastAsia="zh-CN"/>
                    </w:rPr>
                    <w:t>，</w:t>
                  </w:r>
                  <w:r>
                    <w:rPr>
                      <w:color w:val="auto"/>
                      <w:spacing w:val="9"/>
                      <w:sz w:val="21"/>
                      <w:szCs w:val="21"/>
                      <w:highlight w:val="none"/>
                    </w:rPr>
                    <w:t>通过布袋除尘器处理</w:t>
                  </w:r>
                  <w:r>
                    <w:rPr>
                      <w:rFonts w:hint="eastAsia"/>
                      <w:color w:val="auto"/>
                      <w:spacing w:val="9"/>
                      <w:sz w:val="21"/>
                      <w:szCs w:val="21"/>
                      <w:highlight w:val="none"/>
                      <w:lang w:eastAsia="zh-CN"/>
                    </w:rPr>
                    <w:t>，</w:t>
                  </w:r>
                  <w:r>
                    <w:rPr>
                      <w:rFonts w:hint="eastAsia"/>
                      <w:color w:val="auto"/>
                      <w:spacing w:val="9"/>
                      <w:sz w:val="21"/>
                      <w:szCs w:val="21"/>
                      <w:highlight w:val="none"/>
                      <w:lang w:val="en-US" w:eastAsia="zh-CN"/>
                    </w:rPr>
                    <w:t>在</w:t>
                  </w:r>
                  <w:r>
                    <w:rPr>
                      <w:color w:val="auto"/>
                      <w:spacing w:val="9"/>
                      <w:sz w:val="21"/>
                      <w:szCs w:val="21"/>
                      <w:highlight w:val="none"/>
                    </w:rPr>
                    <w:t>车间内排放</w:t>
                  </w:r>
                  <w:r>
                    <w:rPr>
                      <w:rFonts w:hint="eastAsia"/>
                      <w:lang w:eastAsia="zh-CN"/>
                    </w:rPr>
                    <w:t>。</w:t>
                  </w:r>
                </w:p>
              </w:tc>
              <w:tc>
                <w:tcPr>
                  <w:tcW w:w="1369" w:type="dxa"/>
                  <w:tcBorders>
                    <w:tl2br w:val="nil"/>
                    <w:tr2bl w:val="nil"/>
                  </w:tcBorders>
                  <w:vAlign w:val="center"/>
                </w:tcPr>
                <w:p w14:paraId="3DAAE992">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2"/>
                      <w:sz w:val="21"/>
                      <w:szCs w:val="21"/>
                      <w:highlight w:val="none"/>
                      <w:lang w:val="en-US" w:eastAsia="zh-CN"/>
                    </w:rPr>
                    <w:t>0.13</w:t>
                  </w:r>
                </w:p>
              </w:tc>
            </w:tr>
            <w:tr w14:paraId="579DC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69" w:hRule="atLeast"/>
                <w:jc w:val="center"/>
              </w:trPr>
              <w:tc>
                <w:tcPr>
                  <w:tcW w:w="1126" w:type="dxa"/>
                  <w:tcBorders>
                    <w:tl2br w:val="nil"/>
                    <w:tr2bl w:val="nil"/>
                  </w:tcBorders>
                  <w:vAlign w:val="center"/>
                </w:tcPr>
                <w:p w14:paraId="2CFD820A">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rFonts w:hint="eastAsia"/>
                      <w:color w:val="auto"/>
                      <w:spacing w:val="7"/>
                      <w:sz w:val="21"/>
                      <w:szCs w:val="21"/>
                      <w:highlight w:val="none"/>
                      <w:lang w:val="en-US" w:eastAsia="zh-CN"/>
                    </w:rPr>
                    <w:t>投料粉尘</w:t>
                  </w:r>
                </w:p>
              </w:tc>
              <w:tc>
                <w:tcPr>
                  <w:tcW w:w="1245" w:type="dxa"/>
                  <w:tcBorders>
                    <w:tl2br w:val="nil"/>
                    <w:tr2bl w:val="nil"/>
                  </w:tcBorders>
                  <w:vAlign w:val="center"/>
                </w:tcPr>
                <w:p w14:paraId="7D1F8B6B">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color w:val="auto"/>
                      <w:spacing w:val="7"/>
                      <w:sz w:val="21"/>
                      <w:szCs w:val="21"/>
                      <w:highlight w:val="none"/>
                    </w:rPr>
                    <w:t>颗粒物</w:t>
                  </w:r>
                </w:p>
              </w:tc>
              <w:tc>
                <w:tcPr>
                  <w:tcW w:w="1095" w:type="dxa"/>
                  <w:tcBorders>
                    <w:tl2br w:val="nil"/>
                    <w:tr2bl w:val="nil"/>
                  </w:tcBorders>
                  <w:vAlign w:val="center"/>
                </w:tcPr>
                <w:p w14:paraId="2E942563">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0.0013</w:t>
                  </w:r>
                </w:p>
              </w:tc>
              <w:tc>
                <w:tcPr>
                  <w:tcW w:w="3533" w:type="dxa"/>
                  <w:tcBorders>
                    <w:tl2br w:val="nil"/>
                    <w:tr2bl w:val="nil"/>
                  </w:tcBorders>
                  <w:vAlign w:val="center"/>
                </w:tcPr>
                <w:p w14:paraId="7DBBA300">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z w:val="21"/>
                      <w:szCs w:val="21"/>
                      <w:highlight w:val="none"/>
                      <w:lang w:eastAsia="zh-CN"/>
                    </w:rPr>
                  </w:pPr>
                  <w:r>
                    <w:rPr>
                      <w:rFonts w:hint="eastAsia"/>
                      <w:color w:val="auto"/>
                      <w:spacing w:val="4"/>
                      <w:sz w:val="21"/>
                      <w:szCs w:val="21"/>
                      <w:highlight w:val="none"/>
                      <w:lang w:val="en-US" w:eastAsia="zh-CN"/>
                    </w:rPr>
                    <w:t>投料粉尘设备上安装集气罩，</w:t>
                  </w:r>
                  <w:r>
                    <w:rPr>
                      <w:color w:val="auto"/>
                      <w:spacing w:val="7"/>
                      <w:sz w:val="21"/>
                      <w:szCs w:val="21"/>
                      <w:highlight w:val="none"/>
                    </w:rPr>
                    <w:t>设置</w:t>
                  </w:r>
                  <w:r>
                    <w:rPr>
                      <w:rFonts w:ascii="Times New Roman" w:hAnsi="Times New Roman" w:eastAsia="Times New Roman" w:cs="Times New Roman"/>
                      <w:color w:val="auto"/>
                      <w:spacing w:val="7"/>
                      <w:sz w:val="21"/>
                      <w:szCs w:val="21"/>
                      <w:highlight w:val="none"/>
                    </w:rPr>
                    <w:t>1</w:t>
                  </w:r>
                  <w:r>
                    <w:rPr>
                      <w:color w:val="auto"/>
                      <w:spacing w:val="7"/>
                      <w:sz w:val="21"/>
                      <w:szCs w:val="21"/>
                      <w:highlight w:val="none"/>
                    </w:rPr>
                    <w:t>套</w:t>
                  </w:r>
                  <w:r>
                    <w:rPr>
                      <w:rFonts w:hint="eastAsia" w:ascii="Times New Roman" w:hAnsi="Times New Roman" w:cs="Times New Roman"/>
                      <w:color w:val="auto"/>
                      <w:sz w:val="21"/>
                      <w:szCs w:val="21"/>
                      <w:highlight w:val="none"/>
                      <w:lang w:val="en-US" w:eastAsia="zh-CN"/>
                    </w:rPr>
                    <w:t>脉冲</w:t>
                  </w:r>
                  <w:r>
                    <w:rPr>
                      <w:color w:val="auto"/>
                      <w:spacing w:val="7"/>
                      <w:sz w:val="21"/>
                      <w:szCs w:val="21"/>
                      <w:highlight w:val="none"/>
                    </w:rPr>
                    <w:t>布袋除尘器，粉尘经负压</w:t>
                  </w:r>
                  <w:r>
                    <w:rPr>
                      <w:color w:val="auto"/>
                      <w:spacing w:val="8"/>
                      <w:sz w:val="21"/>
                      <w:szCs w:val="21"/>
                      <w:highlight w:val="none"/>
                    </w:rPr>
                    <w:t>管道收集后通过</w:t>
                  </w:r>
                  <w:r>
                    <w:rPr>
                      <w:rFonts w:hint="eastAsia"/>
                      <w:color w:val="auto"/>
                      <w:spacing w:val="8"/>
                      <w:sz w:val="21"/>
                      <w:szCs w:val="21"/>
                      <w:highlight w:val="none"/>
                      <w:lang w:val="en-US" w:eastAsia="zh-CN"/>
                    </w:rPr>
                    <w:t>脉冲式布袋除尘器</w:t>
                  </w:r>
                  <w:r>
                    <w:rPr>
                      <w:color w:val="auto"/>
                      <w:spacing w:val="8"/>
                      <w:sz w:val="21"/>
                      <w:szCs w:val="21"/>
                      <w:highlight w:val="none"/>
                    </w:rPr>
                    <w:t>处理后</w:t>
                  </w:r>
                  <w:r>
                    <w:rPr>
                      <w:rFonts w:hint="eastAsia"/>
                      <w:color w:val="auto"/>
                      <w:spacing w:val="8"/>
                      <w:sz w:val="21"/>
                      <w:szCs w:val="21"/>
                      <w:highlight w:val="none"/>
                      <w:lang w:eastAsia="zh-CN"/>
                    </w:rPr>
                    <w:t>，</w:t>
                  </w:r>
                  <w:r>
                    <w:rPr>
                      <w:rFonts w:hint="eastAsia"/>
                      <w:color w:val="auto"/>
                      <w:spacing w:val="8"/>
                      <w:sz w:val="21"/>
                      <w:szCs w:val="21"/>
                      <w:highlight w:val="none"/>
                      <w:lang w:val="en-US" w:eastAsia="zh-CN"/>
                    </w:rPr>
                    <w:t>在</w:t>
                  </w:r>
                  <w:r>
                    <w:rPr>
                      <w:color w:val="auto"/>
                      <w:spacing w:val="8"/>
                      <w:sz w:val="21"/>
                      <w:szCs w:val="21"/>
                      <w:highlight w:val="none"/>
                    </w:rPr>
                    <w:t>车间内排放</w:t>
                  </w:r>
                  <w:r>
                    <w:rPr>
                      <w:rFonts w:hint="eastAsia"/>
                      <w:lang w:eastAsia="zh-CN"/>
                    </w:rPr>
                    <w:t>。</w:t>
                  </w:r>
                </w:p>
              </w:tc>
              <w:tc>
                <w:tcPr>
                  <w:tcW w:w="1369" w:type="dxa"/>
                  <w:tcBorders>
                    <w:tl2br w:val="nil"/>
                    <w:tr2bl w:val="nil"/>
                  </w:tcBorders>
                  <w:vAlign w:val="center"/>
                </w:tcPr>
                <w:p w14:paraId="48357730">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2"/>
                      <w:sz w:val="21"/>
                      <w:szCs w:val="21"/>
                      <w:highlight w:val="none"/>
                      <w:lang w:val="en-US" w:eastAsia="zh-CN"/>
                    </w:rPr>
                    <w:t>0.00001</w:t>
                  </w:r>
                </w:p>
              </w:tc>
            </w:tr>
            <w:tr w14:paraId="569A2E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1126" w:type="dxa"/>
                  <w:tcBorders>
                    <w:tl2br w:val="nil"/>
                    <w:tr2bl w:val="nil"/>
                  </w:tcBorders>
                  <w:vAlign w:val="center"/>
                </w:tcPr>
                <w:p w14:paraId="7504EA0B">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color w:val="auto"/>
                      <w:spacing w:val="7"/>
                      <w:sz w:val="21"/>
                      <w:szCs w:val="21"/>
                      <w:highlight w:val="none"/>
                    </w:rPr>
                    <w:t>散装粉尘</w:t>
                  </w:r>
                </w:p>
              </w:tc>
              <w:tc>
                <w:tcPr>
                  <w:tcW w:w="1245" w:type="dxa"/>
                  <w:tcBorders>
                    <w:tl2br w:val="nil"/>
                    <w:tr2bl w:val="nil"/>
                  </w:tcBorders>
                  <w:vAlign w:val="center"/>
                </w:tcPr>
                <w:p w14:paraId="0D6C6DF6">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color w:val="auto"/>
                      <w:spacing w:val="7"/>
                      <w:sz w:val="21"/>
                      <w:szCs w:val="21"/>
                      <w:highlight w:val="none"/>
                    </w:rPr>
                    <w:t>颗粒物</w:t>
                  </w:r>
                </w:p>
              </w:tc>
              <w:tc>
                <w:tcPr>
                  <w:tcW w:w="1095" w:type="dxa"/>
                  <w:tcBorders>
                    <w:tl2br w:val="nil"/>
                    <w:tr2bl w:val="nil"/>
                  </w:tcBorders>
                  <w:vAlign w:val="center"/>
                </w:tcPr>
                <w:p w14:paraId="46F93470">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9.44</w:t>
                  </w:r>
                </w:p>
              </w:tc>
              <w:tc>
                <w:tcPr>
                  <w:tcW w:w="3533" w:type="dxa"/>
                  <w:tcBorders>
                    <w:tl2br w:val="nil"/>
                    <w:tr2bl w:val="nil"/>
                  </w:tcBorders>
                  <w:vAlign w:val="center"/>
                </w:tcPr>
                <w:p w14:paraId="26EA4DCC">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color w:val="auto"/>
                      <w:spacing w:val="7"/>
                      <w:sz w:val="21"/>
                      <w:szCs w:val="21"/>
                      <w:highlight w:val="none"/>
                    </w:rPr>
                    <w:t>散装包装设置</w:t>
                  </w:r>
                  <w:r>
                    <w:rPr>
                      <w:rFonts w:ascii="Times New Roman" w:hAnsi="Times New Roman" w:eastAsia="Times New Roman" w:cs="Times New Roman"/>
                      <w:color w:val="auto"/>
                      <w:spacing w:val="7"/>
                      <w:sz w:val="21"/>
                      <w:szCs w:val="21"/>
                      <w:highlight w:val="none"/>
                    </w:rPr>
                    <w:t>1</w:t>
                  </w:r>
                  <w:r>
                    <w:rPr>
                      <w:color w:val="auto"/>
                      <w:spacing w:val="7"/>
                      <w:sz w:val="21"/>
                      <w:szCs w:val="21"/>
                      <w:highlight w:val="none"/>
                    </w:rPr>
                    <w:t>套</w:t>
                  </w:r>
                  <w:r>
                    <w:rPr>
                      <w:rFonts w:hint="eastAsia" w:ascii="Times New Roman" w:hAnsi="Times New Roman" w:cs="Times New Roman"/>
                      <w:color w:val="auto"/>
                      <w:sz w:val="21"/>
                      <w:szCs w:val="21"/>
                      <w:highlight w:val="none"/>
                      <w:lang w:val="en-US" w:eastAsia="zh-CN"/>
                    </w:rPr>
                    <w:t>脉冲</w:t>
                  </w:r>
                  <w:r>
                    <w:rPr>
                      <w:color w:val="auto"/>
                      <w:spacing w:val="7"/>
                      <w:sz w:val="21"/>
                      <w:szCs w:val="21"/>
                      <w:highlight w:val="none"/>
                    </w:rPr>
                    <w:t>布袋除尘器，粉尘经负压</w:t>
                  </w:r>
                  <w:r>
                    <w:rPr>
                      <w:color w:val="auto"/>
                      <w:spacing w:val="8"/>
                      <w:sz w:val="21"/>
                      <w:szCs w:val="21"/>
                      <w:highlight w:val="none"/>
                    </w:rPr>
                    <w:t>管道收集后通过布袋除尘器处理后</w:t>
                  </w:r>
                  <w:r>
                    <w:rPr>
                      <w:rFonts w:hint="eastAsia"/>
                      <w:lang w:eastAsia="zh-CN"/>
                    </w:rPr>
                    <w:t>，</w:t>
                  </w:r>
                  <w:r>
                    <w:rPr>
                      <w:rFonts w:hint="eastAsia"/>
                      <w:lang w:val="en-US" w:eastAsia="zh-CN"/>
                    </w:rPr>
                    <w:t>在</w:t>
                  </w:r>
                  <w:r>
                    <w:rPr>
                      <w:color w:val="auto"/>
                      <w:spacing w:val="8"/>
                      <w:sz w:val="21"/>
                      <w:szCs w:val="21"/>
                      <w:highlight w:val="none"/>
                    </w:rPr>
                    <w:t>车间内排放。</w:t>
                  </w:r>
                </w:p>
              </w:tc>
              <w:tc>
                <w:tcPr>
                  <w:tcW w:w="1369" w:type="dxa"/>
                  <w:tcBorders>
                    <w:tl2br w:val="nil"/>
                    <w:tr2bl w:val="nil"/>
                  </w:tcBorders>
                  <w:vAlign w:val="center"/>
                </w:tcPr>
                <w:p w14:paraId="61FB702F">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2"/>
                      <w:sz w:val="21"/>
                      <w:szCs w:val="21"/>
                      <w:highlight w:val="none"/>
                      <w:lang w:val="en-US" w:eastAsia="zh-CN"/>
                    </w:rPr>
                    <w:t>0.0094</w:t>
                  </w:r>
                </w:p>
              </w:tc>
            </w:tr>
            <w:tr w14:paraId="1380B6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1126" w:type="dxa"/>
                  <w:tcBorders>
                    <w:tl2br w:val="nil"/>
                    <w:tr2bl w:val="nil"/>
                  </w:tcBorders>
                  <w:vAlign w:val="center"/>
                </w:tcPr>
                <w:p w14:paraId="5874FB97">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color w:val="auto"/>
                      <w:spacing w:val="7"/>
                      <w:sz w:val="21"/>
                      <w:szCs w:val="21"/>
                      <w:highlight w:val="none"/>
                    </w:rPr>
                    <w:t>袋装粉尘</w:t>
                  </w:r>
                </w:p>
              </w:tc>
              <w:tc>
                <w:tcPr>
                  <w:tcW w:w="1245" w:type="dxa"/>
                  <w:tcBorders>
                    <w:tl2br w:val="nil"/>
                    <w:tr2bl w:val="nil"/>
                  </w:tcBorders>
                  <w:vAlign w:val="center"/>
                </w:tcPr>
                <w:p w14:paraId="24CDA04F">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color w:val="auto"/>
                      <w:spacing w:val="7"/>
                      <w:sz w:val="21"/>
                      <w:szCs w:val="21"/>
                      <w:highlight w:val="none"/>
                    </w:rPr>
                    <w:t>颗粒物</w:t>
                  </w:r>
                </w:p>
              </w:tc>
              <w:tc>
                <w:tcPr>
                  <w:tcW w:w="1095" w:type="dxa"/>
                  <w:tcBorders>
                    <w:tl2br w:val="nil"/>
                    <w:tr2bl w:val="nil"/>
                  </w:tcBorders>
                  <w:vAlign w:val="center"/>
                </w:tcPr>
                <w:p w14:paraId="4C9704A2">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0.85</w:t>
                  </w:r>
                </w:p>
              </w:tc>
              <w:tc>
                <w:tcPr>
                  <w:tcW w:w="3533" w:type="dxa"/>
                  <w:tcBorders>
                    <w:tl2br w:val="nil"/>
                    <w:tr2bl w:val="nil"/>
                  </w:tcBorders>
                  <w:vAlign w:val="center"/>
                </w:tcPr>
                <w:p w14:paraId="59B5F205">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z w:val="21"/>
                      <w:szCs w:val="21"/>
                      <w:highlight w:val="none"/>
                      <w:lang w:eastAsia="zh-CN"/>
                    </w:rPr>
                  </w:pPr>
                  <w:r>
                    <w:rPr>
                      <w:color w:val="auto"/>
                      <w:spacing w:val="6"/>
                      <w:sz w:val="21"/>
                      <w:szCs w:val="21"/>
                      <w:highlight w:val="none"/>
                    </w:rPr>
                    <w:t>普通砂浆</w:t>
                  </w:r>
                  <w:r>
                    <w:rPr>
                      <w:rFonts w:hint="eastAsia"/>
                      <w:lang w:val="en-US" w:eastAsia="zh-CN"/>
                    </w:rPr>
                    <w:t>用</w:t>
                  </w:r>
                  <w:r>
                    <w:rPr>
                      <w:rFonts w:ascii="Times New Roman" w:hAnsi="Times New Roman" w:eastAsia="Times New Roman" w:cs="Times New Roman"/>
                      <w:color w:val="auto"/>
                      <w:spacing w:val="7"/>
                      <w:sz w:val="21"/>
                      <w:szCs w:val="21"/>
                      <w:highlight w:val="none"/>
                    </w:rPr>
                    <w:t>1</w:t>
                  </w:r>
                  <w:r>
                    <w:rPr>
                      <w:color w:val="auto"/>
                      <w:spacing w:val="7"/>
                      <w:sz w:val="21"/>
                      <w:szCs w:val="21"/>
                      <w:highlight w:val="none"/>
                    </w:rPr>
                    <w:t>套</w:t>
                  </w:r>
                  <w:r>
                    <w:rPr>
                      <w:rFonts w:hint="eastAsia" w:ascii="Times New Roman" w:hAnsi="Times New Roman" w:cs="Times New Roman"/>
                      <w:color w:val="auto"/>
                      <w:sz w:val="21"/>
                      <w:szCs w:val="21"/>
                      <w:highlight w:val="none"/>
                      <w:lang w:val="en-US" w:eastAsia="zh-CN"/>
                    </w:rPr>
                    <w:t>脉冲</w:t>
                  </w:r>
                  <w:r>
                    <w:rPr>
                      <w:color w:val="auto"/>
                      <w:spacing w:val="7"/>
                      <w:sz w:val="21"/>
                      <w:szCs w:val="21"/>
                      <w:highlight w:val="none"/>
                    </w:rPr>
                    <w:t>布袋除尘器</w:t>
                  </w:r>
                  <w:r>
                    <w:rPr>
                      <w:color w:val="auto"/>
                      <w:spacing w:val="6"/>
                      <w:sz w:val="21"/>
                      <w:szCs w:val="21"/>
                      <w:highlight w:val="none"/>
                    </w:rPr>
                    <w:t>，通过“集气罩</w:t>
                  </w:r>
                  <w:r>
                    <w:rPr>
                      <w:rFonts w:ascii="Times New Roman" w:hAnsi="Times New Roman" w:eastAsia="Times New Roman" w:cs="Times New Roman"/>
                      <w:color w:val="auto"/>
                      <w:spacing w:val="6"/>
                      <w:sz w:val="21"/>
                      <w:szCs w:val="21"/>
                      <w:highlight w:val="none"/>
                    </w:rPr>
                    <w:t>+</w:t>
                  </w:r>
                  <w:r>
                    <w:rPr>
                      <w:color w:val="auto"/>
                      <w:spacing w:val="6"/>
                      <w:sz w:val="21"/>
                      <w:szCs w:val="21"/>
                      <w:highlight w:val="none"/>
                    </w:rPr>
                    <w:t>布袋除尘”处理后</w:t>
                  </w:r>
                  <w:r>
                    <w:rPr>
                      <w:rFonts w:hint="eastAsia"/>
                      <w:color w:val="auto"/>
                      <w:spacing w:val="6"/>
                      <w:sz w:val="21"/>
                      <w:szCs w:val="21"/>
                      <w:highlight w:val="none"/>
                      <w:lang w:val="en-US" w:eastAsia="zh-CN"/>
                    </w:rPr>
                    <w:t>在</w:t>
                  </w:r>
                  <w:r>
                    <w:rPr>
                      <w:color w:val="auto"/>
                      <w:spacing w:val="6"/>
                      <w:sz w:val="21"/>
                      <w:szCs w:val="21"/>
                      <w:highlight w:val="none"/>
                    </w:rPr>
                    <w:t>车间内排放</w:t>
                  </w:r>
                  <w:r>
                    <w:rPr>
                      <w:rFonts w:hint="eastAsia"/>
                      <w:lang w:eastAsia="zh-CN"/>
                    </w:rPr>
                    <w:t>。</w:t>
                  </w:r>
                </w:p>
              </w:tc>
              <w:tc>
                <w:tcPr>
                  <w:tcW w:w="1369" w:type="dxa"/>
                  <w:tcBorders>
                    <w:tl2br w:val="nil"/>
                    <w:tr2bl w:val="nil"/>
                  </w:tcBorders>
                  <w:vAlign w:val="center"/>
                </w:tcPr>
                <w:p w14:paraId="5D4E0636">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2"/>
                      <w:sz w:val="21"/>
                      <w:szCs w:val="21"/>
                      <w:highlight w:val="none"/>
                      <w:lang w:val="en-US" w:eastAsia="zh-CN"/>
                    </w:rPr>
                    <w:t>0.00085</w:t>
                  </w:r>
                </w:p>
              </w:tc>
            </w:tr>
            <w:tr w14:paraId="421339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1126" w:type="dxa"/>
                  <w:tcBorders>
                    <w:tl2br w:val="nil"/>
                    <w:tr2bl w:val="nil"/>
                  </w:tcBorders>
                  <w:vAlign w:val="center"/>
                </w:tcPr>
                <w:p w14:paraId="79068C21">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5"/>
                      <w:sz w:val="21"/>
                      <w:szCs w:val="21"/>
                      <w:highlight w:val="none"/>
                      <w:lang w:val="en-US" w:eastAsia="zh-CN"/>
                    </w:rPr>
                  </w:pPr>
                  <w:r>
                    <w:rPr>
                      <w:color w:val="auto"/>
                      <w:spacing w:val="7"/>
                      <w:sz w:val="21"/>
                      <w:szCs w:val="21"/>
                      <w:highlight w:val="none"/>
                    </w:rPr>
                    <w:t>运输粉尘</w:t>
                  </w:r>
                </w:p>
              </w:tc>
              <w:tc>
                <w:tcPr>
                  <w:tcW w:w="1245" w:type="dxa"/>
                  <w:tcBorders>
                    <w:tl2br w:val="nil"/>
                    <w:tr2bl w:val="nil"/>
                  </w:tcBorders>
                  <w:vAlign w:val="center"/>
                </w:tcPr>
                <w:p w14:paraId="3B823B76">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7"/>
                      <w:sz w:val="21"/>
                      <w:szCs w:val="21"/>
                      <w:highlight w:val="none"/>
                    </w:rPr>
                  </w:pPr>
                  <w:r>
                    <w:rPr>
                      <w:color w:val="auto"/>
                      <w:spacing w:val="7"/>
                      <w:sz w:val="21"/>
                      <w:szCs w:val="21"/>
                      <w:highlight w:val="none"/>
                    </w:rPr>
                    <w:t>颗粒物</w:t>
                  </w:r>
                </w:p>
              </w:tc>
              <w:tc>
                <w:tcPr>
                  <w:tcW w:w="1095" w:type="dxa"/>
                  <w:tcBorders>
                    <w:tl2br w:val="nil"/>
                    <w:tr2bl w:val="nil"/>
                  </w:tcBorders>
                  <w:vAlign w:val="center"/>
                </w:tcPr>
                <w:p w14:paraId="4013C289">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0.0747</w:t>
                  </w:r>
                </w:p>
              </w:tc>
              <w:tc>
                <w:tcPr>
                  <w:tcW w:w="3533" w:type="dxa"/>
                  <w:tcBorders>
                    <w:tl2br w:val="nil"/>
                    <w:tr2bl w:val="nil"/>
                  </w:tcBorders>
                  <w:vAlign w:val="center"/>
                </w:tcPr>
                <w:p w14:paraId="345FA148">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3"/>
                      <w:sz w:val="21"/>
                      <w:szCs w:val="21"/>
                      <w:highlight w:val="none"/>
                      <w:lang w:val="en-US" w:eastAsia="zh-CN"/>
                    </w:rPr>
                  </w:pPr>
                  <w:r>
                    <w:rPr>
                      <w:rFonts w:hint="eastAsia" w:cs="Times New Roman" w:eastAsiaTheme="minorEastAsia"/>
                      <w:color w:val="auto"/>
                      <w:kern w:val="2"/>
                      <w:sz w:val="21"/>
                      <w:szCs w:val="21"/>
                      <w:highlight w:val="none"/>
                      <w:lang w:val="en-US" w:eastAsia="zh-CN" w:bidi="ar-SA"/>
                    </w:rPr>
                    <w:t>采取覆盖等封闭方式进行运输，设置洗车台，厂区地面硬化并加大对地面的清扫和洒水频率，控制车速等措施</w:t>
                  </w:r>
                  <w:r>
                    <w:rPr>
                      <w:rFonts w:hint="eastAsia"/>
                      <w:lang w:eastAsia="zh-CN"/>
                    </w:rPr>
                    <w:t>。</w:t>
                  </w:r>
                </w:p>
              </w:tc>
              <w:tc>
                <w:tcPr>
                  <w:tcW w:w="1369" w:type="dxa"/>
                  <w:tcBorders>
                    <w:tl2br w:val="nil"/>
                    <w:tr2bl w:val="nil"/>
                  </w:tcBorders>
                  <w:vAlign w:val="center"/>
                </w:tcPr>
                <w:p w14:paraId="26B30D19">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0.0224</w:t>
                  </w:r>
                </w:p>
              </w:tc>
            </w:tr>
            <w:tr w14:paraId="3F87FD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1126" w:type="dxa"/>
                  <w:tcBorders>
                    <w:tl2br w:val="nil"/>
                    <w:tr2bl w:val="nil"/>
                  </w:tcBorders>
                  <w:vAlign w:val="center"/>
                </w:tcPr>
                <w:p w14:paraId="74F60532">
                  <w:pPr>
                    <w:pStyle w:val="3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color w:val="auto"/>
                      <w:spacing w:val="7"/>
                      <w:sz w:val="21"/>
                      <w:szCs w:val="21"/>
                      <w:highlight w:val="none"/>
                    </w:rPr>
                  </w:pPr>
                  <w:r>
                    <w:rPr>
                      <w:rFonts w:hint="default" w:ascii="Times New Roman" w:hAnsi="Times New Roman" w:eastAsia="宋体" w:cs="Times New Roman"/>
                      <w:color w:val="auto"/>
                      <w:spacing w:val="4"/>
                      <w:sz w:val="21"/>
                      <w:szCs w:val="21"/>
                      <w:highlight w:val="none"/>
                    </w:rPr>
                    <w:t>合计</w:t>
                  </w:r>
                </w:p>
              </w:tc>
              <w:tc>
                <w:tcPr>
                  <w:tcW w:w="1245" w:type="dxa"/>
                  <w:tcBorders>
                    <w:tl2br w:val="nil"/>
                    <w:tr2bl w:val="nil"/>
                  </w:tcBorders>
                  <w:vAlign w:val="center"/>
                </w:tcPr>
                <w:p w14:paraId="78F9D65F">
                  <w:pPr>
                    <w:pStyle w:val="3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color w:val="auto"/>
                      <w:spacing w:val="7"/>
                      <w:sz w:val="21"/>
                      <w:szCs w:val="21"/>
                      <w:highlight w:val="none"/>
                    </w:rPr>
                  </w:pPr>
                  <w:r>
                    <w:rPr>
                      <w:rFonts w:hint="default" w:ascii="Times New Roman" w:hAnsi="Times New Roman" w:eastAsia="宋体" w:cs="Times New Roman"/>
                      <w:color w:val="auto"/>
                      <w:spacing w:val="7"/>
                      <w:sz w:val="21"/>
                      <w:szCs w:val="21"/>
                      <w:highlight w:val="none"/>
                    </w:rPr>
                    <w:t>颗粒物</w:t>
                  </w:r>
                </w:p>
              </w:tc>
              <w:tc>
                <w:tcPr>
                  <w:tcW w:w="1095" w:type="dxa"/>
                  <w:tcBorders>
                    <w:tl2br w:val="nil"/>
                    <w:tr2bl w:val="nil"/>
                  </w:tcBorders>
                  <w:vAlign w:val="center"/>
                </w:tcPr>
                <w:p w14:paraId="0BEDB6BD">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171.116</w:t>
                  </w:r>
                </w:p>
              </w:tc>
              <w:tc>
                <w:tcPr>
                  <w:tcW w:w="3533" w:type="dxa"/>
                  <w:tcBorders>
                    <w:tl2br w:val="nil"/>
                    <w:tr2bl w:val="nil"/>
                  </w:tcBorders>
                  <w:vAlign w:val="center"/>
                </w:tcPr>
                <w:p w14:paraId="28AAF9D2">
                  <w:pPr>
                    <w:keepNext w:val="0"/>
                    <w:keepLines w:val="0"/>
                    <w:widowControl/>
                    <w:suppressLineNumbers w:val="0"/>
                    <w:jc w:val="center"/>
                    <w:textAlignment w:val="center"/>
                    <w:rPr>
                      <w:color w:val="auto"/>
                      <w:spacing w:val="8"/>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rPr>
                    <w:t>/</w:t>
                  </w:r>
                </w:p>
              </w:tc>
              <w:tc>
                <w:tcPr>
                  <w:tcW w:w="1369" w:type="dxa"/>
                  <w:tcBorders>
                    <w:tl2br w:val="nil"/>
                    <w:tr2bl w:val="nil"/>
                  </w:tcBorders>
                  <w:vAlign w:val="center"/>
                </w:tcPr>
                <w:p w14:paraId="7D372CCB">
                  <w:pPr>
                    <w:keepNext w:val="0"/>
                    <w:keepLines w:val="0"/>
                    <w:widowControl/>
                    <w:suppressLineNumbers w:val="0"/>
                    <w:jc w:val="center"/>
                    <w:textAlignment w:val="center"/>
                    <w:rPr>
                      <w:rFonts w:hint="default" w:cs="Times New Roman"/>
                      <w:color w:val="auto"/>
                      <w:spacing w:val="2"/>
                      <w:sz w:val="21"/>
                      <w:szCs w:val="21"/>
                      <w:highlight w:val="none"/>
                      <w:lang w:val="en-US" w:eastAsia="zh-CN"/>
                    </w:rPr>
                  </w:pPr>
                  <w:r>
                    <w:rPr>
                      <w:rFonts w:hint="eastAsia" w:cs="Times New Roman"/>
                      <w:color w:val="auto"/>
                      <w:sz w:val="21"/>
                      <w:szCs w:val="21"/>
                      <w:highlight w:val="none"/>
                      <w:lang w:val="en-US" w:eastAsia="zh-CN"/>
                    </w:rPr>
                    <w:t>0.1927</w:t>
                  </w:r>
                  <w:bookmarkEnd w:id="34"/>
                </w:p>
              </w:tc>
            </w:tr>
          </w:tbl>
          <w:p w14:paraId="525F6D71">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表4-3  本项目有组织排放口情况一览表</w:t>
            </w:r>
          </w:p>
          <w:tbl>
            <w:tblPr>
              <w:tblStyle w:val="45"/>
              <w:tblW w:w="793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27"/>
              <w:gridCol w:w="894"/>
              <w:gridCol w:w="877"/>
              <w:gridCol w:w="517"/>
              <w:gridCol w:w="531"/>
              <w:gridCol w:w="531"/>
              <w:gridCol w:w="840"/>
              <w:gridCol w:w="1950"/>
              <w:gridCol w:w="969"/>
            </w:tblGrid>
            <w:tr w14:paraId="1C1BE4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4" w:hRule="atLeast"/>
                <w:jc w:val="center"/>
              </w:trPr>
              <w:tc>
                <w:tcPr>
                  <w:tcW w:w="827" w:type="dxa"/>
                  <w:vMerge w:val="restart"/>
                  <w:tcBorders>
                    <w:tl2br w:val="nil"/>
                    <w:tr2bl w:val="nil"/>
                  </w:tcBorders>
                  <w:vAlign w:val="center"/>
                </w:tcPr>
                <w:p w14:paraId="2020B921">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4"/>
                      <w:sz w:val="21"/>
                      <w:szCs w:val="21"/>
                      <w:highlight w:val="none"/>
                    </w:rPr>
                    <w:t>编号/污染物名</w:t>
                  </w:r>
                  <w:r>
                    <w:rPr>
                      <w:rFonts w:hint="default" w:ascii="Times New Roman" w:hAnsi="Times New Roman" w:eastAsia="宋体" w:cs="Times New Roman"/>
                      <w:b/>
                      <w:bCs/>
                      <w:color w:val="auto"/>
                      <w:spacing w:val="-1"/>
                      <w:sz w:val="21"/>
                      <w:szCs w:val="21"/>
                      <w:highlight w:val="none"/>
                    </w:rPr>
                    <w:t>称</w:t>
                  </w:r>
                </w:p>
              </w:tc>
              <w:tc>
                <w:tcPr>
                  <w:tcW w:w="1771" w:type="dxa"/>
                  <w:gridSpan w:val="2"/>
                  <w:tcBorders>
                    <w:tl2br w:val="nil"/>
                    <w:tr2bl w:val="nil"/>
                  </w:tcBorders>
                  <w:vAlign w:val="center"/>
                </w:tcPr>
                <w:p w14:paraId="464A55DA">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pacing w:val="7"/>
                      <w:sz w:val="21"/>
                      <w:szCs w:val="21"/>
                      <w:highlight w:val="none"/>
                    </w:rPr>
                    <w:t>排气筒底部中心</w:t>
                  </w:r>
                  <w:r>
                    <w:rPr>
                      <w:rFonts w:hint="eastAsia" w:ascii="Times New Roman" w:hAnsi="Times New Roman" w:eastAsia="宋体" w:cs="Times New Roman"/>
                      <w:b/>
                      <w:bCs/>
                      <w:color w:val="auto"/>
                      <w:spacing w:val="7"/>
                      <w:sz w:val="21"/>
                      <w:szCs w:val="21"/>
                      <w:highlight w:val="none"/>
                      <w:lang w:val="en-US" w:eastAsia="zh-CN"/>
                    </w:rPr>
                    <w:t>坐标</w:t>
                  </w:r>
                  <w:r>
                    <w:rPr>
                      <w:rFonts w:hint="eastAsia"/>
                      <w:color w:val="auto"/>
                      <w:highlight w:val="none"/>
                      <w:lang w:eastAsia="zh-CN"/>
                    </w:rPr>
                    <w:t>（</w:t>
                  </w:r>
                  <w:r>
                    <w:rPr>
                      <w:rFonts w:hint="eastAsia"/>
                      <w:color w:val="auto"/>
                      <w:highlight w:val="none"/>
                      <w:lang w:val="en-US" w:eastAsia="zh-CN"/>
                    </w:rPr>
                    <w:t>°</w:t>
                  </w:r>
                  <w:r>
                    <w:rPr>
                      <w:rFonts w:hint="eastAsia"/>
                      <w:color w:val="auto"/>
                      <w:highlight w:val="none"/>
                      <w:lang w:eastAsia="zh-CN"/>
                    </w:rPr>
                    <w:t>）</w:t>
                  </w:r>
                </w:p>
              </w:tc>
              <w:tc>
                <w:tcPr>
                  <w:tcW w:w="517" w:type="dxa"/>
                  <w:vMerge w:val="restart"/>
                  <w:tcBorders>
                    <w:tl2br w:val="nil"/>
                    <w:tr2bl w:val="nil"/>
                  </w:tcBorders>
                  <w:vAlign w:val="center"/>
                </w:tcPr>
                <w:p w14:paraId="7CB82913">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排气</w:t>
                  </w:r>
                  <w:r>
                    <w:rPr>
                      <w:rFonts w:hint="default" w:ascii="Times New Roman" w:hAnsi="Times New Roman" w:eastAsia="宋体" w:cs="Times New Roman"/>
                      <w:b/>
                      <w:bCs/>
                      <w:color w:val="auto"/>
                      <w:spacing w:val="10"/>
                      <w:sz w:val="21"/>
                      <w:szCs w:val="21"/>
                      <w:highlight w:val="none"/>
                    </w:rPr>
                    <w:t>筒高</w:t>
                  </w:r>
                  <w:r>
                    <w:rPr>
                      <w:rFonts w:hint="default" w:ascii="Times New Roman" w:hAnsi="Times New Roman" w:eastAsia="宋体" w:cs="Times New Roman"/>
                      <w:b/>
                      <w:bCs/>
                      <w:color w:val="auto"/>
                      <w:spacing w:val="3"/>
                      <w:sz w:val="21"/>
                      <w:szCs w:val="21"/>
                      <w:highlight w:val="none"/>
                    </w:rPr>
                    <w:t>度/m</w:t>
                  </w:r>
                </w:p>
              </w:tc>
              <w:tc>
                <w:tcPr>
                  <w:tcW w:w="531" w:type="dxa"/>
                  <w:vMerge w:val="restart"/>
                  <w:tcBorders>
                    <w:tl2br w:val="nil"/>
                    <w:tr2bl w:val="nil"/>
                  </w:tcBorders>
                  <w:vAlign w:val="center"/>
                </w:tcPr>
                <w:p w14:paraId="7FD4F09A">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排气</w:t>
                  </w:r>
                  <w:r>
                    <w:rPr>
                      <w:rFonts w:hint="default" w:ascii="Times New Roman" w:hAnsi="Times New Roman" w:eastAsia="宋体" w:cs="Times New Roman"/>
                      <w:b/>
                      <w:bCs/>
                      <w:color w:val="auto"/>
                      <w:spacing w:val="9"/>
                      <w:sz w:val="21"/>
                      <w:szCs w:val="21"/>
                      <w:highlight w:val="none"/>
                    </w:rPr>
                    <w:t>筒出口内</w:t>
                  </w:r>
                  <w:r>
                    <w:rPr>
                      <w:rFonts w:hint="default" w:ascii="Times New Roman" w:hAnsi="Times New Roman" w:eastAsia="宋体" w:cs="Times New Roman"/>
                      <w:b/>
                      <w:bCs/>
                      <w:color w:val="auto"/>
                      <w:spacing w:val="3"/>
                      <w:sz w:val="21"/>
                      <w:szCs w:val="21"/>
                      <w:highlight w:val="none"/>
                    </w:rPr>
                    <w:t>径/m</w:t>
                  </w:r>
                </w:p>
              </w:tc>
              <w:tc>
                <w:tcPr>
                  <w:tcW w:w="531" w:type="dxa"/>
                  <w:vMerge w:val="restart"/>
                  <w:tcBorders>
                    <w:tl2br w:val="nil"/>
                    <w:tr2bl w:val="nil"/>
                  </w:tcBorders>
                  <w:vAlign w:val="center"/>
                </w:tcPr>
                <w:p w14:paraId="50D3351B">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温度</w:t>
                  </w:r>
                  <w:r>
                    <w:rPr>
                      <w:rFonts w:hint="default" w:ascii="Times New Roman" w:hAnsi="Times New Roman" w:eastAsia="宋体" w:cs="Times New Roman"/>
                      <w:b/>
                      <w:bCs/>
                      <w:color w:val="auto"/>
                      <w:spacing w:val="5"/>
                      <w:sz w:val="21"/>
                      <w:szCs w:val="21"/>
                      <w:highlight w:val="none"/>
                    </w:rPr>
                    <w:t>/℃</w:t>
                  </w:r>
                </w:p>
              </w:tc>
              <w:tc>
                <w:tcPr>
                  <w:tcW w:w="840" w:type="dxa"/>
                  <w:vMerge w:val="restart"/>
                  <w:tcBorders>
                    <w:tl2br w:val="nil"/>
                    <w:tr2bl w:val="nil"/>
                  </w:tcBorders>
                  <w:vAlign w:val="center"/>
                </w:tcPr>
                <w:p w14:paraId="00D15D17">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年排放小</w:t>
                  </w:r>
                  <w:r>
                    <w:rPr>
                      <w:rFonts w:hint="default" w:ascii="Times New Roman" w:hAnsi="Times New Roman" w:eastAsia="宋体" w:cs="Times New Roman"/>
                      <w:b/>
                      <w:bCs/>
                      <w:color w:val="auto"/>
                      <w:spacing w:val="-1"/>
                      <w:sz w:val="21"/>
                      <w:szCs w:val="21"/>
                      <w:highlight w:val="none"/>
                    </w:rPr>
                    <w:t>时数</w:t>
                  </w:r>
                  <w:r>
                    <w:rPr>
                      <w:rFonts w:hint="default" w:ascii="Times New Roman" w:hAnsi="Times New Roman" w:eastAsia="宋体" w:cs="Times New Roman"/>
                      <w:b/>
                      <w:bCs/>
                      <w:color w:val="auto"/>
                      <w:spacing w:val="3"/>
                      <w:sz w:val="21"/>
                      <w:szCs w:val="21"/>
                      <w:highlight w:val="none"/>
                    </w:rPr>
                    <w:t>/h</w:t>
                  </w:r>
                </w:p>
              </w:tc>
              <w:tc>
                <w:tcPr>
                  <w:tcW w:w="2919" w:type="dxa"/>
                  <w:gridSpan w:val="2"/>
                  <w:tcBorders>
                    <w:tl2br w:val="nil"/>
                    <w:tr2bl w:val="nil"/>
                  </w:tcBorders>
                  <w:vAlign w:val="center"/>
                </w:tcPr>
                <w:p w14:paraId="6FF7CB86">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执行标准</w:t>
                  </w:r>
                </w:p>
              </w:tc>
            </w:tr>
            <w:tr w14:paraId="00B0AB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1" w:hRule="atLeast"/>
                <w:jc w:val="center"/>
              </w:trPr>
              <w:tc>
                <w:tcPr>
                  <w:tcW w:w="827" w:type="dxa"/>
                  <w:vMerge w:val="continue"/>
                  <w:tcBorders>
                    <w:tl2br w:val="nil"/>
                    <w:tr2bl w:val="nil"/>
                  </w:tcBorders>
                  <w:vAlign w:val="center"/>
                </w:tcPr>
                <w:p w14:paraId="11F884CB">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894" w:type="dxa"/>
                  <w:tcBorders>
                    <w:tl2br w:val="nil"/>
                    <w:tr2bl w:val="nil"/>
                  </w:tcBorders>
                  <w:vAlign w:val="center"/>
                </w:tcPr>
                <w:p w14:paraId="53AFCB56">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经度</w:t>
                  </w:r>
                </w:p>
              </w:tc>
              <w:tc>
                <w:tcPr>
                  <w:tcW w:w="877" w:type="dxa"/>
                  <w:tcBorders>
                    <w:tl2br w:val="nil"/>
                    <w:tr2bl w:val="nil"/>
                  </w:tcBorders>
                  <w:vAlign w:val="center"/>
                </w:tcPr>
                <w:p w14:paraId="62900F35">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纬度</w:t>
                  </w:r>
                </w:p>
              </w:tc>
              <w:tc>
                <w:tcPr>
                  <w:tcW w:w="517" w:type="dxa"/>
                  <w:vMerge w:val="continue"/>
                  <w:tcBorders>
                    <w:tl2br w:val="nil"/>
                    <w:tr2bl w:val="nil"/>
                  </w:tcBorders>
                  <w:vAlign w:val="center"/>
                </w:tcPr>
                <w:p w14:paraId="180BA328">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531" w:type="dxa"/>
                  <w:vMerge w:val="continue"/>
                  <w:tcBorders>
                    <w:tl2br w:val="nil"/>
                    <w:tr2bl w:val="nil"/>
                  </w:tcBorders>
                  <w:vAlign w:val="center"/>
                </w:tcPr>
                <w:p w14:paraId="0449475B">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531" w:type="dxa"/>
                  <w:vMerge w:val="continue"/>
                  <w:tcBorders>
                    <w:tl2br w:val="nil"/>
                    <w:tr2bl w:val="nil"/>
                  </w:tcBorders>
                  <w:vAlign w:val="center"/>
                </w:tcPr>
                <w:p w14:paraId="5BC379BA">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840" w:type="dxa"/>
                  <w:vMerge w:val="continue"/>
                  <w:tcBorders>
                    <w:tl2br w:val="nil"/>
                    <w:tr2bl w:val="nil"/>
                  </w:tcBorders>
                  <w:vAlign w:val="center"/>
                </w:tcPr>
                <w:p w14:paraId="3C1EE20F">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1950" w:type="dxa"/>
                  <w:tcBorders>
                    <w:tl2br w:val="nil"/>
                    <w:tr2bl w:val="nil"/>
                  </w:tcBorders>
                  <w:vAlign w:val="center"/>
                </w:tcPr>
                <w:p w14:paraId="3B453C52">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rPr>
                    <w:t>名称</w:t>
                  </w:r>
                </w:p>
              </w:tc>
              <w:tc>
                <w:tcPr>
                  <w:tcW w:w="969" w:type="dxa"/>
                  <w:tcBorders>
                    <w:tl2br w:val="nil"/>
                    <w:tr2bl w:val="nil"/>
                  </w:tcBorders>
                  <w:vAlign w:val="center"/>
                </w:tcPr>
                <w:p w14:paraId="63286596">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pacing w:val="-4"/>
                      <w:sz w:val="21"/>
                      <w:szCs w:val="21"/>
                      <w:highlight w:val="none"/>
                    </w:rPr>
                    <w:t>限值</w:t>
                  </w:r>
                  <w:r>
                    <w:rPr>
                      <w:rFonts w:hint="default" w:ascii="Times New Roman" w:hAnsi="Times New Roman" w:eastAsia="宋体" w:cs="Times New Roman"/>
                      <w:b/>
                      <w:bCs/>
                      <w:color w:val="auto"/>
                      <w:sz w:val="21"/>
                      <w:szCs w:val="21"/>
                      <w:highlight w:val="none"/>
                    </w:rPr>
                    <w:t>mg</w:t>
                  </w:r>
                  <w:r>
                    <w:rPr>
                      <w:rFonts w:hint="default" w:ascii="Times New Roman" w:hAnsi="Times New Roman" w:eastAsia="宋体" w:cs="Times New Roman"/>
                      <w:b/>
                      <w:bCs/>
                      <w:color w:val="auto"/>
                      <w:spacing w:val="6"/>
                      <w:sz w:val="21"/>
                      <w:szCs w:val="21"/>
                      <w:highlight w:val="none"/>
                    </w:rPr>
                    <w:t>/m</w:t>
                  </w:r>
                  <w:r>
                    <w:rPr>
                      <w:rFonts w:hint="eastAsia" w:ascii="Times New Roman" w:hAnsi="Times New Roman" w:eastAsia="宋体" w:cs="Times New Roman"/>
                      <w:b/>
                      <w:bCs/>
                      <w:color w:val="auto"/>
                      <w:spacing w:val="6"/>
                      <w:sz w:val="21"/>
                      <w:szCs w:val="21"/>
                      <w:highlight w:val="none"/>
                      <w:vertAlign w:val="superscript"/>
                      <w:lang w:val="en-US" w:eastAsia="zh-CN"/>
                    </w:rPr>
                    <w:t>3</w:t>
                  </w:r>
                </w:p>
              </w:tc>
            </w:tr>
            <w:tr w14:paraId="19CF8A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827" w:type="dxa"/>
                  <w:tcBorders>
                    <w:tl2br w:val="nil"/>
                    <w:tr2bl w:val="nil"/>
                  </w:tcBorders>
                  <w:vAlign w:val="center"/>
                </w:tcPr>
                <w:p w14:paraId="013CA6E3">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DA</w:t>
                  </w:r>
                  <w:r>
                    <w:rPr>
                      <w:rFonts w:hint="eastAsia" w:ascii="Times New Roman" w:hAnsi="Times New Roman" w:cs="Times New Roman"/>
                      <w:color w:val="auto"/>
                      <w:spacing w:val="8"/>
                      <w:sz w:val="21"/>
                      <w:szCs w:val="21"/>
                      <w:highlight w:val="none"/>
                      <w:lang w:val="en-US" w:eastAsia="zh-CN"/>
                    </w:rPr>
                    <w:t>107</w:t>
                  </w:r>
                  <w:r>
                    <w:rPr>
                      <w:rFonts w:hint="default" w:ascii="Times New Roman" w:hAnsi="Times New Roman" w:eastAsia="宋体" w:cs="Times New Roman"/>
                      <w:color w:val="auto"/>
                      <w:spacing w:val="7"/>
                      <w:sz w:val="21"/>
                      <w:szCs w:val="21"/>
                      <w:highlight w:val="none"/>
                    </w:rPr>
                    <w:t>颗粒物</w:t>
                  </w:r>
                </w:p>
              </w:tc>
              <w:tc>
                <w:tcPr>
                  <w:tcW w:w="894" w:type="dxa"/>
                  <w:tcBorders>
                    <w:tl2br w:val="nil"/>
                    <w:tr2bl w:val="nil"/>
                  </w:tcBorders>
                  <w:vAlign w:val="center"/>
                </w:tcPr>
                <w:p w14:paraId="7CBBDCA1">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107.50475</w:t>
                  </w:r>
                </w:p>
              </w:tc>
              <w:tc>
                <w:tcPr>
                  <w:tcW w:w="877" w:type="dxa"/>
                  <w:tcBorders>
                    <w:tl2br w:val="nil"/>
                    <w:tr2bl w:val="nil"/>
                  </w:tcBorders>
                  <w:vAlign w:val="center"/>
                </w:tcPr>
                <w:p w14:paraId="607F56DA">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34.53996</w:t>
                  </w:r>
                </w:p>
              </w:tc>
              <w:tc>
                <w:tcPr>
                  <w:tcW w:w="517" w:type="dxa"/>
                  <w:tcBorders>
                    <w:tl2br w:val="nil"/>
                    <w:tr2bl w:val="nil"/>
                  </w:tcBorders>
                  <w:vAlign w:val="center"/>
                </w:tcPr>
                <w:p w14:paraId="0EBE77EE">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15</w:t>
                  </w:r>
                </w:p>
              </w:tc>
              <w:tc>
                <w:tcPr>
                  <w:tcW w:w="531" w:type="dxa"/>
                  <w:tcBorders>
                    <w:tl2br w:val="nil"/>
                    <w:tr2bl w:val="nil"/>
                  </w:tcBorders>
                  <w:vAlign w:val="center"/>
                </w:tcPr>
                <w:p w14:paraId="19C302CA">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0.5</w:t>
                  </w:r>
                </w:p>
              </w:tc>
              <w:tc>
                <w:tcPr>
                  <w:tcW w:w="531" w:type="dxa"/>
                  <w:tcBorders>
                    <w:tl2br w:val="nil"/>
                    <w:tr2bl w:val="nil"/>
                  </w:tcBorders>
                  <w:vAlign w:val="center"/>
                </w:tcPr>
                <w:p w14:paraId="39D40E56">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常温</w:t>
                  </w:r>
                </w:p>
              </w:tc>
              <w:tc>
                <w:tcPr>
                  <w:tcW w:w="840" w:type="dxa"/>
                  <w:tcBorders>
                    <w:tl2br w:val="nil"/>
                    <w:tr2bl w:val="nil"/>
                  </w:tcBorders>
                  <w:vAlign w:val="center"/>
                </w:tcPr>
                <w:p w14:paraId="5F63AC98">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1600</w:t>
                  </w:r>
                </w:p>
              </w:tc>
              <w:tc>
                <w:tcPr>
                  <w:tcW w:w="1950" w:type="dxa"/>
                  <w:vMerge w:val="restart"/>
                  <w:tcBorders>
                    <w:tl2br w:val="nil"/>
                    <w:tr2bl w:val="nil"/>
                  </w:tcBorders>
                  <w:vAlign w:val="center"/>
                </w:tcPr>
                <w:p w14:paraId="667FEFDD">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pacing w:val="8"/>
                      <w:sz w:val="21"/>
                      <w:szCs w:val="21"/>
                      <w:highlight w:val="none"/>
                    </w:rPr>
                    <w:t>水泥工业大气污染物</w:t>
                  </w:r>
                  <w:r>
                    <w:rPr>
                      <w:rFonts w:hint="default" w:ascii="Times New Roman" w:hAnsi="Times New Roman" w:eastAsia="宋体" w:cs="Times New Roman"/>
                      <w:color w:val="auto"/>
                      <w:spacing w:val="6"/>
                      <w:sz w:val="21"/>
                      <w:szCs w:val="21"/>
                      <w:highlight w:val="none"/>
                    </w:rPr>
                    <w:t>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pacing w:val="6"/>
                      <w:sz w:val="21"/>
                      <w:szCs w:val="21"/>
                      <w:highlight w:val="none"/>
                    </w:rPr>
                    <w:t>4915-2013</w:t>
                  </w:r>
                  <w:r>
                    <w:rPr>
                      <w:rFonts w:hint="eastAsia" w:ascii="Times New Roman" w:hAnsi="Times New Roman" w:eastAsia="宋体" w:cs="Times New Roman"/>
                      <w:color w:val="auto"/>
                      <w:spacing w:val="6"/>
                      <w:sz w:val="21"/>
                      <w:szCs w:val="21"/>
                      <w:highlight w:val="none"/>
                      <w:lang w:eastAsia="zh-CN"/>
                    </w:rPr>
                    <w:t>）</w:t>
                  </w:r>
                  <w:r>
                    <w:rPr>
                      <w:rFonts w:hint="default" w:ascii="Times New Roman" w:hAnsi="Times New Roman" w:cs="Times New Roman" w:eastAsiaTheme="minorEastAsia"/>
                      <w:color w:val="auto"/>
                      <w:kern w:val="0"/>
                      <w:sz w:val="21"/>
                      <w:szCs w:val="21"/>
                      <w:highlight w:val="none"/>
                      <w:lang w:val="en-US" w:eastAsia="zh-CN"/>
                    </w:rPr>
                    <w:t>表2水泥制品生产有组织特别排放限值</w:t>
                  </w:r>
                  <w:r>
                    <w:rPr>
                      <w:rFonts w:hint="eastAsia" w:ascii="Times New Roman" w:hAnsi="Times New Roman" w:cs="Times New Roman" w:eastAsiaTheme="minorEastAsia"/>
                      <w:color w:val="auto"/>
                      <w:kern w:val="0"/>
                      <w:sz w:val="21"/>
                      <w:szCs w:val="21"/>
                      <w:highlight w:val="none"/>
                      <w:lang w:val="en-US" w:eastAsia="zh-CN"/>
                    </w:rPr>
                    <w:t>（</w:t>
                  </w:r>
                  <w:r>
                    <w:rPr>
                      <w:rFonts w:hint="default" w:ascii="Times New Roman" w:hAnsi="Times New Roman" w:cs="Times New Roman" w:eastAsiaTheme="minorEastAsia"/>
                      <w:color w:val="auto"/>
                      <w:kern w:val="0"/>
                      <w:sz w:val="21"/>
                      <w:szCs w:val="21"/>
                      <w:highlight w:val="none"/>
                      <w:lang w:val="en-US" w:eastAsia="zh-CN"/>
                    </w:rPr>
                    <w:t>≤10mg/m</w:t>
                  </w:r>
                  <w:r>
                    <w:rPr>
                      <w:rFonts w:hint="default" w:ascii="Times New Roman" w:hAnsi="Times New Roman" w:cs="Times New Roman" w:eastAsiaTheme="minorEastAsia"/>
                      <w:color w:val="auto"/>
                      <w:kern w:val="0"/>
                      <w:sz w:val="21"/>
                      <w:szCs w:val="21"/>
                      <w:highlight w:val="none"/>
                      <w:vertAlign w:val="superscript"/>
                      <w:lang w:val="en-US" w:eastAsia="zh-CN"/>
                    </w:rPr>
                    <w:t>3</w:t>
                  </w:r>
                  <w:r>
                    <w:rPr>
                      <w:rFonts w:hint="eastAsia" w:ascii="Times New Roman" w:hAnsi="Times New Roman" w:cs="Times New Roman" w:eastAsiaTheme="minorEastAsia"/>
                      <w:color w:val="auto"/>
                      <w:kern w:val="0"/>
                      <w:sz w:val="21"/>
                      <w:szCs w:val="21"/>
                      <w:highlight w:val="none"/>
                      <w:lang w:val="en-US" w:eastAsia="zh-CN"/>
                    </w:rPr>
                    <w:t>）</w:t>
                  </w:r>
                </w:p>
              </w:tc>
              <w:tc>
                <w:tcPr>
                  <w:tcW w:w="969" w:type="dxa"/>
                  <w:tcBorders>
                    <w:tl2br w:val="nil"/>
                    <w:tr2bl w:val="nil"/>
                  </w:tcBorders>
                  <w:vAlign w:val="center"/>
                </w:tcPr>
                <w:p w14:paraId="739A4458">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8"/>
                      <w:sz w:val="21"/>
                      <w:szCs w:val="21"/>
                      <w:highlight w:val="none"/>
                      <w:lang w:val="en-US" w:eastAsia="zh-CN"/>
                    </w:rPr>
                    <w:t>120</w:t>
                  </w:r>
                </w:p>
              </w:tc>
            </w:tr>
            <w:tr w14:paraId="219434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827" w:type="dxa"/>
                  <w:tcBorders>
                    <w:tl2br w:val="nil"/>
                    <w:tr2bl w:val="nil"/>
                  </w:tcBorders>
                  <w:vAlign w:val="center"/>
                </w:tcPr>
                <w:p w14:paraId="5639D5D3">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DA108颗粒物</w:t>
                  </w:r>
                </w:p>
              </w:tc>
              <w:tc>
                <w:tcPr>
                  <w:tcW w:w="894" w:type="dxa"/>
                  <w:tcBorders>
                    <w:tl2br w:val="nil"/>
                    <w:tr2bl w:val="nil"/>
                  </w:tcBorders>
                  <w:vAlign w:val="center"/>
                </w:tcPr>
                <w:p w14:paraId="4601E8CC">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107.30005</w:t>
                  </w:r>
                </w:p>
              </w:tc>
              <w:tc>
                <w:tcPr>
                  <w:tcW w:w="877" w:type="dxa"/>
                  <w:tcBorders>
                    <w:tl2br w:val="nil"/>
                    <w:tr2bl w:val="nil"/>
                  </w:tcBorders>
                  <w:vAlign w:val="center"/>
                </w:tcPr>
                <w:p w14:paraId="2BBF5BA3">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1"/>
                      <w:sz w:val="21"/>
                      <w:szCs w:val="21"/>
                      <w:highlight w:val="none"/>
                    </w:rPr>
                    <w:t>34.32262</w:t>
                  </w:r>
                </w:p>
              </w:tc>
              <w:tc>
                <w:tcPr>
                  <w:tcW w:w="517" w:type="dxa"/>
                  <w:tcBorders>
                    <w:tl2br w:val="nil"/>
                    <w:tr2bl w:val="nil"/>
                  </w:tcBorders>
                  <w:vAlign w:val="center"/>
                </w:tcPr>
                <w:p w14:paraId="1659FDBE">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cs="Times New Roman"/>
                      <w:color w:val="auto"/>
                      <w:spacing w:val="-8"/>
                      <w:sz w:val="21"/>
                      <w:szCs w:val="21"/>
                      <w:highlight w:val="none"/>
                      <w:lang w:val="en-US" w:eastAsia="zh-CN"/>
                    </w:rPr>
                    <w:t>15</w:t>
                  </w:r>
                </w:p>
              </w:tc>
              <w:tc>
                <w:tcPr>
                  <w:tcW w:w="531" w:type="dxa"/>
                  <w:tcBorders>
                    <w:tl2br w:val="nil"/>
                    <w:tr2bl w:val="nil"/>
                  </w:tcBorders>
                  <w:vAlign w:val="center"/>
                </w:tcPr>
                <w:p w14:paraId="6E040505">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05</w:t>
                  </w:r>
                </w:p>
              </w:tc>
              <w:tc>
                <w:tcPr>
                  <w:tcW w:w="531" w:type="dxa"/>
                  <w:tcBorders>
                    <w:tl2br w:val="nil"/>
                    <w:tr2bl w:val="nil"/>
                  </w:tcBorders>
                  <w:vAlign w:val="center"/>
                </w:tcPr>
                <w:p w14:paraId="37730149">
                  <w:pPr>
                    <w:pStyle w:val="3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常温</w:t>
                  </w:r>
                </w:p>
              </w:tc>
              <w:tc>
                <w:tcPr>
                  <w:tcW w:w="840" w:type="dxa"/>
                  <w:tcBorders>
                    <w:tl2br w:val="nil"/>
                    <w:tr2bl w:val="nil"/>
                  </w:tcBorders>
                  <w:vAlign w:val="center"/>
                </w:tcPr>
                <w:p w14:paraId="0674DBA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1600</w:t>
                  </w:r>
                </w:p>
              </w:tc>
              <w:tc>
                <w:tcPr>
                  <w:tcW w:w="1950" w:type="dxa"/>
                  <w:vMerge w:val="continue"/>
                  <w:tcBorders>
                    <w:tl2br w:val="nil"/>
                    <w:tr2bl w:val="nil"/>
                  </w:tcBorders>
                  <w:vAlign w:val="center"/>
                </w:tcPr>
                <w:p w14:paraId="59F35973">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969" w:type="dxa"/>
                  <w:tcBorders>
                    <w:tl2br w:val="nil"/>
                    <w:tr2bl w:val="nil"/>
                  </w:tcBorders>
                  <w:vAlign w:val="center"/>
                </w:tcPr>
                <w:p w14:paraId="0ABC150E">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cs="Times New Roman"/>
                      <w:color w:val="auto"/>
                      <w:spacing w:val="-8"/>
                      <w:sz w:val="21"/>
                      <w:szCs w:val="21"/>
                      <w:highlight w:val="none"/>
                      <w:lang w:val="en-US" w:eastAsia="zh-CN"/>
                    </w:rPr>
                  </w:pPr>
                  <w:r>
                    <w:rPr>
                      <w:rFonts w:hint="eastAsia" w:cs="Times New Roman"/>
                      <w:color w:val="auto"/>
                      <w:spacing w:val="-8"/>
                      <w:sz w:val="21"/>
                      <w:szCs w:val="21"/>
                      <w:highlight w:val="none"/>
                      <w:lang w:val="en-US" w:eastAsia="zh-CN"/>
                    </w:rPr>
                    <w:t>120</w:t>
                  </w:r>
                </w:p>
              </w:tc>
            </w:tr>
          </w:tbl>
          <w:p w14:paraId="2C21B3B9">
            <w:pPr>
              <w:numPr>
                <w:ilvl w:val="0"/>
                <w:numId w:val="0"/>
              </w:numPr>
              <w:snapToGrid w:val="0"/>
              <w:spacing w:line="360" w:lineRule="auto"/>
              <w:ind w:firstLine="482" w:firstLineChars="200"/>
              <w:jc w:val="left"/>
              <w:rPr>
                <w:rFonts w:eastAsiaTheme="minorEastAsia"/>
                <w:color w:val="auto"/>
                <w:highlight w:val="none"/>
              </w:rPr>
            </w:pPr>
            <w:r>
              <w:rPr>
                <w:rFonts w:hint="eastAsia"/>
                <w:b/>
                <w:bCs/>
                <w:color w:val="auto"/>
                <w:sz w:val="24"/>
                <w:highlight w:val="none"/>
                <w:lang w:val="en-US" w:eastAsia="zh-CN"/>
              </w:rPr>
              <w:t>2.污染源源强核算过程</w:t>
            </w:r>
            <w:bookmarkEnd w:id="30"/>
            <w:bookmarkEnd w:id="31"/>
            <w:bookmarkEnd w:id="32"/>
            <w:bookmarkEnd w:id="33"/>
          </w:p>
          <w:p w14:paraId="571BCA36">
            <w:pPr>
              <w:pStyle w:val="35"/>
              <w:keepNext w:val="0"/>
              <w:keepLines w:val="0"/>
              <w:pageBreakBefore w:val="0"/>
              <w:widowControl w:val="0"/>
              <w:kinsoku/>
              <w:wordWrap w:val="0"/>
              <w:overflowPunct/>
              <w:topLinePunct w:val="0"/>
              <w:autoSpaceDE/>
              <w:autoSpaceDN/>
              <w:bidi w:val="0"/>
              <w:snapToGrid w:val="0"/>
              <w:ind w:firstLine="482"/>
              <w:textAlignment w:val="auto"/>
              <w:rPr>
                <w:rFonts w:hint="eastAsia" w:cs="Times New Roman" w:eastAsiaTheme="minorEastAsia"/>
                <w:b w:val="0"/>
                <w:bCs/>
                <w:color w:val="auto"/>
                <w:highlight w:val="none"/>
                <w:lang w:val="en-US" w:eastAsia="zh-CN"/>
              </w:rPr>
            </w:pPr>
            <w:r>
              <w:rPr>
                <w:rFonts w:hint="eastAsia" w:cs="Times New Roman" w:eastAsiaTheme="minorEastAsia"/>
                <w:b w:val="0"/>
                <w:bCs/>
                <w:color w:val="auto"/>
                <w:highlight w:val="none"/>
                <w:lang w:eastAsia="zh-CN"/>
              </w:rPr>
              <w:t>（</w:t>
            </w:r>
            <w:r>
              <w:rPr>
                <w:rFonts w:hint="eastAsia" w:cs="Times New Roman" w:eastAsiaTheme="minorEastAsia"/>
                <w:b w:val="0"/>
                <w:bCs/>
                <w:color w:val="auto"/>
                <w:highlight w:val="none"/>
                <w:lang w:val="en-US" w:eastAsia="zh-CN"/>
              </w:rPr>
              <w:t>1</w:t>
            </w:r>
            <w:r>
              <w:rPr>
                <w:rFonts w:hint="eastAsia" w:cs="Times New Roman" w:eastAsiaTheme="minorEastAsia"/>
                <w:b w:val="0"/>
                <w:bCs/>
                <w:color w:val="auto"/>
                <w:highlight w:val="none"/>
                <w:lang w:eastAsia="zh-CN"/>
              </w:rPr>
              <w:t>）</w:t>
            </w:r>
            <w:r>
              <w:rPr>
                <w:rFonts w:hint="eastAsia" w:cs="Times New Roman" w:eastAsiaTheme="minorEastAsia"/>
                <w:b w:val="0"/>
                <w:bCs/>
                <w:color w:val="auto"/>
                <w:highlight w:val="none"/>
                <w:lang w:val="en-US" w:eastAsia="zh-CN"/>
              </w:rPr>
              <w:t>机制砂生产线</w:t>
            </w:r>
            <w:r>
              <w:rPr>
                <w:rFonts w:hint="eastAsia" w:ascii="宋体" w:hAnsi="宋体" w:cs="宋体"/>
                <w:b w:val="0"/>
                <w:bCs/>
                <w:color w:val="auto"/>
                <w:highlight w:val="none"/>
                <w:lang w:val="en-US" w:eastAsia="zh-CN"/>
              </w:rPr>
              <w:t>筛分粉尘</w:t>
            </w:r>
          </w:p>
          <w:p w14:paraId="4AC4236E">
            <w:pPr>
              <w:pStyle w:val="36"/>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default" w:ascii="Times New Roman" w:hAnsi="Times New Roman" w:eastAsia="宋体" w:cs="Times New Roman"/>
                <w:b w:val="0"/>
                <w:bCs/>
                <w:color w:val="auto"/>
                <w:highlight w:val="none"/>
                <w:lang w:val="en-US" w:eastAsia="zh-CN"/>
              </w:rPr>
            </w:pPr>
            <w:bookmarkStart w:id="35" w:name="OLE_LINK153"/>
            <w:r>
              <w:rPr>
                <w:rFonts w:hint="default" w:ascii="Times New Roman" w:hAnsi="Times New Roman" w:eastAsia="宋体" w:cs="Times New Roman"/>
                <w:b w:val="0"/>
                <w:bCs/>
                <w:color w:val="auto"/>
                <w:highlight w:val="none"/>
                <w:lang w:val="en-US" w:eastAsia="zh-CN"/>
              </w:rPr>
              <w:t>本项目机制砂</w:t>
            </w:r>
            <w:r>
              <w:rPr>
                <w:rFonts w:hint="eastAsia" w:hAnsi="Times New Roman" w:cs="Times New Roman"/>
                <w:b w:val="0"/>
                <w:bCs/>
                <w:color w:val="auto"/>
                <w:highlight w:val="none"/>
                <w:lang w:val="en-US" w:eastAsia="zh-CN"/>
              </w:rPr>
              <w:t>依托原有</w:t>
            </w:r>
            <w:r>
              <w:rPr>
                <w:rFonts w:hint="eastAsia" w:eastAsiaTheme="minorEastAsia"/>
                <w:color w:val="auto"/>
                <w:szCs w:val="21"/>
                <w:highlight w:val="none"/>
                <w:lang w:val="en-US" w:eastAsia="zh-CN"/>
              </w:rPr>
              <w:t>绿色环保新型建材园项目制砂系统</w:t>
            </w:r>
            <w:r>
              <w:rPr>
                <w:rFonts w:hint="default" w:ascii="Times New Roman" w:hAnsi="Times New Roman" w:eastAsia="宋体" w:cs="Times New Roman"/>
                <w:b w:val="0"/>
                <w:bCs/>
                <w:color w:val="auto"/>
                <w:highlight w:val="none"/>
                <w:lang w:val="en-US" w:eastAsia="zh-CN"/>
              </w:rPr>
              <w:t>，将安装在制砂楼旁边，</w:t>
            </w:r>
            <w:r>
              <w:rPr>
                <w:rFonts w:hint="eastAsia" w:hAnsi="Times New Roman" w:cs="Times New Roman"/>
                <w:b w:val="0"/>
                <w:bCs/>
                <w:color w:val="auto"/>
                <w:highlight w:val="none"/>
                <w:lang w:val="en-US" w:eastAsia="zh-CN"/>
              </w:rPr>
              <w:t>筛分出</w:t>
            </w:r>
            <w:r>
              <w:rPr>
                <w:rFonts w:hint="default" w:ascii="Times New Roman" w:hAnsi="Times New Roman" w:eastAsia="宋体" w:cs="Times New Roman"/>
                <w:b w:val="0"/>
                <w:bCs/>
                <w:color w:val="auto"/>
                <w:highlight w:val="none"/>
                <w:lang w:val="en-US" w:eastAsia="zh-CN"/>
              </w:rPr>
              <w:t>0.075-2.36mm的中砂，用于生产抹面砂浆，2.36-4.75mm粗砂继续回到制砂系统进行制砂，0.075-4.75mm的粗砂用于生产砌筑砂浆。石粉及机制砂通过气泵运输到袋装</w:t>
            </w:r>
            <w:r>
              <w:rPr>
                <w:rFonts w:hint="eastAsia" w:hAnsi="Times New Roman" w:cs="Times New Roman"/>
                <w:b w:val="0"/>
                <w:bCs/>
                <w:color w:val="auto"/>
                <w:highlight w:val="none"/>
                <w:lang w:val="en-US" w:eastAsia="zh-CN"/>
              </w:rPr>
              <w:t>5-8</w:t>
            </w:r>
            <w:r>
              <w:rPr>
                <w:rFonts w:hint="default" w:ascii="Times New Roman" w:hAnsi="Times New Roman" w:eastAsia="宋体" w:cs="Times New Roman"/>
                <w:b w:val="0"/>
                <w:bCs/>
                <w:color w:val="auto"/>
                <w:highlight w:val="none"/>
                <w:lang w:val="en-US" w:eastAsia="zh-CN"/>
              </w:rPr>
              <w:t>车道顶部的石粉仓及砂仓内。机制砂在筛分过程</w:t>
            </w:r>
            <w:r>
              <w:rPr>
                <w:rFonts w:hint="eastAsia" w:hAnsi="Times New Roman" w:cs="Times New Roman"/>
                <w:b w:val="0"/>
                <w:bCs/>
                <w:color w:val="auto"/>
                <w:highlight w:val="none"/>
                <w:lang w:val="en-US" w:eastAsia="zh-CN"/>
              </w:rPr>
              <w:t>中</w:t>
            </w:r>
            <w:r>
              <w:rPr>
                <w:rFonts w:hint="default" w:ascii="Times New Roman" w:hAnsi="Times New Roman" w:eastAsia="宋体" w:cs="Times New Roman"/>
                <w:b w:val="0"/>
                <w:bCs/>
                <w:color w:val="auto"/>
                <w:highlight w:val="none"/>
                <w:lang w:val="en-US" w:eastAsia="zh-CN"/>
              </w:rPr>
              <w:t>会产生粉尘。</w:t>
            </w:r>
            <w:r>
              <w:rPr>
                <w:rFonts w:hint="eastAsia" w:hAnsi="Times New Roman" w:cs="Times New Roman"/>
                <w:b w:val="0"/>
                <w:bCs/>
                <w:color w:val="auto"/>
                <w:highlight w:val="none"/>
                <w:lang w:val="en-US" w:eastAsia="zh-CN"/>
              </w:rPr>
              <w:t>破碎、筛分工序</w:t>
            </w:r>
            <w:r>
              <w:rPr>
                <w:rFonts w:hint="default" w:ascii="Times New Roman" w:hAnsi="Times New Roman" w:eastAsia="宋体" w:cs="Times New Roman"/>
                <w:b w:val="0"/>
                <w:bCs/>
                <w:color w:val="auto"/>
                <w:highlight w:val="none"/>
                <w:lang w:val="en-US" w:eastAsia="zh-CN"/>
              </w:rPr>
              <w:t>粉尘产生系数参考《排放源统计调查产排污核算方法和系数手册</w:t>
            </w:r>
            <w:r>
              <w:rPr>
                <w:rFonts w:hint="eastAsia" w:hAnsi="Times New Roman" w:cs="Times New Roman"/>
                <w:b w:val="0"/>
                <w:bCs/>
                <w:color w:val="auto"/>
                <w:highlight w:val="none"/>
                <w:lang w:val="en-US" w:eastAsia="zh-CN"/>
              </w:rPr>
              <w:t>》项目</w:t>
            </w:r>
            <w:r>
              <w:rPr>
                <w:rFonts w:hint="default" w:ascii="Times New Roman" w:hAnsi="Times New Roman" w:eastAsia="宋体" w:cs="Times New Roman"/>
                <w:b w:val="0"/>
                <w:bCs/>
                <w:color w:val="auto"/>
                <w:highlight w:val="none"/>
                <w:lang w:val="en-US" w:eastAsia="zh-CN"/>
              </w:rPr>
              <w:t>筛分</w:t>
            </w:r>
            <w:r>
              <w:rPr>
                <w:rFonts w:hint="eastAsia" w:hAnsi="Times New Roman" w:cs="Times New Roman"/>
                <w:b w:val="0"/>
                <w:bCs/>
                <w:color w:val="auto"/>
                <w:highlight w:val="none"/>
                <w:lang w:val="en-US" w:eastAsia="zh-CN"/>
              </w:rPr>
              <w:t>（</w:t>
            </w:r>
            <w:r>
              <w:rPr>
                <w:rFonts w:hint="default" w:ascii="Times New Roman" w:hAnsi="Times New Roman" w:eastAsia="宋体" w:cs="Times New Roman"/>
                <w:b w:val="0"/>
                <w:bCs/>
                <w:color w:val="auto"/>
                <w:highlight w:val="none"/>
                <w:lang w:val="en-US" w:eastAsia="zh-CN"/>
              </w:rPr>
              <w:t>公告第24号</w:t>
            </w:r>
            <w:r>
              <w:rPr>
                <w:rFonts w:hint="eastAsia" w:hAnsi="Times New Roman" w:cs="Times New Roman"/>
                <w:b w:val="0"/>
                <w:bCs/>
                <w:color w:val="auto"/>
                <w:highlight w:val="none"/>
                <w:lang w:val="en-US" w:eastAsia="zh-CN"/>
              </w:rPr>
              <w:t>）</w:t>
            </w:r>
            <w:r>
              <w:rPr>
                <w:rFonts w:hint="default" w:ascii="Times New Roman" w:hAnsi="Times New Roman" w:eastAsia="宋体" w:cs="Times New Roman"/>
                <w:b w:val="0"/>
                <w:bCs/>
                <w:color w:val="auto"/>
                <w:highlight w:val="none"/>
                <w:lang w:val="en-US" w:eastAsia="zh-CN"/>
              </w:rPr>
              <w:t>的303砖瓦、石材等建筑材料制造行业系数手册</w:t>
            </w:r>
            <w:r>
              <w:rPr>
                <w:rFonts w:hint="eastAsia" w:hAnsi="Times New Roman" w:cs="Times New Roman"/>
                <w:b w:val="0"/>
                <w:bCs/>
                <w:color w:val="auto"/>
                <w:highlight w:val="none"/>
                <w:lang w:val="en-US" w:eastAsia="zh-CN"/>
              </w:rPr>
              <w:t>：</w:t>
            </w:r>
            <w:r>
              <w:rPr>
                <w:rFonts w:hint="default" w:ascii="Times New Roman" w:hAnsi="Times New Roman" w:eastAsia="宋体" w:cs="Times New Roman"/>
                <w:b w:val="0"/>
                <w:bCs/>
                <w:color w:val="auto"/>
                <w:highlight w:val="none"/>
                <w:lang w:val="en-US" w:eastAsia="zh-CN"/>
              </w:rPr>
              <w:t>3039其他建筑材料制造行业中砂石骨料破碎、筛分工艺产生的颗粒物产污系数</w:t>
            </w:r>
            <w:r>
              <w:rPr>
                <w:rFonts w:hint="eastAsia" w:hAnsi="Times New Roman" w:cs="Times New Roman"/>
                <w:b w:val="0"/>
                <w:bCs/>
                <w:color w:val="auto"/>
                <w:highlight w:val="none"/>
                <w:lang w:val="en-US" w:eastAsia="zh-CN"/>
              </w:rPr>
              <w:t>：</w:t>
            </w:r>
            <w:r>
              <w:rPr>
                <w:rFonts w:hint="default" w:ascii="Times New Roman" w:hAnsi="Times New Roman" w:eastAsia="宋体" w:cs="Times New Roman"/>
                <w:b w:val="0"/>
                <w:bCs/>
                <w:color w:val="auto"/>
                <w:highlight w:val="none"/>
                <w:lang w:val="en-US" w:eastAsia="zh-CN"/>
              </w:rPr>
              <w:t>1.89千克/吨-产品。本项目通过概率筛对机制砂进行筛分，</w:t>
            </w:r>
            <w:r>
              <w:rPr>
                <w:rFonts w:hint="eastAsia" w:hAnsi="Times New Roman" w:cs="Times New Roman"/>
                <w:b w:val="0"/>
                <w:bCs/>
                <w:color w:val="auto"/>
                <w:highlight w:val="none"/>
                <w:lang w:val="en-US" w:eastAsia="zh-CN"/>
              </w:rPr>
              <w:t>筛</w:t>
            </w:r>
            <w:r>
              <w:rPr>
                <w:rFonts w:hint="default" w:ascii="Times New Roman" w:hAnsi="Times New Roman" w:eastAsia="宋体" w:cs="Times New Roman"/>
                <w:b w:val="0"/>
                <w:bCs/>
                <w:color w:val="auto"/>
                <w:highlight w:val="none"/>
                <w:lang w:val="en-US" w:eastAsia="zh-CN"/>
              </w:rPr>
              <w:t>分后的产品为不同粒径的机制砂，由于只涉及筛分工艺，不涉及破碎工艺，故本项目筛分粉尘的产污系数按照1.89/2=0.945千克/吨-产品计，筛分工艺的产品量为</w:t>
            </w:r>
            <w:r>
              <w:rPr>
                <w:rFonts w:hint="eastAsia" w:hAnsi="Times New Roman" w:cs="Times New Roman"/>
                <w:b w:val="0"/>
                <w:bCs/>
                <w:color w:val="auto"/>
                <w:highlight w:val="none"/>
                <w:lang w:val="en-US" w:eastAsia="zh-CN"/>
              </w:rPr>
              <w:t>19.5</w:t>
            </w:r>
            <w:r>
              <w:rPr>
                <w:rFonts w:hint="default" w:ascii="Times New Roman" w:hAnsi="Times New Roman" w:eastAsia="宋体" w:cs="Times New Roman"/>
                <w:b w:val="0"/>
                <w:bCs/>
                <w:color w:val="auto"/>
                <w:highlight w:val="none"/>
                <w:lang w:val="en-US" w:eastAsia="zh-CN"/>
              </w:rPr>
              <w:t>万吨/年，则本项目筛分粉尘产生量为</w:t>
            </w:r>
            <w:r>
              <w:rPr>
                <w:rFonts w:hint="eastAsia" w:hAnsi="Times New Roman" w:cs="Times New Roman"/>
                <w:b w:val="0"/>
                <w:bCs/>
                <w:color w:val="auto"/>
                <w:highlight w:val="none"/>
                <w:lang w:val="en-US" w:eastAsia="zh-CN"/>
              </w:rPr>
              <w:t>184.2751</w:t>
            </w:r>
            <w:r>
              <w:rPr>
                <w:rFonts w:hint="default" w:ascii="Times New Roman" w:hAnsi="Times New Roman" w:eastAsia="宋体" w:cs="Times New Roman"/>
                <w:b w:val="0"/>
                <w:bCs/>
                <w:color w:val="auto"/>
                <w:highlight w:val="none"/>
                <w:lang w:val="en-US" w:eastAsia="zh-CN"/>
              </w:rPr>
              <w:t>ta。</w:t>
            </w:r>
          </w:p>
          <w:p w14:paraId="3FE47A08">
            <w:pPr>
              <w:pStyle w:val="35"/>
              <w:keepNext w:val="0"/>
              <w:keepLines w:val="0"/>
              <w:pageBreakBefore w:val="0"/>
              <w:widowControl w:val="0"/>
              <w:kinsoku/>
              <w:wordWrap w:val="0"/>
              <w:overflowPunct/>
              <w:topLinePunct w:val="0"/>
              <w:autoSpaceDE/>
              <w:autoSpaceDN/>
              <w:bidi w:val="0"/>
              <w:snapToGrid w:val="0"/>
              <w:ind w:firstLine="482"/>
              <w:textAlignment w:val="auto"/>
              <w:rPr>
                <w:rFonts w:hint="eastAsia" w:hAnsi="宋体"/>
                <w:color w:val="auto"/>
                <w:kern w:val="0"/>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筛分机为全密闭设备，筛分粉尘经设备排气口连接管道收集后经1套布袋除尘器</w:t>
            </w:r>
            <w:r>
              <w:rPr>
                <w:rFonts w:hint="eastAsia" w:ascii="Times New Roman" w:hAnsi="Times New Roman" w:eastAsia="宋体" w:cs="Times New Roman"/>
                <w:color w:val="auto"/>
                <w:sz w:val="24"/>
                <w:szCs w:val="24"/>
                <w:highlight w:val="none"/>
                <w:lang w:val="en-US" w:eastAsia="zh-CN"/>
              </w:rPr>
              <w:t>（处理效率按</w:t>
            </w:r>
            <w:r>
              <w:rPr>
                <w:rFonts w:hint="eastAsia" w:cs="Times New Roman"/>
                <w:color w:val="auto"/>
                <w:sz w:val="24"/>
                <w:szCs w:val="24"/>
                <w:highlight w:val="none"/>
                <w:lang w:val="en-US" w:eastAsia="zh-CN"/>
              </w:rPr>
              <w:t>99.9</w:t>
            </w:r>
            <w:r>
              <w:rPr>
                <w:rFonts w:hint="eastAsia" w:ascii="Times New Roman" w:hAnsi="Times New Roman" w:eastAsia="宋体" w:cs="Times New Roman"/>
                <w:color w:val="auto"/>
                <w:sz w:val="24"/>
                <w:szCs w:val="24"/>
                <w:highlight w:val="none"/>
                <w:lang w:val="en-US" w:eastAsia="zh-CN"/>
              </w:rPr>
              <w:t>%计）</w:t>
            </w:r>
            <w:r>
              <w:rPr>
                <w:rFonts w:hint="default" w:ascii="Times New Roman" w:hAnsi="Times New Roman" w:eastAsia="宋体" w:cs="Times New Roman"/>
                <w:b w:val="0"/>
                <w:bCs/>
                <w:color w:val="auto"/>
                <w:sz w:val="24"/>
                <w:szCs w:val="24"/>
                <w:highlight w:val="none"/>
                <w:lang w:val="en-US" w:eastAsia="zh-CN"/>
              </w:rPr>
              <w:t>处理后通过15m排气筒排放</w:t>
            </w:r>
            <w:r>
              <w:rPr>
                <w:rFonts w:hint="eastAsia" w:cs="Times New Roman"/>
                <w:b w:val="0"/>
                <w:bCs/>
                <w:color w:val="auto"/>
                <w:sz w:val="24"/>
                <w:szCs w:val="24"/>
                <w:highlight w:val="none"/>
                <w:lang w:val="en-US" w:eastAsia="zh-CN"/>
              </w:rPr>
              <w:t>（DA107）</w:t>
            </w:r>
            <w:r>
              <w:rPr>
                <w:rFonts w:hint="default" w:ascii="Times New Roman" w:hAnsi="Times New Roman" w:eastAsia="宋体" w:cs="Times New Roman"/>
                <w:b w:val="0"/>
                <w:bCs/>
                <w:color w:val="auto"/>
                <w:sz w:val="24"/>
                <w:szCs w:val="24"/>
                <w:highlight w:val="none"/>
                <w:lang w:val="en-US" w:eastAsia="zh-CN"/>
              </w:rPr>
              <w:t>，废气收集效率可达到100%。根据建设单位提供废气治理设施设计参数，筛分机对应布袋除尘器废气收集风量为</w:t>
            </w:r>
            <w:r>
              <w:rPr>
                <w:rFonts w:hint="eastAsia" w:cs="Times New Roman"/>
                <w:b w:val="0"/>
                <w:bCs/>
                <w:color w:val="auto"/>
                <w:sz w:val="24"/>
                <w:szCs w:val="24"/>
                <w:highlight w:val="none"/>
                <w:lang w:val="en-US" w:eastAsia="zh-CN"/>
              </w:rPr>
              <w:t>15000</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eastAsia" w:cs="Times New Roman"/>
                <w:b w:val="0"/>
                <w:bCs/>
                <w:color w:val="auto"/>
                <w:sz w:val="24"/>
                <w:szCs w:val="24"/>
                <w:highlight w:val="none"/>
                <w:lang w:val="en-US" w:eastAsia="zh-CN"/>
              </w:rPr>
              <w:t>/h</w:t>
            </w:r>
            <w:bookmarkEnd w:id="35"/>
            <w:bookmarkStart w:id="36" w:name="OLE_LINK162"/>
            <w:r>
              <w:rPr>
                <w:rFonts w:hint="eastAsia" w:cs="Times New Roman"/>
                <w:b w:val="0"/>
                <w:bCs/>
                <w:color w:val="auto"/>
                <w:sz w:val="24"/>
                <w:szCs w:val="24"/>
                <w:highlight w:val="none"/>
                <w:lang w:val="en-US" w:eastAsia="zh-CN"/>
              </w:rPr>
              <w:t>，</w:t>
            </w:r>
            <w:r>
              <w:rPr>
                <w:rFonts w:hint="eastAsia" w:hAnsi="宋体"/>
                <w:color w:val="auto"/>
                <w:kern w:val="0"/>
                <w:sz w:val="24"/>
                <w:szCs w:val="24"/>
                <w:highlight w:val="none"/>
                <w:lang w:val="en-US" w:eastAsia="zh-CN"/>
              </w:rPr>
              <w:t>年运行时间为1600h，则本项目机制砂筛分工序废气污染物产生与排放情况见下表4-4。</w:t>
            </w:r>
          </w:p>
          <w:p w14:paraId="20935F1D">
            <w:pPr>
              <w:numPr>
                <w:ilvl w:val="0"/>
                <w:numId w:val="0"/>
              </w:numPr>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4-4</w:t>
            </w:r>
            <w:r>
              <w:rPr>
                <w:rFonts w:hint="default" w:ascii="Times New Roman" w:hAnsi="Times New Roman" w:eastAsia="宋体" w:cs="Times New Roman"/>
                <w:b/>
                <w:bCs/>
                <w:color w:val="auto"/>
                <w:sz w:val="21"/>
                <w:szCs w:val="21"/>
                <w:highlight w:val="none"/>
                <w:lang w:val="en-US" w:eastAsia="zh-CN"/>
              </w:rPr>
              <w:t xml:space="preserve"> </w:t>
            </w:r>
            <w:r>
              <w:rPr>
                <w:rFonts w:hint="eastAsia" w:cs="Times New Roman"/>
                <w:b/>
                <w:bCs/>
                <w:color w:val="auto"/>
                <w:sz w:val="21"/>
                <w:szCs w:val="21"/>
                <w:highlight w:val="none"/>
                <w:lang w:val="en-US" w:eastAsia="zh-CN"/>
              </w:rPr>
              <w:t>机制砂筛分</w:t>
            </w:r>
            <w:r>
              <w:rPr>
                <w:rFonts w:hint="eastAsia" w:ascii="Times New Roman" w:hAnsi="Times New Roman" w:eastAsia="宋体" w:cs="Times New Roman"/>
                <w:b/>
                <w:bCs/>
                <w:color w:val="auto"/>
                <w:sz w:val="21"/>
                <w:szCs w:val="21"/>
                <w:highlight w:val="none"/>
                <w:lang w:val="en-US" w:eastAsia="zh-CN"/>
              </w:rPr>
              <w:t>工序废气污染物产生与排放情况</w:t>
            </w:r>
          </w:p>
          <w:tbl>
            <w:tblPr>
              <w:tblStyle w:val="20"/>
              <w:tblW w:w="80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0"/>
              <w:gridCol w:w="707"/>
              <w:gridCol w:w="675"/>
              <w:gridCol w:w="712"/>
              <w:gridCol w:w="712"/>
              <w:gridCol w:w="962"/>
              <w:gridCol w:w="675"/>
              <w:gridCol w:w="863"/>
              <w:gridCol w:w="782"/>
              <w:gridCol w:w="683"/>
              <w:gridCol w:w="643"/>
            </w:tblGrid>
            <w:tr w14:paraId="120053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660" w:type="dxa"/>
                  <w:tcBorders>
                    <w:tl2br w:val="nil"/>
                    <w:tr2bl w:val="nil"/>
                  </w:tcBorders>
                  <w:noWrap w:val="0"/>
                  <w:vAlign w:val="center"/>
                </w:tcPr>
                <w:p w14:paraId="43959E98">
                  <w:pPr>
                    <w:adjustRightInd w:val="0"/>
                    <w:snapToGrid w:val="0"/>
                    <w:jc w:val="center"/>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产污</w:t>
                  </w:r>
                </w:p>
                <w:p w14:paraId="666F710D">
                  <w:pPr>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环节</w:t>
                  </w:r>
                </w:p>
              </w:tc>
              <w:tc>
                <w:tcPr>
                  <w:tcW w:w="707" w:type="dxa"/>
                  <w:tcBorders>
                    <w:tl2br w:val="nil"/>
                    <w:tr2bl w:val="nil"/>
                  </w:tcBorders>
                  <w:noWrap w:val="0"/>
                  <w:vAlign w:val="center"/>
                </w:tcPr>
                <w:p w14:paraId="62DB36C6">
                  <w:pPr>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污染物种类</w:t>
                  </w:r>
                </w:p>
              </w:tc>
              <w:tc>
                <w:tcPr>
                  <w:tcW w:w="675" w:type="dxa"/>
                  <w:tcBorders>
                    <w:tl2br w:val="nil"/>
                    <w:tr2bl w:val="nil"/>
                  </w:tcBorders>
                  <w:noWrap w:val="0"/>
                  <w:vAlign w:val="center"/>
                </w:tcPr>
                <w:p w14:paraId="688537DB">
                  <w:pPr>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产生量</w:t>
                  </w:r>
                  <w:r>
                    <w:rPr>
                      <w:rFonts w:hint="eastAsia" w:ascii="Times New Roman" w:hAnsi="Times New Roman" w:eastAsia="宋体" w:cs="Times New Roman"/>
                      <w:b/>
                      <w:bCs w:val="0"/>
                      <w:color w:val="auto"/>
                      <w:sz w:val="21"/>
                      <w:szCs w:val="21"/>
                      <w:highlight w:val="none"/>
                      <w:lang w:val="en-US" w:eastAsia="zh-CN"/>
                    </w:rPr>
                    <w:t>（</w:t>
                  </w:r>
                  <w:r>
                    <w:rPr>
                      <w:rFonts w:hint="default" w:ascii="Times New Roman" w:hAnsi="Times New Roman" w:eastAsia="宋体" w:cs="Times New Roman"/>
                      <w:b/>
                      <w:bCs w:val="0"/>
                      <w:color w:val="auto"/>
                      <w:sz w:val="21"/>
                      <w:szCs w:val="21"/>
                      <w:highlight w:val="none"/>
                      <w:lang w:val="en-US" w:eastAsia="zh-CN"/>
                    </w:rPr>
                    <w:t>t/a）</w:t>
                  </w:r>
                </w:p>
              </w:tc>
              <w:tc>
                <w:tcPr>
                  <w:tcW w:w="712" w:type="dxa"/>
                  <w:tcBorders>
                    <w:tl2br w:val="nil"/>
                    <w:tr2bl w:val="nil"/>
                  </w:tcBorders>
                  <w:noWrap w:val="0"/>
                  <w:vAlign w:val="center"/>
                </w:tcPr>
                <w:p w14:paraId="46BF6F74">
                  <w:pPr>
                    <w:adjustRightInd w:val="0"/>
                    <w:snapToGrid w:val="0"/>
                    <w:jc w:val="center"/>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产生速率（kg/h）</w:t>
                  </w:r>
                </w:p>
              </w:tc>
              <w:tc>
                <w:tcPr>
                  <w:tcW w:w="712" w:type="dxa"/>
                  <w:tcBorders>
                    <w:tl2br w:val="nil"/>
                    <w:tr2bl w:val="nil"/>
                  </w:tcBorders>
                  <w:noWrap w:val="0"/>
                  <w:vAlign w:val="center"/>
                </w:tcPr>
                <w:p w14:paraId="3A2A43DF">
                  <w:pPr>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产生浓度</w:t>
                  </w:r>
                  <w:r>
                    <w:rPr>
                      <w:rFonts w:hint="eastAsia" w:cs="Times New Roman"/>
                      <w:b/>
                      <w:bCs w:val="0"/>
                      <w:color w:val="auto"/>
                      <w:sz w:val="21"/>
                      <w:szCs w:val="21"/>
                      <w:highlight w:val="none"/>
                      <w:lang w:val="en-US" w:eastAsia="zh-CN"/>
                    </w:rPr>
                    <w:t>（</w:t>
                  </w:r>
                  <w:r>
                    <w:rPr>
                      <w:rFonts w:hint="default" w:ascii="Times New Roman" w:hAnsi="Times New Roman" w:eastAsia="宋体" w:cs="Times New Roman"/>
                      <w:b/>
                      <w:bCs w:val="0"/>
                      <w:color w:val="auto"/>
                      <w:sz w:val="21"/>
                      <w:szCs w:val="21"/>
                      <w:highlight w:val="none"/>
                      <w:lang w:val="en-US" w:eastAsia="zh-CN"/>
                    </w:rPr>
                    <w:t>mg/m</w:t>
                  </w:r>
                  <w:r>
                    <w:rPr>
                      <w:rFonts w:hint="default" w:ascii="Times New Roman" w:hAnsi="Times New Roman" w:eastAsia="宋体" w:cs="Times New Roman"/>
                      <w:b/>
                      <w:bCs w:val="0"/>
                      <w:color w:val="auto"/>
                      <w:sz w:val="21"/>
                      <w:szCs w:val="21"/>
                      <w:highlight w:val="none"/>
                      <w:vertAlign w:val="superscript"/>
                      <w:lang w:val="en-US" w:eastAsia="zh-CN"/>
                    </w:rPr>
                    <w:t>3</w:t>
                  </w:r>
                  <w:r>
                    <w:rPr>
                      <w:rFonts w:hint="eastAsia" w:cs="Times New Roman"/>
                      <w:b/>
                      <w:bCs w:val="0"/>
                      <w:color w:val="auto"/>
                      <w:sz w:val="21"/>
                      <w:szCs w:val="21"/>
                      <w:highlight w:val="none"/>
                      <w:lang w:val="en-US" w:eastAsia="zh-CN"/>
                    </w:rPr>
                    <w:t>）</w:t>
                  </w:r>
                </w:p>
              </w:tc>
              <w:tc>
                <w:tcPr>
                  <w:tcW w:w="962" w:type="dxa"/>
                  <w:tcBorders>
                    <w:tl2br w:val="nil"/>
                    <w:tr2bl w:val="nil"/>
                  </w:tcBorders>
                  <w:noWrap w:val="0"/>
                  <w:vAlign w:val="center"/>
                </w:tcPr>
                <w:p w14:paraId="2F762B7D">
                  <w:pPr>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治理</w:t>
                  </w:r>
                </w:p>
                <w:p w14:paraId="00373C63">
                  <w:pPr>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措施</w:t>
                  </w:r>
                </w:p>
              </w:tc>
              <w:tc>
                <w:tcPr>
                  <w:tcW w:w="675" w:type="dxa"/>
                  <w:tcBorders>
                    <w:tl2br w:val="nil"/>
                    <w:tr2bl w:val="nil"/>
                  </w:tcBorders>
                  <w:noWrap w:val="0"/>
                  <w:vAlign w:val="center"/>
                </w:tcPr>
                <w:p w14:paraId="33935ED2">
                  <w:pPr>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是否可行技术</w:t>
                  </w:r>
                </w:p>
              </w:tc>
              <w:tc>
                <w:tcPr>
                  <w:tcW w:w="863" w:type="dxa"/>
                  <w:tcBorders>
                    <w:tl2br w:val="nil"/>
                    <w:tr2bl w:val="nil"/>
                  </w:tcBorders>
                  <w:noWrap w:val="0"/>
                  <w:vAlign w:val="center"/>
                </w:tcPr>
                <w:p w14:paraId="3B5DFAC6">
                  <w:pPr>
                    <w:adjustRightInd w:val="0"/>
                    <w:snapToGrid w:val="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val="en-US" w:eastAsia="zh-CN"/>
                    </w:rPr>
                    <w:t>排放量</w:t>
                  </w:r>
                  <w:r>
                    <w:rPr>
                      <w:rFonts w:hint="eastAsia" w:ascii="Times New Roman" w:hAnsi="Times New Roman" w:eastAsia="宋体" w:cs="Times New Roman"/>
                      <w:b/>
                      <w:bCs w:val="0"/>
                      <w:color w:val="auto"/>
                      <w:sz w:val="21"/>
                      <w:szCs w:val="21"/>
                      <w:highlight w:val="none"/>
                      <w:lang w:val="en-US" w:eastAsia="zh-CN"/>
                    </w:rPr>
                    <w:t>（</w:t>
                  </w:r>
                  <w:r>
                    <w:rPr>
                      <w:rFonts w:hint="default" w:ascii="Times New Roman" w:hAnsi="Times New Roman" w:eastAsia="宋体" w:cs="Times New Roman"/>
                      <w:b/>
                      <w:bCs w:val="0"/>
                      <w:color w:val="auto"/>
                      <w:sz w:val="21"/>
                      <w:szCs w:val="21"/>
                      <w:highlight w:val="none"/>
                      <w:lang w:val="en-US" w:eastAsia="zh-CN"/>
                    </w:rPr>
                    <w:t>t/a</w:t>
                  </w:r>
                  <w:r>
                    <w:rPr>
                      <w:rFonts w:hint="eastAsia" w:ascii="Times New Roman" w:hAnsi="Times New Roman" w:eastAsia="宋体" w:cs="Times New Roman"/>
                      <w:b/>
                      <w:bCs w:val="0"/>
                      <w:color w:val="auto"/>
                      <w:sz w:val="21"/>
                      <w:szCs w:val="21"/>
                      <w:highlight w:val="none"/>
                      <w:lang w:val="en-US" w:eastAsia="zh-CN"/>
                    </w:rPr>
                    <w:t>）</w:t>
                  </w:r>
                </w:p>
              </w:tc>
              <w:tc>
                <w:tcPr>
                  <w:tcW w:w="782" w:type="dxa"/>
                  <w:tcBorders>
                    <w:tl2br w:val="nil"/>
                    <w:tr2bl w:val="nil"/>
                  </w:tcBorders>
                  <w:noWrap w:val="0"/>
                  <w:vAlign w:val="center"/>
                </w:tcPr>
                <w:p w14:paraId="6E7ECC38">
                  <w:pPr>
                    <w:adjustRightInd w:val="0"/>
                    <w:snapToGrid w:val="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val="en-US" w:eastAsia="zh-CN"/>
                    </w:rPr>
                    <w:t>排放浓度</w:t>
                  </w:r>
                  <w:r>
                    <w:rPr>
                      <w:rFonts w:hint="eastAsia" w:ascii="Times New Roman" w:hAnsi="Times New Roman" w:eastAsia="宋体" w:cs="Times New Roman"/>
                      <w:b/>
                      <w:bCs w:val="0"/>
                      <w:color w:val="auto"/>
                      <w:sz w:val="21"/>
                      <w:szCs w:val="21"/>
                      <w:highlight w:val="none"/>
                      <w:lang w:val="en-US" w:eastAsia="zh-CN"/>
                    </w:rPr>
                    <w:t>（</w:t>
                  </w:r>
                  <w:r>
                    <w:rPr>
                      <w:rFonts w:hint="default" w:ascii="Times New Roman" w:hAnsi="Times New Roman" w:eastAsia="宋体" w:cs="Times New Roman"/>
                      <w:b/>
                      <w:bCs w:val="0"/>
                      <w:color w:val="auto"/>
                      <w:sz w:val="21"/>
                      <w:szCs w:val="21"/>
                      <w:highlight w:val="none"/>
                      <w:lang w:val="en-US" w:eastAsia="zh-CN"/>
                    </w:rPr>
                    <w:t>mg/m</w:t>
                  </w:r>
                  <w:r>
                    <w:rPr>
                      <w:rFonts w:hint="default" w:ascii="Times New Roman" w:hAnsi="Times New Roman" w:eastAsia="宋体" w:cs="Times New Roman"/>
                      <w:b/>
                      <w:bCs w:val="0"/>
                      <w:color w:val="auto"/>
                      <w:sz w:val="21"/>
                      <w:szCs w:val="21"/>
                      <w:highlight w:val="none"/>
                      <w:vertAlign w:val="superscript"/>
                      <w:lang w:val="en-US" w:eastAsia="zh-CN"/>
                    </w:rPr>
                    <w:t>3</w:t>
                  </w:r>
                  <w:r>
                    <w:rPr>
                      <w:rFonts w:hint="eastAsia" w:ascii="Times New Roman" w:hAnsi="Times New Roman" w:eastAsia="宋体" w:cs="Times New Roman"/>
                      <w:b/>
                      <w:bCs w:val="0"/>
                      <w:color w:val="auto"/>
                      <w:sz w:val="21"/>
                      <w:szCs w:val="21"/>
                      <w:highlight w:val="none"/>
                      <w:lang w:val="en-US" w:eastAsia="zh-CN"/>
                    </w:rPr>
                    <w:t>）</w:t>
                  </w:r>
                </w:p>
              </w:tc>
              <w:tc>
                <w:tcPr>
                  <w:tcW w:w="683" w:type="dxa"/>
                  <w:tcBorders>
                    <w:tl2br w:val="nil"/>
                    <w:tr2bl w:val="nil"/>
                  </w:tcBorders>
                  <w:noWrap w:val="0"/>
                  <w:vAlign w:val="center"/>
                </w:tcPr>
                <w:p w14:paraId="40DBC90A">
                  <w:pPr>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排放</w:t>
                  </w:r>
                </w:p>
                <w:p w14:paraId="0A6CDF39">
                  <w:pPr>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速率</w:t>
                  </w:r>
                  <w:r>
                    <w:rPr>
                      <w:rFonts w:hint="eastAsia" w:ascii="Times New Roman" w:hAnsi="Times New Roman" w:eastAsia="宋体" w:cs="Times New Roman"/>
                      <w:b/>
                      <w:bCs w:val="0"/>
                      <w:color w:val="auto"/>
                      <w:sz w:val="21"/>
                      <w:szCs w:val="21"/>
                      <w:highlight w:val="none"/>
                      <w:lang w:val="en-US" w:eastAsia="zh-CN"/>
                    </w:rPr>
                    <w:t>（</w:t>
                  </w:r>
                  <w:r>
                    <w:rPr>
                      <w:rFonts w:hint="default" w:ascii="Times New Roman" w:hAnsi="Times New Roman" w:eastAsia="宋体" w:cs="Times New Roman"/>
                      <w:b/>
                      <w:bCs w:val="0"/>
                      <w:color w:val="auto"/>
                      <w:sz w:val="21"/>
                      <w:szCs w:val="21"/>
                      <w:highlight w:val="none"/>
                      <w:lang w:val="en-US" w:eastAsia="zh-CN"/>
                    </w:rPr>
                    <w:t>kg/h</w:t>
                  </w:r>
                  <w:r>
                    <w:rPr>
                      <w:rFonts w:hint="eastAsia" w:ascii="Times New Roman" w:hAnsi="Times New Roman" w:eastAsia="宋体" w:cs="Times New Roman"/>
                      <w:b/>
                      <w:bCs w:val="0"/>
                      <w:color w:val="auto"/>
                      <w:sz w:val="21"/>
                      <w:szCs w:val="21"/>
                      <w:highlight w:val="none"/>
                      <w:lang w:val="en-US" w:eastAsia="zh-CN"/>
                    </w:rPr>
                    <w:t>）</w:t>
                  </w:r>
                </w:p>
              </w:tc>
              <w:tc>
                <w:tcPr>
                  <w:tcW w:w="643" w:type="dxa"/>
                  <w:tcBorders>
                    <w:tl2br w:val="nil"/>
                    <w:tr2bl w:val="nil"/>
                  </w:tcBorders>
                  <w:noWrap w:val="0"/>
                  <w:vAlign w:val="center"/>
                </w:tcPr>
                <w:p w14:paraId="0E9843B4">
                  <w:pPr>
                    <w:adjustRightInd w:val="0"/>
                    <w:snapToGrid w:val="0"/>
                    <w:jc w:val="center"/>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排放</w:t>
                  </w:r>
                </w:p>
                <w:p w14:paraId="583E12D0">
                  <w:pPr>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形式</w:t>
                  </w:r>
                </w:p>
              </w:tc>
            </w:tr>
            <w:tr w14:paraId="7788B7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0" w:type="dxa"/>
                  <w:tcBorders>
                    <w:tl2br w:val="nil"/>
                    <w:tr2bl w:val="nil"/>
                  </w:tcBorders>
                  <w:noWrap w:val="0"/>
                  <w:vAlign w:val="center"/>
                </w:tcPr>
                <w:p w14:paraId="5EAA4A78">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筛分</w:t>
                  </w:r>
                </w:p>
              </w:tc>
              <w:tc>
                <w:tcPr>
                  <w:tcW w:w="707" w:type="dxa"/>
                  <w:tcBorders>
                    <w:tl2br w:val="nil"/>
                    <w:tr2bl w:val="nil"/>
                  </w:tcBorders>
                  <w:noWrap w:val="0"/>
                  <w:vAlign w:val="center"/>
                </w:tcPr>
                <w:p w14:paraId="397B16D5">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颗粒物</w:t>
                  </w:r>
                </w:p>
              </w:tc>
              <w:tc>
                <w:tcPr>
                  <w:tcW w:w="675" w:type="dxa"/>
                  <w:tcBorders>
                    <w:tl2br w:val="nil"/>
                    <w:tr2bl w:val="nil"/>
                  </w:tcBorders>
                  <w:noWrap w:val="0"/>
                  <w:vAlign w:val="center"/>
                </w:tcPr>
                <w:p w14:paraId="27DCF54B">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184.275</w:t>
                  </w:r>
                </w:p>
              </w:tc>
              <w:tc>
                <w:tcPr>
                  <w:tcW w:w="712" w:type="dxa"/>
                  <w:tcBorders>
                    <w:tl2br w:val="nil"/>
                    <w:tr2bl w:val="nil"/>
                  </w:tcBorders>
                  <w:noWrap w:val="0"/>
                  <w:vAlign w:val="center"/>
                </w:tcPr>
                <w:p w14:paraId="746A8D35">
                  <w:pPr>
                    <w:adjustRightInd w:val="0"/>
                    <w:snapToGrid w:val="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115.172</w:t>
                  </w:r>
                </w:p>
              </w:tc>
              <w:tc>
                <w:tcPr>
                  <w:tcW w:w="712" w:type="dxa"/>
                  <w:tcBorders>
                    <w:tl2br w:val="nil"/>
                    <w:tr2bl w:val="nil"/>
                  </w:tcBorders>
                  <w:noWrap w:val="0"/>
                  <w:vAlign w:val="center"/>
                </w:tcPr>
                <w:p w14:paraId="4B3FD728">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7678.13</w:t>
                  </w:r>
                </w:p>
              </w:tc>
              <w:tc>
                <w:tcPr>
                  <w:tcW w:w="962" w:type="dxa"/>
                  <w:tcBorders>
                    <w:tl2br w:val="nil"/>
                    <w:tr2bl w:val="nil"/>
                  </w:tcBorders>
                  <w:noWrap w:val="0"/>
                  <w:vAlign w:val="center"/>
                </w:tcPr>
                <w:p w14:paraId="5929D933">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布袋除尘器</w:t>
                  </w:r>
                </w:p>
              </w:tc>
              <w:tc>
                <w:tcPr>
                  <w:tcW w:w="675" w:type="dxa"/>
                  <w:tcBorders>
                    <w:tl2br w:val="nil"/>
                    <w:tr2bl w:val="nil"/>
                  </w:tcBorders>
                  <w:noWrap w:val="0"/>
                  <w:vAlign w:val="center"/>
                </w:tcPr>
                <w:p w14:paraId="62E35497">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是</w:t>
                  </w:r>
                </w:p>
              </w:tc>
              <w:tc>
                <w:tcPr>
                  <w:tcW w:w="863" w:type="dxa"/>
                  <w:tcBorders>
                    <w:tl2br w:val="nil"/>
                    <w:tr2bl w:val="nil"/>
                  </w:tcBorders>
                  <w:noWrap w:val="0"/>
                  <w:vAlign w:val="center"/>
                </w:tcPr>
                <w:p w14:paraId="32C0AA49">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0.184</w:t>
                  </w:r>
                </w:p>
              </w:tc>
              <w:tc>
                <w:tcPr>
                  <w:tcW w:w="782" w:type="dxa"/>
                  <w:tcBorders>
                    <w:tl2br w:val="nil"/>
                    <w:tr2bl w:val="nil"/>
                  </w:tcBorders>
                  <w:noWrap w:val="0"/>
                  <w:vAlign w:val="center"/>
                </w:tcPr>
                <w:p w14:paraId="7699E39A">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
                      <w:bCs w:val="0"/>
                      <w:color w:val="auto"/>
                      <w:sz w:val="21"/>
                      <w:szCs w:val="21"/>
                      <w:highlight w:val="none"/>
                      <w:lang w:val="en-US" w:eastAsia="zh-CN"/>
                    </w:rPr>
                    <w:t>7.67</w:t>
                  </w:r>
                </w:p>
              </w:tc>
              <w:tc>
                <w:tcPr>
                  <w:tcW w:w="683" w:type="dxa"/>
                  <w:tcBorders>
                    <w:tl2br w:val="nil"/>
                    <w:tr2bl w:val="nil"/>
                  </w:tcBorders>
                  <w:noWrap w:val="0"/>
                  <w:vAlign w:val="center"/>
                </w:tcPr>
                <w:p w14:paraId="3D30A3D0">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0.115</w:t>
                  </w:r>
                </w:p>
              </w:tc>
              <w:tc>
                <w:tcPr>
                  <w:tcW w:w="643" w:type="dxa"/>
                  <w:tcBorders>
                    <w:tl2br w:val="nil"/>
                    <w:tr2bl w:val="nil"/>
                  </w:tcBorders>
                  <w:noWrap w:val="0"/>
                  <w:vAlign w:val="center"/>
                </w:tcPr>
                <w:p w14:paraId="1BB4AB6F">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有组织</w:t>
                  </w:r>
                </w:p>
              </w:tc>
            </w:tr>
          </w:tbl>
          <w:p w14:paraId="0A686D55">
            <w:pPr>
              <w:pStyle w:val="35"/>
              <w:wordWrap w:val="0"/>
              <w:ind w:firstLine="482"/>
              <w:rPr>
                <w:rFonts w:hint="default"/>
                <w:color w:val="auto"/>
                <w:kern w:val="0"/>
                <w:sz w:val="24"/>
                <w:highlight w:val="none"/>
                <w:lang w:val="en-US" w:eastAsia="zh-CN" w:bidi="en-US"/>
              </w:rPr>
            </w:pPr>
            <w:r>
              <w:rPr>
                <w:rFonts w:hint="eastAsia"/>
                <w:color w:val="auto"/>
                <w:sz w:val="24"/>
                <w:highlight w:val="none"/>
                <w:lang w:val="en-US" w:eastAsia="zh-CN"/>
              </w:rPr>
              <w:t>由表4-4</w:t>
            </w:r>
            <w:r>
              <w:rPr>
                <w:rFonts w:hint="default"/>
                <w:color w:val="auto"/>
                <w:sz w:val="24"/>
                <w:highlight w:val="none"/>
              </w:rPr>
              <w:t>计算</w:t>
            </w:r>
            <w:r>
              <w:rPr>
                <w:rFonts w:hint="eastAsia"/>
                <w:color w:val="auto"/>
                <w:sz w:val="24"/>
                <w:highlight w:val="none"/>
                <w:lang w:val="en-US" w:eastAsia="zh-CN"/>
              </w:rPr>
              <w:t>结果可知</w:t>
            </w:r>
            <w:r>
              <w:rPr>
                <w:rFonts w:hint="default"/>
                <w:color w:val="auto"/>
                <w:sz w:val="24"/>
                <w:highlight w:val="none"/>
              </w:rPr>
              <w:t>，</w:t>
            </w:r>
            <w:r>
              <w:rPr>
                <w:rFonts w:hint="eastAsia"/>
                <w:color w:val="auto"/>
                <w:sz w:val="24"/>
                <w:highlight w:val="none"/>
                <w:lang w:val="en-US" w:eastAsia="zh-CN"/>
              </w:rPr>
              <w:t>本项目机制砂筛分工序颗粒物</w:t>
            </w:r>
            <w:r>
              <w:rPr>
                <w:rFonts w:hint="eastAsia" w:ascii="Times New Roman" w:hAnsi="Times New Roman"/>
                <w:color w:val="auto"/>
                <w:sz w:val="24"/>
                <w:highlight w:val="none"/>
              </w:rPr>
              <w:t>有组织排放量为</w:t>
            </w:r>
            <w:r>
              <w:rPr>
                <w:rFonts w:hint="eastAsia"/>
                <w:color w:val="auto"/>
                <w:sz w:val="24"/>
                <w:highlight w:val="none"/>
                <w:lang w:val="en-US" w:eastAsia="zh-CN"/>
              </w:rPr>
              <w:t>0.184</w:t>
            </w:r>
            <w:r>
              <w:rPr>
                <w:rFonts w:hint="eastAsia" w:ascii="Times New Roman" w:hAnsi="Times New Roman"/>
                <w:color w:val="auto"/>
                <w:sz w:val="24"/>
                <w:highlight w:val="none"/>
                <w:lang w:val="en-US" w:eastAsia="zh-CN"/>
              </w:rPr>
              <w:t>t</w:t>
            </w:r>
            <w:r>
              <w:rPr>
                <w:rFonts w:hint="eastAsia" w:ascii="Times New Roman" w:hAnsi="Times New Roman"/>
                <w:color w:val="auto"/>
                <w:sz w:val="24"/>
                <w:highlight w:val="none"/>
              </w:rPr>
              <w:t>/a，排放速率</w:t>
            </w:r>
            <w:r>
              <w:rPr>
                <w:rFonts w:hint="eastAsia"/>
                <w:color w:val="auto"/>
                <w:sz w:val="24"/>
                <w:highlight w:val="none"/>
                <w:lang w:val="en-US" w:eastAsia="zh-CN"/>
              </w:rPr>
              <w:t>0.115</w:t>
            </w:r>
            <w:r>
              <w:rPr>
                <w:rFonts w:hint="eastAsia" w:ascii="Times New Roman" w:hAnsi="Times New Roman"/>
                <w:color w:val="auto"/>
                <w:sz w:val="24"/>
                <w:highlight w:val="none"/>
              </w:rPr>
              <w:t>kg/h，排放浓度为</w:t>
            </w:r>
            <w:r>
              <w:rPr>
                <w:rFonts w:hint="eastAsia"/>
                <w:color w:val="auto"/>
                <w:sz w:val="24"/>
                <w:highlight w:val="none"/>
                <w:lang w:val="en-US" w:eastAsia="zh-CN"/>
              </w:rPr>
              <w:t>7.67</w:t>
            </w:r>
            <w:r>
              <w:rPr>
                <w:rFonts w:hint="eastAsia" w:ascii="Times New Roman" w:hAnsi="Times New Roman"/>
                <w:color w:val="auto"/>
                <w:sz w:val="24"/>
                <w:highlight w:val="none"/>
              </w:rPr>
              <w:t>mg/</w:t>
            </w:r>
            <w:r>
              <w:rPr>
                <w:rFonts w:hint="eastAsia" w:ascii="Times New Roman" w:hAnsi="Times New Roman"/>
                <w:snapToGrid w:val="0"/>
                <w:color w:val="auto"/>
                <w:kern w:val="0"/>
                <w:sz w:val="24"/>
                <w:highlight w:val="none"/>
                <w:shd w:val="clear" w:color="auto" w:fill="FFFFFF"/>
              </w:rPr>
              <w:t>m</w:t>
            </w:r>
            <w:r>
              <w:rPr>
                <w:rFonts w:hint="eastAsia" w:ascii="Times New Roman" w:hAnsi="Times New Roman"/>
                <w:snapToGrid w:val="0"/>
                <w:color w:val="auto"/>
                <w:kern w:val="0"/>
                <w:sz w:val="24"/>
                <w:highlight w:val="none"/>
                <w:shd w:val="clear" w:color="auto" w:fill="FFFFFF"/>
                <w:vertAlign w:val="superscript"/>
                <w:lang w:val="en-US" w:eastAsia="zh-CN"/>
              </w:rPr>
              <w:t>3</w:t>
            </w:r>
            <w:r>
              <w:rPr>
                <w:rFonts w:hint="eastAsia" w:ascii="Times New Roman" w:hAnsi="Times New Roman"/>
                <w:snapToGrid w:val="0"/>
                <w:color w:val="auto"/>
                <w:kern w:val="0"/>
                <w:sz w:val="24"/>
                <w:highlight w:val="none"/>
                <w:shd w:val="clear" w:color="auto" w:fill="FFFFFF"/>
                <w:vertAlign w:val="baseline"/>
                <w:lang w:val="en-US" w:eastAsia="zh-CN"/>
              </w:rPr>
              <w:t>。</w:t>
            </w:r>
            <w:bookmarkEnd w:id="36"/>
          </w:p>
          <w:p w14:paraId="6D7CE99D">
            <w:pPr>
              <w:pStyle w:val="35"/>
              <w:keepNext w:val="0"/>
              <w:keepLines w:val="0"/>
              <w:pageBreakBefore w:val="0"/>
              <w:widowControl w:val="0"/>
              <w:kinsoku/>
              <w:wordWrap w:val="0"/>
              <w:overflowPunct/>
              <w:topLinePunct w:val="0"/>
              <w:autoSpaceDE/>
              <w:autoSpaceDN/>
              <w:bidi w:val="0"/>
              <w:adjustRightInd/>
              <w:ind w:left="0" w:firstLine="482"/>
              <w:textAlignment w:val="auto"/>
              <w:rPr>
                <w:rFonts w:hint="default" w:ascii="Times New Roman" w:hAnsi="Times New Roman" w:eastAsia="宋体" w:cs="Times New Roman"/>
                <w:b w:val="0"/>
                <w:bCs/>
                <w:color w:val="auto"/>
                <w:highlight w:val="none"/>
                <w:lang w:val="en-US" w:eastAsia="zh-CN"/>
              </w:rPr>
            </w:pPr>
            <w:r>
              <w:rPr>
                <w:rFonts w:hint="eastAsia" w:cs="Times New Roman"/>
                <w:b w:val="0"/>
                <w:bCs/>
                <w:color w:val="auto"/>
                <w:highlight w:val="none"/>
                <w:lang w:val="en-US" w:eastAsia="zh-CN"/>
              </w:rPr>
              <w:t>（2）机制砂输送粉尘</w:t>
            </w:r>
          </w:p>
          <w:p w14:paraId="0CB89F96">
            <w:pPr>
              <w:pStyle w:val="35"/>
              <w:keepNext w:val="0"/>
              <w:keepLines w:val="0"/>
              <w:pageBreakBefore w:val="0"/>
              <w:widowControl w:val="0"/>
              <w:kinsoku/>
              <w:wordWrap w:val="0"/>
              <w:overflowPunct/>
              <w:topLinePunct w:val="0"/>
              <w:autoSpaceDE/>
              <w:autoSpaceDN/>
              <w:bidi w:val="0"/>
              <w:adjustRightInd/>
              <w:ind w:left="0" w:firstLine="482"/>
              <w:textAlignment w:val="auto"/>
              <w:rPr>
                <w:rFonts w:hint="eastAsia" w:hAnsi="宋体"/>
                <w:color w:val="auto"/>
                <w:kern w:val="0"/>
                <w:sz w:val="24"/>
                <w:szCs w:val="24"/>
                <w:highlight w:val="none"/>
                <w:lang w:val="en-US" w:eastAsia="zh-CN"/>
              </w:rPr>
            </w:pPr>
            <w:r>
              <w:rPr>
                <w:rFonts w:hint="default" w:ascii="Times New Roman" w:hAnsi="Times New Roman" w:eastAsia="宋体" w:cs="Times New Roman"/>
                <w:b w:val="0"/>
                <w:bCs/>
                <w:color w:val="auto"/>
                <w:highlight w:val="none"/>
                <w:lang w:val="en-US" w:eastAsia="zh-CN"/>
              </w:rPr>
              <w:t>机制砂采用拉链转运机及提升机向筒仓喂料过程中</w:t>
            </w:r>
            <w:r>
              <w:rPr>
                <w:rFonts w:hint="eastAsia" w:cs="Times New Roman"/>
                <w:b w:val="0"/>
                <w:bCs/>
                <w:color w:val="auto"/>
                <w:highlight w:val="none"/>
                <w:lang w:val="en-US" w:eastAsia="zh-CN"/>
              </w:rPr>
              <w:t>会产生粉尘</w:t>
            </w:r>
            <w:r>
              <w:rPr>
                <w:rFonts w:hint="default" w:ascii="Times New Roman" w:hAnsi="Times New Roman" w:eastAsia="宋体" w:cs="Times New Roman"/>
                <w:b w:val="0"/>
                <w:bCs/>
                <w:color w:val="auto"/>
                <w:highlight w:val="none"/>
                <w:lang w:val="en-US" w:eastAsia="zh-CN"/>
              </w:rPr>
              <w:t>，粉尘产污系数</w:t>
            </w:r>
            <w:r>
              <w:rPr>
                <w:rFonts w:hint="default" w:ascii="Times New Roman" w:hAnsi="Times New Roman" w:eastAsia="宋体" w:cs="Times New Roman"/>
                <w:color w:val="auto"/>
                <w:sz w:val="24"/>
                <w:szCs w:val="24"/>
                <w:highlight w:val="none"/>
                <w:lang w:val="en-US" w:eastAsia="zh-CN"/>
              </w:rPr>
              <w:t>《排放源统计调查产排污核算方法和系数手册》C3021水泥制品制造中“</w:t>
            </w:r>
            <w:r>
              <w:rPr>
                <w:rFonts w:hint="eastAsia" w:eastAsia="宋体" w:cs="Times New Roman"/>
                <w:color w:val="auto"/>
                <w:sz w:val="24"/>
                <w:szCs w:val="24"/>
                <w:highlight w:val="none"/>
                <w:lang w:val="en-US" w:eastAsia="zh-CN"/>
              </w:rPr>
              <w:t>物料输送储存</w:t>
            </w:r>
            <w:r>
              <w:rPr>
                <w:rFonts w:hint="default" w:ascii="Times New Roman" w:hAnsi="Times New Roman" w:eastAsia="宋体" w:cs="Times New Roman"/>
                <w:color w:val="auto"/>
                <w:sz w:val="24"/>
                <w:szCs w:val="24"/>
                <w:highlight w:val="none"/>
                <w:lang w:val="en-US" w:eastAsia="zh-CN"/>
              </w:rPr>
              <w:t>”排放系数</w:t>
            </w:r>
            <w:r>
              <w:rPr>
                <w:rFonts w:hint="eastAsia"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颗粒物产生系数约为</w:t>
            </w:r>
            <w:r>
              <w:rPr>
                <w:rFonts w:hint="eastAsia" w:eastAsia="宋体" w:cs="Times New Roman"/>
                <w:color w:val="auto"/>
                <w:sz w:val="24"/>
                <w:szCs w:val="24"/>
                <w:highlight w:val="none"/>
                <w:lang w:val="en-US" w:eastAsia="zh-CN"/>
              </w:rPr>
              <w:t>0.19</w:t>
            </w:r>
            <w:r>
              <w:rPr>
                <w:rFonts w:hint="default" w:ascii="Times New Roman" w:hAnsi="Times New Roman" w:eastAsia="宋体" w:cs="Times New Roman"/>
                <w:color w:val="auto"/>
                <w:sz w:val="24"/>
                <w:szCs w:val="24"/>
                <w:highlight w:val="none"/>
                <w:lang w:val="en-US" w:eastAsia="zh-CN"/>
              </w:rPr>
              <w:t>kg/t-产品</w:t>
            </w:r>
            <w:r>
              <w:rPr>
                <w:rFonts w:hint="eastAsia" w:cs="Times New Roman"/>
                <w:b w:val="0"/>
                <w:bCs/>
                <w:color w:val="auto"/>
                <w:highlight w:val="none"/>
                <w:lang w:val="en-US" w:eastAsia="zh-CN"/>
              </w:rPr>
              <w:t>，本项目机制砂运输量19.5万t/a，运输粉尘产生量37.05t/a，本项目输送</w:t>
            </w:r>
            <w:r>
              <w:rPr>
                <w:rFonts w:hint="default" w:ascii="Times New Roman" w:hAnsi="Times New Roman" w:eastAsia="宋体" w:cs="Times New Roman"/>
                <w:b w:val="0"/>
                <w:bCs/>
                <w:color w:val="auto"/>
                <w:highlight w:val="none"/>
                <w:lang w:val="en-US" w:eastAsia="zh-CN"/>
              </w:rPr>
              <w:t>拉链转运机及提升机</w:t>
            </w:r>
            <w:r>
              <w:rPr>
                <w:rFonts w:hint="eastAsia" w:cs="Times New Roman"/>
                <w:b w:val="0"/>
                <w:bCs/>
                <w:color w:val="auto"/>
                <w:highlight w:val="none"/>
                <w:lang w:val="en-US" w:eastAsia="zh-CN"/>
              </w:rPr>
              <w:t>全密闭，在喂料口设置收尘装置，</w:t>
            </w:r>
            <w:r>
              <w:rPr>
                <w:rFonts w:hint="default" w:ascii="Times New Roman" w:hAnsi="Times New Roman" w:eastAsia="宋体" w:cs="Times New Roman"/>
                <w:b w:val="0"/>
                <w:bCs/>
                <w:color w:val="auto"/>
                <w:sz w:val="24"/>
                <w:szCs w:val="24"/>
                <w:highlight w:val="none"/>
                <w:lang w:val="en-US" w:eastAsia="zh-CN"/>
              </w:rPr>
              <w:t>粉尘经设备排气口连接管道收集后经1套</w:t>
            </w:r>
            <w:r>
              <w:rPr>
                <w:rFonts w:hint="eastAsia" w:cs="Times New Roman"/>
                <w:b w:val="0"/>
                <w:bCs/>
                <w:color w:val="auto"/>
                <w:sz w:val="24"/>
                <w:szCs w:val="24"/>
                <w:highlight w:val="none"/>
                <w:lang w:val="en-US" w:eastAsia="zh-CN"/>
              </w:rPr>
              <w:t>脉冲式布袋除尘器</w:t>
            </w:r>
            <w:r>
              <w:rPr>
                <w:rFonts w:hint="eastAsia" w:ascii="Times New Roman" w:hAnsi="Times New Roman" w:eastAsia="宋体" w:cs="Times New Roman"/>
                <w:color w:val="auto"/>
                <w:sz w:val="24"/>
                <w:szCs w:val="24"/>
                <w:highlight w:val="none"/>
                <w:lang w:val="en-US" w:eastAsia="zh-CN"/>
              </w:rPr>
              <w:t>（处理效率按</w:t>
            </w:r>
            <w:r>
              <w:rPr>
                <w:rFonts w:hint="eastAsia" w:cs="Times New Roman"/>
                <w:color w:val="auto"/>
                <w:sz w:val="24"/>
                <w:szCs w:val="24"/>
                <w:highlight w:val="none"/>
                <w:lang w:val="en-US" w:eastAsia="zh-CN"/>
              </w:rPr>
              <w:t>99.9</w:t>
            </w:r>
            <w:r>
              <w:rPr>
                <w:rFonts w:hint="eastAsia" w:ascii="Times New Roman" w:hAnsi="Times New Roman" w:eastAsia="宋体" w:cs="Times New Roman"/>
                <w:color w:val="auto"/>
                <w:sz w:val="24"/>
                <w:szCs w:val="24"/>
                <w:highlight w:val="none"/>
                <w:lang w:val="en-US" w:eastAsia="zh-CN"/>
              </w:rPr>
              <w:t>%计）</w:t>
            </w:r>
            <w:r>
              <w:rPr>
                <w:rFonts w:hint="default" w:ascii="Times New Roman" w:hAnsi="Times New Roman" w:eastAsia="宋体" w:cs="Times New Roman"/>
                <w:b w:val="0"/>
                <w:bCs/>
                <w:color w:val="auto"/>
                <w:sz w:val="24"/>
                <w:szCs w:val="24"/>
                <w:highlight w:val="none"/>
                <w:lang w:val="en-US" w:eastAsia="zh-CN"/>
              </w:rPr>
              <w:t>处理后通过15m排气筒排放</w:t>
            </w:r>
            <w:r>
              <w:rPr>
                <w:rFonts w:hint="eastAsia" w:cs="Times New Roman"/>
                <w:b w:val="0"/>
                <w:bCs/>
                <w:color w:val="auto"/>
                <w:sz w:val="24"/>
                <w:szCs w:val="24"/>
                <w:highlight w:val="none"/>
                <w:lang w:val="en-US" w:eastAsia="zh-CN"/>
              </w:rPr>
              <w:t>（DA108）</w:t>
            </w:r>
            <w:r>
              <w:rPr>
                <w:rFonts w:hint="default" w:ascii="Times New Roman" w:hAnsi="Times New Roman" w:eastAsia="宋体" w:cs="Times New Roman"/>
                <w:b w:val="0"/>
                <w:bCs/>
                <w:color w:val="auto"/>
                <w:sz w:val="24"/>
                <w:szCs w:val="24"/>
                <w:highlight w:val="none"/>
                <w:lang w:val="en-US" w:eastAsia="zh-CN"/>
              </w:rPr>
              <w:t>，废气收集效率可达到100%</w:t>
            </w:r>
            <w:r>
              <w:rPr>
                <w:rFonts w:hint="eastAsia"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根据建设单位提供废气治理设施设计参数，</w:t>
            </w:r>
            <w:r>
              <w:rPr>
                <w:rFonts w:hint="eastAsia" w:cs="Times New Roman"/>
                <w:b w:val="0"/>
                <w:bCs/>
                <w:color w:val="auto"/>
                <w:sz w:val="24"/>
                <w:szCs w:val="24"/>
                <w:highlight w:val="none"/>
                <w:lang w:val="en-US" w:eastAsia="zh-CN"/>
              </w:rPr>
              <w:t>输送</w:t>
            </w:r>
            <w:r>
              <w:rPr>
                <w:rFonts w:hint="default" w:ascii="Times New Roman" w:hAnsi="Times New Roman" w:eastAsia="宋体" w:cs="Times New Roman"/>
                <w:b w:val="0"/>
                <w:bCs/>
                <w:color w:val="auto"/>
                <w:sz w:val="24"/>
                <w:szCs w:val="24"/>
                <w:highlight w:val="none"/>
                <w:lang w:val="en-US" w:eastAsia="zh-CN"/>
              </w:rPr>
              <w:t>对应</w:t>
            </w:r>
            <w:r>
              <w:rPr>
                <w:rFonts w:hint="eastAsia" w:cs="Times New Roman"/>
                <w:b w:val="0"/>
                <w:bCs/>
                <w:color w:val="auto"/>
                <w:sz w:val="24"/>
                <w:szCs w:val="24"/>
                <w:highlight w:val="none"/>
                <w:lang w:val="en-US" w:eastAsia="zh-CN"/>
              </w:rPr>
              <w:t>脉冲式布袋除尘器</w:t>
            </w:r>
            <w:r>
              <w:rPr>
                <w:rFonts w:hint="default" w:ascii="Times New Roman" w:hAnsi="Times New Roman" w:eastAsia="宋体" w:cs="Times New Roman"/>
                <w:b w:val="0"/>
                <w:bCs/>
                <w:color w:val="auto"/>
                <w:sz w:val="24"/>
                <w:szCs w:val="24"/>
                <w:highlight w:val="none"/>
                <w:lang w:val="en-US" w:eastAsia="zh-CN"/>
              </w:rPr>
              <w:t>废气收集风量为</w:t>
            </w:r>
            <w:r>
              <w:rPr>
                <w:rFonts w:hint="eastAsia" w:cs="Times New Roman"/>
                <w:b w:val="0"/>
                <w:bCs/>
                <w:color w:val="auto"/>
                <w:sz w:val="24"/>
                <w:szCs w:val="24"/>
                <w:highlight w:val="none"/>
                <w:lang w:val="en-US" w:eastAsia="zh-CN"/>
              </w:rPr>
              <w:t>3000</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eastAsia" w:cs="Times New Roman"/>
                <w:b w:val="0"/>
                <w:bCs/>
                <w:color w:val="auto"/>
                <w:sz w:val="24"/>
                <w:szCs w:val="24"/>
                <w:highlight w:val="none"/>
                <w:lang w:val="en-US" w:eastAsia="zh-CN"/>
              </w:rPr>
              <w:t>/h，</w:t>
            </w:r>
            <w:r>
              <w:rPr>
                <w:rFonts w:hint="eastAsia" w:hAnsi="宋体"/>
                <w:color w:val="auto"/>
                <w:kern w:val="0"/>
                <w:sz w:val="24"/>
                <w:szCs w:val="24"/>
                <w:highlight w:val="none"/>
                <w:lang w:val="en-US" w:eastAsia="zh-CN"/>
              </w:rPr>
              <w:t>年运行时间为1600h</w:t>
            </w:r>
            <w:r>
              <w:rPr>
                <w:rFonts w:hint="eastAsia"/>
                <w:color w:val="auto"/>
                <w:highlight w:val="none"/>
                <w:lang w:eastAsia="zh-CN"/>
              </w:rPr>
              <w:t>，</w:t>
            </w:r>
            <w:r>
              <w:rPr>
                <w:rFonts w:hint="eastAsia" w:hAnsi="宋体"/>
                <w:color w:val="auto"/>
                <w:kern w:val="0"/>
                <w:sz w:val="24"/>
                <w:szCs w:val="24"/>
                <w:highlight w:val="none"/>
                <w:lang w:val="en-US" w:eastAsia="zh-CN"/>
              </w:rPr>
              <w:t>则</w:t>
            </w:r>
            <w:r>
              <w:rPr>
                <w:rFonts w:hint="eastAsia" w:cs="Times New Roman"/>
                <w:b w:val="0"/>
                <w:bCs/>
                <w:color w:val="auto"/>
                <w:highlight w:val="none"/>
                <w:lang w:val="en-US" w:eastAsia="zh-CN"/>
              </w:rPr>
              <w:t>机制砂运输</w:t>
            </w:r>
            <w:r>
              <w:rPr>
                <w:rFonts w:hint="eastAsia" w:hAnsi="宋体"/>
                <w:color w:val="auto"/>
                <w:kern w:val="0"/>
                <w:sz w:val="24"/>
                <w:szCs w:val="24"/>
                <w:highlight w:val="none"/>
                <w:lang w:val="en-US" w:eastAsia="zh-CN"/>
              </w:rPr>
              <w:t>工序废气污染物产生与排放情况见下表4-5。</w:t>
            </w:r>
          </w:p>
          <w:p w14:paraId="2A49E5E5">
            <w:pPr>
              <w:numPr>
                <w:ilvl w:val="0"/>
                <w:numId w:val="0"/>
              </w:numPr>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4-5</w:t>
            </w:r>
            <w:r>
              <w:rPr>
                <w:rFonts w:hint="default" w:ascii="Times New Roman" w:hAnsi="Times New Roman" w:eastAsia="宋体" w:cs="Times New Roman"/>
                <w:b/>
                <w:bCs/>
                <w:color w:val="auto"/>
                <w:sz w:val="21"/>
                <w:szCs w:val="21"/>
                <w:highlight w:val="none"/>
                <w:lang w:val="en-US" w:eastAsia="zh-CN"/>
              </w:rPr>
              <w:t xml:space="preserve"> </w:t>
            </w:r>
            <w:r>
              <w:rPr>
                <w:rFonts w:hint="eastAsia" w:cs="Times New Roman"/>
                <w:b/>
                <w:bCs/>
                <w:color w:val="auto"/>
                <w:sz w:val="21"/>
                <w:szCs w:val="21"/>
                <w:highlight w:val="none"/>
                <w:lang w:val="en-US" w:eastAsia="zh-CN"/>
              </w:rPr>
              <w:t>机制砂输送</w:t>
            </w:r>
            <w:r>
              <w:rPr>
                <w:rFonts w:hint="eastAsia" w:ascii="Times New Roman" w:hAnsi="Times New Roman" w:eastAsia="宋体" w:cs="Times New Roman"/>
                <w:b/>
                <w:bCs/>
                <w:color w:val="auto"/>
                <w:sz w:val="21"/>
                <w:szCs w:val="21"/>
                <w:highlight w:val="none"/>
                <w:lang w:val="en-US" w:eastAsia="zh-CN"/>
              </w:rPr>
              <w:t>工序废气污染物产生与排放情况</w:t>
            </w:r>
          </w:p>
          <w:tbl>
            <w:tblPr>
              <w:tblStyle w:val="20"/>
              <w:tblW w:w="80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0"/>
              <w:gridCol w:w="707"/>
              <w:gridCol w:w="675"/>
              <w:gridCol w:w="712"/>
              <w:gridCol w:w="712"/>
              <w:gridCol w:w="962"/>
              <w:gridCol w:w="675"/>
              <w:gridCol w:w="863"/>
              <w:gridCol w:w="782"/>
              <w:gridCol w:w="683"/>
              <w:gridCol w:w="643"/>
            </w:tblGrid>
            <w:tr w14:paraId="53F9C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660" w:type="dxa"/>
                  <w:tcBorders>
                    <w:tl2br w:val="nil"/>
                    <w:tr2bl w:val="nil"/>
                  </w:tcBorders>
                  <w:noWrap w:val="0"/>
                  <w:vAlign w:val="center"/>
                </w:tcPr>
                <w:p w14:paraId="30CA4EB1">
                  <w:pPr>
                    <w:adjustRightInd w:val="0"/>
                    <w:snapToGrid w:val="0"/>
                    <w:jc w:val="center"/>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产污</w:t>
                  </w:r>
                </w:p>
                <w:p w14:paraId="493E9D14">
                  <w:pPr>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环节</w:t>
                  </w:r>
                </w:p>
              </w:tc>
              <w:tc>
                <w:tcPr>
                  <w:tcW w:w="707" w:type="dxa"/>
                  <w:tcBorders>
                    <w:tl2br w:val="nil"/>
                    <w:tr2bl w:val="nil"/>
                  </w:tcBorders>
                  <w:noWrap w:val="0"/>
                  <w:vAlign w:val="center"/>
                </w:tcPr>
                <w:p w14:paraId="75894A90">
                  <w:pPr>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污染物种类</w:t>
                  </w:r>
                </w:p>
              </w:tc>
              <w:tc>
                <w:tcPr>
                  <w:tcW w:w="675" w:type="dxa"/>
                  <w:tcBorders>
                    <w:tl2br w:val="nil"/>
                    <w:tr2bl w:val="nil"/>
                  </w:tcBorders>
                  <w:noWrap w:val="0"/>
                  <w:vAlign w:val="center"/>
                </w:tcPr>
                <w:p w14:paraId="48F2978E">
                  <w:pPr>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产生量</w:t>
                  </w:r>
                  <w:r>
                    <w:rPr>
                      <w:rFonts w:hint="eastAsia" w:ascii="Times New Roman" w:hAnsi="Times New Roman" w:eastAsia="宋体" w:cs="Times New Roman"/>
                      <w:b/>
                      <w:bCs w:val="0"/>
                      <w:color w:val="auto"/>
                      <w:sz w:val="21"/>
                      <w:szCs w:val="21"/>
                      <w:highlight w:val="none"/>
                      <w:lang w:val="en-US" w:eastAsia="zh-CN"/>
                    </w:rPr>
                    <w:t>（</w:t>
                  </w:r>
                  <w:r>
                    <w:rPr>
                      <w:rFonts w:hint="default" w:ascii="Times New Roman" w:hAnsi="Times New Roman" w:eastAsia="宋体" w:cs="Times New Roman"/>
                      <w:b/>
                      <w:bCs w:val="0"/>
                      <w:color w:val="auto"/>
                      <w:sz w:val="21"/>
                      <w:szCs w:val="21"/>
                      <w:highlight w:val="none"/>
                      <w:lang w:val="en-US" w:eastAsia="zh-CN"/>
                    </w:rPr>
                    <w:t>t/a）</w:t>
                  </w:r>
                </w:p>
              </w:tc>
              <w:tc>
                <w:tcPr>
                  <w:tcW w:w="712" w:type="dxa"/>
                  <w:tcBorders>
                    <w:tl2br w:val="nil"/>
                    <w:tr2bl w:val="nil"/>
                  </w:tcBorders>
                  <w:noWrap w:val="0"/>
                  <w:vAlign w:val="center"/>
                </w:tcPr>
                <w:p w14:paraId="5EE96E5C">
                  <w:pPr>
                    <w:adjustRightInd w:val="0"/>
                    <w:snapToGrid w:val="0"/>
                    <w:jc w:val="center"/>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产生速率（kg/h）</w:t>
                  </w:r>
                </w:p>
              </w:tc>
              <w:tc>
                <w:tcPr>
                  <w:tcW w:w="712" w:type="dxa"/>
                  <w:tcBorders>
                    <w:tl2br w:val="nil"/>
                    <w:tr2bl w:val="nil"/>
                  </w:tcBorders>
                  <w:noWrap w:val="0"/>
                  <w:vAlign w:val="center"/>
                </w:tcPr>
                <w:p w14:paraId="79D216BF">
                  <w:pPr>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产生浓度</w:t>
                  </w:r>
                  <w:r>
                    <w:rPr>
                      <w:rFonts w:hint="eastAsia" w:cs="Times New Roman"/>
                      <w:b/>
                      <w:bCs w:val="0"/>
                      <w:color w:val="auto"/>
                      <w:sz w:val="21"/>
                      <w:szCs w:val="21"/>
                      <w:highlight w:val="none"/>
                      <w:lang w:val="en-US" w:eastAsia="zh-CN"/>
                    </w:rPr>
                    <w:t>（</w:t>
                  </w:r>
                  <w:r>
                    <w:rPr>
                      <w:rFonts w:hint="default" w:ascii="Times New Roman" w:hAnsi="Times New Roman" w:eastAsia="宋体" w:cs="Times New Roman"/>
                      <w:b/>
                      <w:bCs w:val="0"/>
                      <w:color w:val="auto"/>
                      <w:sz w:val="21"/>
                      <w:szCs w:val="21"/>
                      <w:highlight w:val="none"/>
                      <w:lang w:val="en-US" w:eastAsia="zh-CN"/>
                    </w:rPr>
                    <w:t>mg/m</w:t>
                  </w:r>
                  <w:r>
                    <w:rPr>
                      <w:rFonts w:hint="default" w:ascii="Times New Roman" w:hAnsi="Times New Roman" w:eastAsia="宋体" w:cs="Times New Roman"/>
                      <w:b/>
                      <w:bCs w:val="0"/>
                      <w:color w:val="auto"/>
                      <w:sz w:val="21"/>
                      <w:szCs w:val="21"/>
                      <w:highlight w:val="none"/>
                      <w:vertAlign w:val="superscript"/>
                      <w:lang w:val="en-US" w:eastAsia="zh-CN"/>
                    </w:rPr>
                    <w:t>3</w:t>
                  </w:r>
                  <w:r>
                    <w:rPr>
                      <w:rFonts w:hint="eastAsia" w:cs="Times New Roman"/>
                      <w:b/>
                      <w:bCs w:val="0"/>
                      <w:color w:val="auto"/>
                      <w:sz w:val="21"/>
                      <w:szCs w:val="21"/>
                      <w:highlight w:val="none"/>
                      <w:lang w:val="en-US" w:eastAsia="zh-CN"/>
                    </w:rPr>
                    <w:t>）</w:t>
                  </w:r>
                </w:p>
              </w:tc>
              <w:tc>
                <w:tcPr>
                  <w:tcW w:w="962" w:type="dxa"/>
                  <w:tcBorders>
                    <w:tl2br w:val="nil"/>
                    <w:tr2bl w:val="nil"/>
                  </w:tcBorders>
                  <w:noWrap w:val="0"/>
                  <w:vAlign w:val="center"/>
                </w:tcPr>
                <w:p w14:paraId="4CCFE929">
                  <w:pPr>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治理</w:t>
                  </w:r>
                </w:p>
                <w:p w14:paraId="25DA670D">
                  <w:pPr>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措施</w:t>
                  </w:r>
                </w:p>
              </w:tc>
              <w:tc>
                <w:tcPr>
                  <w:tcW w:w="675" w:type="dxa"/>
                  <w:tcBorders>
                    <w:tl2br w:val="nil"/>
                    <w:tr2bl w:val="nil"/>
                  </w:tcBorders>
                  <w:noWrap w:val="0"/>
                  <w:vAlign w:val="center"/>
                </w:tcPr>
                <w:p w14:paraId="100E4E3A">
                  <w:pPr>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是否可行技术</w:t>
                  </w:r>
                </w:p>
              </w:tc>
              <w:tc>
                <w:tcPr>
                  <w:tcW w:w="863" w:type="dxa"/>
                  <w:tcBorders>
                    <w:tl2br w:val="nil"/>
                    <w:tr2bl w:val="nil"/>
                  </w:tcBorders>
                  <w:noWrap w:val="0"/>
                  <w:vAlign w:val="center"/>
                </w:tcPr>
                <w:p w14:paraId="39FF7880">
                  <w:pPr>
                    <w:adjustRightInd w:val="0"/>
                    <w:snapToGrid w:val="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val="en-US" w:eastAsia="zh-CN"/>
                    </w:rPr>
                    <w:t>排放量</w:t>
                  </w:r>
                  <w:r>
                    <w:rPr>
                      <w:rFonts w:hint="eastAsia" w:ascii="Times New Roman" w:hAnsi="Times New Roman" w:eastAsia="宋体" w:cs="Times New Roman"/>
                      <w:b/>
                      <w:bCs w:val="0"/>
                      <w:color w:val="auto"/>
                      <w:sz w:val="21"/>
                      <w:szCs w:val="21"/>
                      <w:highlight w:val="none"/>
                      <w:lang w:val="en-US" w:eastAsia="zh-CN"/>
                    </w:rPr>
                    <w:t>（</w:t>
                  </w:r>
                  <w:r>
                    <w:rPr>
                      <w:rFonts w:hint="default" w:ascii="Times New Roman" w:hAnsi="Times New Roman" w:eastAsia="宋体" w:cs="Times New Roman"/>
                      <w:b/>
                      <w:bCs w:val="0"/>
                      <w:color w:val="auto"/>
                      <w:sz w:val="21"/>
                      <w:szCs w:val="21"/>
                      <w:highlight w:val="none"/>
                      <w:lang w:val="en-US" w:eastAsia="zh-CN"/>
                    </w:rPr>
                    <w:t>t/a</w:t>
                  </w:r>
                  <w:r>
                    <w:rPr>
                      <w:rFonts w:hint="eastAsia" w:ascii="Times New Roman" w:hAnsi="Times New Roman" w:eastAsia="宋体" w:cs="Times New Roman"/>
                      <w:b/>
                      <w:bCs w:val="0"/>
                      <w:color w:val="auto"/>
                      <w:sz w:val="21"/>
                      <w:szCs w:val="21"/>
                      <w:highlight w:val="none"/>
                      <w:lang w:val="en-US" w:eastAsia="zh-CN"/>
                    </w:rPr>
                    <w:t>）</w:t>
                  </w:r>
                </w:p>
              </w:tc>
              <w:tc>
                <w:tcPr>
                  <w:tcW w:w="782" w:type="dxa"/>
                  <w:tcBorders>
                    <w:tl2br w:val="nil"/>
                    <w:tr2bl w:val="nil"/>
                  </w:tcBorders>
                  <w:noWrap w:val="0"/>
                  <w:vAlign w:val="center"/>
                </w:tcPr>
                <w:p w14:paraId="17A04391">
                  <w:pPr>
                    <w:adjustRightInd w:val="0"/>
                    <w:snapToGrid w:val="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val="en-US" w:eastAsia="zh-CN"/>
                    </w:rPr>
                    <w:t>排放浓度</w:t>
                  </w:r>
                  <w:r>
                    <w:rPr>
                      <w:rFonts w:hint="eastAsia" w:ascii="Times New Roman" w:hAnsi="Times New Roman" w:eastAsia="宋体" w:cs="Times New Roman"/>
                      <w:b/>
                      <w:bCs w:val="0"/>
                      <w:color w:val="auto"/>
                      <w:sz w:val="21"/>
                      <w:szCs w:val="21"/>
                      <w:highlight w:val="none"/>
                      <w:lang w:val="en-US" w:eastAsia="zh-CN"/>
                    </w:rPr>
                    <w:t>（</w:t>
                  </w:r>
                  <w:r>
                    <w:rPr>
                      <w:rFonts w:hint="default" w:ascii="Times New Roman" w:hAnsi="Times New Roman" w:eastAsia="宋体" w:cs="Times New Roman"/>
                      <w:b/>
                      <w:bCs w:val="0"/>
                      <w:color w:val="auto"/>
                      <w:sz w:val="21"/>
                      <w:szCs w:val="21"/>
                      <w:highlight w:val="none"/>
                      <w:lang w:val="en-US" w:eastAsia="zh-CN"/>
                    </w:rPr>
                    <w:t>mg/m</w:t>
                  </w:r>
                  <w:r>
                    <w:rPr>
                      <w:rFonts w:hint="default" w:ascii="Times New Roman" w:hAnsi="Times New Roman" w:eastAsia="宋体" w:cs="Times New Roman"/>
                      <w:b/>
                      <w:bCs w:val="0"/>
                      <w:color w:val="auto"/>
                      <w:sz w:val="21"/>
                      <w:szCs w:val="21"/>
                      <w:highlight w:val="none"/>
                      <w:vertAlign w:val="superscript"/>
                      <w:lang w:val="en-US" w:eastAsia="zh-CN"/>
                    </w:rPr>
                    <w:t>3</w:t>
                  </w:r>
                  <w:r>
                    <w:rPr>
                      <w:rFonts w:hint="eastAsia" w:ascii="Times New Roman" w:hAnsi="Times New Roman" w:eastAsia="宋体" w:cs="Times New Roman"/>
                      <w:b/>
                      <w:bCs w:val="0"/>
                      <w:color w:val="auto"/>
                      <w:sz w:val="21"/>
                      <w:szCs w:val="21"/>
                      <w:highlight w:val="none"/>
                      <w:lang w:val="en-US" w:eastAsia="zh-CN"/>
                    </w:rPr>
                    <w:t>）</w:t>
                  </w:r>
                </w:p>
              </w:tc>
              <w:tc>
                <w:tcPr>
                  <w:tcW w:w="683" w:type="dxa"/>
                  <w:tcBorders>
                    <w:tl2br w:val="nil"/>
                    <w:tr2bl w:val="nil"/>
                  </w:tcBorders>
                  <w:noWrap w:val="0"/>
                  <w:vAlign w:val="center"/>
                </w:tcPr>
                <w:p w14:paraId="61E416EA">
                  <w:pPr>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排放</w:t>
                  </w:r>
                </w:p>
                <w:p w14:paraId="68C74047">
                  <w:pPr>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速率</w:t>
                  </w:r>
                  <w:r>
                    <w:rPr>
                      <w:rFonts w:hint="eastAsia" w:ascii="Times New Roman" w:hAnsi="Times New Roman" w:eastAsia="宋体" w:cs="Times New Roman"/>
                      <w:b/>
                      <w:bCs w:val="0"/>
                      <w:color w:val="auto"/>
                      <w:sz w:val="21"/>
                      <w:szCs w:val="21"/>
                      <w:highlight w:val="none"/>
                      <w:lang w:val="en-US" w:eastAsia="zh-CN"/>
                    </w:rPr>
                    <w:t>（</w:t>
                  </w:r>
                  <w:r>
                    <w:rPr>
                      <w:rFonts w:hint="default" w:ascii="Times New Roman" w:hAnsi="Times New Roman" w:eastAsia="宋体" w:cs="Times New Roman"/>
                      <w:b/>
                      <w:bCs w:val="0"/>
                      <w:color w:val="auto"/>
                      <w:sz w:val="21"/>
                      <w:szCs w:val="21"/>
                      <w:highlight w:val="none"/>
                      <w:lang w:val="en-US" w:eastAsia="zh-CN"/>
                    </w:rPr>
                    <w:t>kg/h</w:t>
                  </w:r>
                  <w:r>
                    <w:rPr>
                      <w:rFonts w:hint="eastAsia" w:ascii="Times New Roman" w:hAnsi="Times New Roman" w:eastAsia="宋体" w:cs="Times New Roman"/>
                      <w:b/>
                      <w:bCs w:val="0"/>
                      <w:color w:val="auto"/>
                      <w:sz w:val="21"/>
                      <w:szCs w:val="21"/>
                      <w:highlight w:val="none"/>
                      <w:lang w:val="en-US" w:eastAsia="zh-CN"/>
                    </w:rPr>
                    <w:t>）</w:t>
                  </w:r>
                </w:p>
              </w:tc>
              <w:tc>
                <w:tcPr>
                  <w:tcW w:w="643" w:type="dxa"/>
                  <w:tcBorders>
                    <w:tl2br w:val="nil"/>
                    <w:tr2bl w:val="nil"/>
                  </w:tcBorders>
                  <w:noWrap w:val="0"/>
                  <w:vAlign w:val="center"/>
                </w:tcPr>
                <w:p w14:paraId="6DD40664">
                  <w:pPr>
                    <w:adjustRightInd w:val="0"/>
                    <w:snapToGrid w:val="0"/>
                    <w:jc w:val="center"/>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排放</w:t>
                  </w:r>
                </w:p>
                <w:p w14:paraId="1DD1A8E2">
                  <w:pPr>
                    <w:adjustRightInd w:val="0"/>
                    <w:snapToGrid w:val="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形式</w:t>
                  </w:r>
                </w:p>
              </w:tc>
            </w:tr>
            <w:tr w14:paraId="4A2D4E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0" w:type="dxa"/>
                  <w:tcBorders>
                    <w:tl2br w:val="nil"/>
                    <w:tr2bl w:val="nil"/>
                  </w:tcBorders>
                  <w:noWrap w:val="0"/>
                  <w:vAlign w:val="center"/>
                </w:tcPr>
                <w:p w14:paraId="0B255A10">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输送</w:t>
                  </w:r>
                </w:p>
              </w:tc>
              <w:tc>
                <w:tcPr>
                  <w:tcW w:w="707" w:type="dxa"/>
                  <w:tcBorders>
                    <w:tl2br w:val="nil"/>
                    <w:tr2bl w:val="nil"/>
                  </w:tcBorders>
                  <w:noWrap w:val="0"/>
                  <w:vAlign w:val="center"/>
                </w:tcPr>
                <w:p w14:paraId="3C8BCCF7">
                  <w:pPr>
                    <w:adjustRightInd w:val="0"/>
                    <w:snapToGrid w:val="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颗粒物</w:t>
                  </w:r>
                </w:p>
              </w:tc>
              <w:tc>
                <w:tcPr>
                  <w:tcW w:w="675" w:type="dxa"/>
                  <w:tcBorders>
                    <w:tl2br w:val="nil"/>
                    <w:tr2bl w:val="nil"/>
                  </w:tcBorders>
                  <w:noWrap w:val="0"/>
                  <w:vAlign w:val="center"/>
                </w:tcPr>
                <w:p w14:paraId="78A0641A">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37.5</w:t>
                  </w:r>
                </w:p>
              </w:tc>
              <w:tc>
                <w:tcPr>
                  <w:tcW w:w="712" w:type="dxa"/>
                  <w:tcBorders>
                    <w:tl2br w:val="nil"/>
                    <w:tr2bl w:val="nil"/>
                  </w:tcBorders>
                  <w:noWrap w:val="0"/>
                  <w:vAlign w:val="center"/>
                </w:tcPr>
                <w:p w14:paraId="217CAC31">
                  <w:pPr>
                    <w:adjustRightInd w:val="0"/>
                    <w:snapToGrid w:val="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23.44</w:t>
                  </w:r>
                </w:p>
              </w:tc>
              <w:tc>
                <w:tcPr>
                  <w:tcW w:w="712" w:type="dxa"/>
                  <w:tcBorders>
                    <w:tl2br w:val="nil"/>
                    <w:tr2bl w:val="nil"/>
                  </w:tcBorders>
                  <w:noWrap w:val="0"/>
                  <w:vAlign w:val="center"/>
                </w:tcPr>
                <w:p w14:paraId="511B2F5B">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4688</w:t>
                  </w:r>
                </w:p>
              </w:tc>
              <w:tc>
                <w:tcPr>
                  <w:tcW w:w="962" w:type="dxa"/>
                  <w:tcBorders>
                    <w:tl2br w:val="nil"/>
                    <w:tr2bl w:val="nil"/>
                  </w:tcBorders>
                  <w:noWrap w:val="0"/>
                  <w:vAlign w:val="center"/>
                </w:tcPr>
                <w:p w14:paraId="5A879F22">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脉冲式布袋除尘器</w:t>
                  </w:r>
                </w:p>
              </w:tc>
              <w:tc>
                <w:tcPr>
                  <w:tcW w:w="675" w:type="dxa"/>
                  <w:tcBorders>
                    <w:tl2br w:val="nil"/>
                    <w:tr2bl w:val="nil"/>
                  </w:tcBorders>
                  <w:noWrap w:val="0"/>
                  <w:vAlign w:val="center"/>
                </w:tcPr>
                <w:p w14:paraId="5345931E">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是</w:t>
                  </w:r>
                </w:p>
              </w:tc>
              <w:tc>
                <w:tcPr>
                  <w:tcW w:w="863" w:type="dxa"/>
                  <w:tcBorders>
                    <w:tl2br w:val="nil"/>
                    <w:tr2bl w:val="nil"/>
                  </w:tcBorders>
                  <w:noWrap w:val="0"/>
                  <w:vAlign w:val="center"/>
                </w:tcPr>
                <w:p w14:paraId="61820A91">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0.0375</w:t>
                  </w:r>
                </w:p>
              </w:tc>
              <w:tc>
                <w:tcPr>
                  <w:tcW w:w="782" w:type="dxa"/>
                  <w:tcBorders>
                    <w:tl2br w:val="nil"/>
                    <w:tr2bl w:val="nil"/>
                  </w:tcBorders>
                  <w:noWrap w:val="0"/>
                  <w:vAlign w:val="center"/>
                </w:tcPr>
                <w:p w14:paraId="209E2DC1">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
                      <w:bCs w:val="0"/>
                      <w:color w:val="auto"/>
                      <w:sz w:val="21"/>
                      <w:szCs w:val="21"/>
                      <w:highlight w:val="none"/>
                      <w:lang w:val="en-US" w:eastAsia="zh-CN"/>
                    </w:rPr>
                    <w:t>4.69</w:t>
                  </w:r>
                </w:p>
              </w:tc>
              <w:tc>
                <w:tcPr>
                  <w:tcW w:w="683" w:type="dxa"/>
                  <w:tcBorders>
                    <w:tl2br w:val="nil"/>
                    <w:tr2bl w:val="nil"/>
                  </w:tcBorders>
                  <w:noWrap w:val="0"/>
                  <w:vAlign w:val="center"/>
                </w:tcPr>
                <w:p w14:paraId="34EAA87C">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0.0234</w:t>
                  </w:r>
                </w:p>
              </w:tc>
              <w:tc>
                <w:tcPr>
                  <w:tcW w:w="643" w:type="dxa"/>
                  <w:tcBorders>
                    <w:tl2br w:val="nil"/>
                    <w:tr2bl w:val="nil"/>
                  </w:tcBorders>
                  <w:noWrap w:val="0"/>
                  <w:vAlign w:val="center"/>
                </w:tcPr>
                <w:p w14:paraId="1356E07C">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有组织</w:t>
                  </w:r>
                </w:p>
              </w:tc>
            </w:tr>
          </w:tbl>
          <w:p w14:paraId="7F707EFF">
            <w:pPr>
              <w:pStyle w:val="35"/>
              <w:wordWrap w:val="0"/>
              <w:ind w:firstLine="482"/>
              <w:rPr>
                <w:rFonts w:hint="default"/>
                <w:color w:val="auto"/>
                <w:kern w:val="0"/>
                <w:sz w:val="24"/>
                <w:highlight w:val="none"/>
                <w:lang w:val="en-US" w:eastAsia="zh-CN" w:bidi="en-US"/>
              </w:rPr>
            </w:pPr>
            <w:r>
              <w:rPr>
                <w:rFonts w:hint="eastAsia"/>
                <w:color w:val="auto"/>
                <w:sz w:val="24"/>
                <w:highlight w:val="none"/>
                <w:lang w:val="en-US" w:eastAsia="zh-CN"/>
              </w:rPr>
              <w:t>由表4-4</w:t>
            </w:r>
            <w:r>
              <w:rPr>
                <w:rFonts w:hint="default"/>
                <w:color w:val="auto"/>
                <w:sz w:val="24"/>
                <w:highlight w:val="none"/>
              </w:rPr>
              <w:t>计算</w:t>
            </w:r>
            <w:r>
              <w:rPr>
                <w:rFonts w:hint="eastAsia"/>
                <w:color w:val="auto"/>
                <w:sz w:val="24"/>
                <w:highlight w:val="none"/>
                <w:lang w:val="en-US" w:eastAsia="zh-CN"/>
              </w:rPr>
              <w:t>结果可知</w:t>
            </w:r>
            <w:r>
              <w:rPr>
                <w:rFonts w:hint="default"/>
                <w:color w:val="auto"/>
                <w:sz w:val="24"/>
                <w:highlight w:val="none"/>
              </w:rPr>
              <w:t>，</w:t>
            </w:r>
            <w:r>
              <w:rPr>
                <w:rFonts w:hint="eastAsia"/>
                <w:color w:val="auto"/>
                <w:sz w:val="24"/>
                <w:highlight w:val="none"/>
                <w:lang w:val="en-US" w:eastAsia="zh-CN"/>
              </w:rPr>
              <w:t>本项目机制输送颗粒物</w:t>
            </w:r>
            <w:r>
              <w:rPr>
                <w:rFonts w:hint="eastAsia" w:ascii="Times New Roman" w:hAnsi="Times New Roman"/>
                <w:color w:val="auto"/>
                <w:sz w:val="24"/>
                <w:highlight w:val="none"/>
              </w:rPr>
              <w:t>有组织排放量为</w:t>
            </w:r>
            <w:r>
              <w:rPr>
                <w:rFonts w:hint="eastAsia"/>
                <w:color w:val="auto"/>
                <w:sz w:val="24"/>
                <w:highlight w:val="none"/>
                <w:lang w:val="en-US" w:eastAsia="zh-CN"/>
              </w:rPr>
              <w:t>0.0375</w:t>
            </w:r>
            <w:r>
              <w:rPr>
                <w:rFonts w:hint="eastAsia" w:ascii="Times New Roman" w:hAnsi="Times New Roman"/>
                <w:color w:val="auto"/>
                <w:sz w:val="24"/>
                <w:highlight w:val="none"/>
                <w:lang w:val="en-US" w:eastAsia="zh-CN"/>
              </w:rPr>
              <w:t>t</w:t>
            </w:r>
            <w:r>
              <w:rPr>
                <w:rFonts w:hint="eastAsia" w:ascii="Times New Roman" w:hAnsi="Times New Roman"/>
                <w:color w:val="auto"/>
                <w:sz w:val="24"/>
                <w:highlight w:val="none"/>
              </w:rPr>
              <w:t>/a，排放速率</w:t>
            </w:r>
            <w:r>
              <w:rPr>
                <w:rFonts w:hint="eastAsia"/>
                <w:color w:val="auto"/>
                <w:sz w:val="24"/>
                <w:highlight w:val="none"/>
                <w:lang w:val="en-US" w:eastAsia="zh-CN"/>
              </w:rPr>
              <w:t>0.0234</w:t>
            </w:r>
            <w:r>
              <w:rPr>
                <w:rFonts w:hint="eastAsia" w:ascii="Times New Roman" w:hAnsi="Times New Roman"/>
                <w:color w:val="auto"/>
                <w:sz w:val="24"/>
                <w:highlight w:val="none"/>
              </w:rPr>
              <w:t>kg/h，排放浓度为</w:t>
            </w:r>
            <w:r>
              <w:rPr>
                <w:rFonts w:hint="eastAsia"/>
                <w:color w:val="auto"/>
                <w:sz w:val="24"/>
                <w:highlight w:val="none"/>
                <w:lang w:val="en-US" w:eastAsia="zh-CN"/>
              </w:rPr>
              <w:t>4.68</w:t>
            </w:r>
            <w:r>
              <w:rPr>
                <w:rFonts w:hint="eastAsia" w:ascii="Times New Roman" w:hAnsi="Times New Roman"/>
                <w:color w:val="auto"/>
                <w:sz w:val="24"/>
                <w:highlight w:val="none"/>
              </w:rPr>
              <w:t>mg/</w:t>
            </w:r>
            <w:r>
              <w:rPr>
                <w:rFonts w:hint="eastAsia" w:ascii="Times New Roman" w:hAnsi="Times New Roman"/>
                <w:snapToGrid w:val="0"/>
                <w:color w:val="auto"/>
                <w:kern w:val="0"/>
                <w:sz w:val="24"/>
                <w:highlight w:val="none"/>
                <w:shd w:val="clear" w:color="auto" w:fill="FFFFFF"/>
              </w:rPr>
              <w:t>m</w:t>
            </w:r>
            <w:r>
              <w:rPr>
                <w:rFonts w:hint="eastAsia" w:ascii="Times New Roman" w:hAnsi="Times New Roman"/>
                <w:snapToGrid w:val="0"/>
                <w:color w:val="auto"/>
                <w:kern w:val="0"/>
                <w:sz w:val="24"/>
                <w:highlight w:val="none"/>
                <w:shd w:val="clear" w:color="auto" w:fill="FFFFFF"/>
                <w:vertAlign w:val="superscript"/>
                <w:lang w:val="en-US" w:eastAsia="zh-CN"/>
              </w:rPr>
              <w:t>3</w:t>
            </w:r>
            <w:r>
              <w:rPr>
                <w:rFonts w:hint="eastAsia" w:ascii="Times New Roman" w:hAnsi="Times New Roman"/>
                <w:snapToGrid w:val="0"/>
                <w:color w:val="auto"/>
                <w:kern w:val="0"/>
                <w:sz w:val="24"/>
                <w:highlight w:val="none"/>
                <w:shd w:val="clear" w:color="auto" w:fill="FFFFFF"/>
                <w:vertAlign w:val="baseline"/>
                <w:lang w:val="en-US" w:eastAsia="zh-CN"/>
              </w:rPr>
              <w:t>。</w:t>
            </w:r>
          </w:p>
          <w:p w14:paraId="28E143CC">
            <w:pPr>
              <w:pStyle w:val="35"/>
              <w:keepNext w:val="0"/>
              <w:keepLines w:val="0"/>
              <w:pageBreakBefore w:val="0"/>
              <w:widowControl w:val="0"/>
              <w:kinsoku/>
              <w:wordWrap w:val="0"/>
              <w:overflowPunct/>
              <w:topLinePunct w:val="0"/>
              <w:autoSpaceDE/>
              <w:autoSpaceDN/>
              <w:bidi w:val="0"/>
              <w:adjustRightInd/>
              <w:ind w:left="0" w:firstLine="482"/>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（3）各物料筒仓粉尘</w:t>
            </w:r>
          </w:p>
          <w:p w14:paraId="2131154D">
            <w:pPr>
              <w:pStyle w:val="15"/>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本项目共设</w:t>
            </w:r>
            <w:r>
              <w:rPr>
                <w:rFonts w:hint="eastAsia" w:cs="Times New Roman"/>
                <w:color w:val="auto"/>
                <w:sz w:val="24"/>
                <w:szCs w:val="24"/>
                <w:highlight w:val="none"/>
                <w:lang w:val="en-US" w:eastAsia="zh-CN"/>
              </w:rPr>
              <w:t>9个料仓</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筒砂仓4个、粉料仓5个</w:t>
            </w:r>
            <w:r>
              <w:rPr>
                <w:rFonts w:hint="default" w:ascii="Times New Roman" w:hAnsi="Times New Roman" w:eastAsia="宋体" w:cs="Times New Roman"/>
                <w:color w:val="auto"/>
                <w:sz w:val="24"/>
                <w:szCs w:val="24"/>
                <w:highlight w:val="none"/>
                <w:lang w:val="en-US" w:eastAsia="zh-CN"/>
              </w:rPr>
              <w:t>）。</w:t>
            </w:r>
          </w:p>
          <w:p w14:paraId="0151EDFE">
            <w:pPr>
              <w:pStyle w:val="15"/>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储罐工作原理：粉状原料由罐车自带的气动系统将原料吹入原料储罐内部</w:t>
            </w:r>
            <w:r>
              <w:rPr>
                <w:rFonts w:hint="eastAsia"/>
                <w:lang w:eastAsia="zh-CN"/>
              </w:rPr>
              <w:t>。</w:t>
            </w:r>
            <w:r>
              <w:rPr>
                <w:rFonts w:hint="default" w:ascii="Times New Roman" w:hAnsi="Times New Roman" w:eastAsia="宋体" w:cs="Times New Roman"/>
                <w:color w:val="auto"/>
                <w:sz w:val="24"/>
                <w:szCs w:val="24"/>
                <w:highlight w:val="none"/>
                <w:lang w:val="en-US" w:eastAsia="zh-CN"/>
              </w:rPr>
              <w:t>须将筒仓内部的气体由排气口挤出罐外后，原料方可进入储罐内储存。粉煤灰储罐顶部排气口会产生一定量的粉尘，产生的粉尘通过各储罐顶部自带的</w:t>
            </w:r>
            <w:r>
              <w:rPr>
                <w:rFonts w:hint="eastAsia" w:cs="Times New Roman"/>
                <w:color w:val="auto"/>
                <w:sz w:val="24"/>
                <w:szCs w:val="24"/>
                <w:highlight w:val="none"/>
                <w:lang w:val="en-US" w:eastAsia="zh-CN"/>
              </w:rPr>
              <w:t>脉冲式布袋除尘器</w:t>
            </w:r>
            <w:r>
              <w:rPr>
                <w:rFonts w:hint="default" w:ascii="Times New Roman" w:hAnsi="Times New Roman" w:eastAsia="宋体" w:cs="Times New Roman"/>
                <w:color w:val="auto"/>
                <w:sz w:val="24"/>
                <w:szCs w:val="24"/>
                <w:highlight w:val="none"/>
                <w:lang w:val="en-US" w:eastAsia="zh-CN"/>
              </w:rPr>
              <w:t>处理后，无组织排放。</w:t>
            </w:r>
          </w:p>
          <w:p w14:paraId="0667DA76">
            <w:pPr>
              <w:pStyle w:val="15"/>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排放源统计调查产排污核算方法和系数手册》的公告（环境部公告2021年第24号）中“3021水泥制品制造（含3022砼结构构件、3029其他水泥类似制品制造）物料输送储存产排污系数表”中的数据，产污系数为0.12kg/t-产品。本项目</w:t>
            </w:r>
            <w:r>
              <w:rPr>
                <w:rFonts w:hint="eastAsia" w:cs="Times New Roman"/>
                <w:color w:val="auto"/>
                <w:sz w:val="24"/>
                <w:szCs w:val="24"/>
                <w:highlight w:val="none"/>
                <w:lang w:val="en-US" w:eastAsia="zh-CN"/>
              </w:rPr>
              <w:t>干混砂浆年产能25万吨</w:t>
            </w:r>
            <w:r>
              <w:rPr>
                <w:rFonts w:hint="default" w:ascii="Times New Roman" w:hAnsi="Times New Roman" w:eastAsia="宋体" w:cs="Times New Roman"/>
                <w:color w:val="auto"/>
                <w:sz w:val="24"/>
                <w:szCs w:val="24"/>
                <w:highlight w:val="none"/>
                <w:lang w:val="en-US" w:eastAsia="zh-CN"/>
              </w:rPr>
              <w:t>，则筒仓仓顶呼吸孔</w:t>
            </w:r>
            <w:r>
              <w:rPr>
                <w:rFonts w:hint="eastAsia" w:ascii="Times New Roman" w:hAnsi="Times New Roman" w:cs="Times New Roman"/>
                <w:color w:val="auto"/>
                <w:sz w:val="24"/>
                <w:szCs w:val="24"/>
                <w:highlight w:val="none"/>
                <w:lang w:val="en-US" w:eastAsia="zh-CN"/>
              </w:rPr>
              <w:t>产生</w:t>
            </w:r>
            <w:r>
              <w:rPr>
                <w:rFonts w:hint="default" w:ascii="Times New Roman" w:hAnsi="Times New Roman" w:eastAsia="宋体" w:cs="Times New Roman"/>
                <w:color w:val="auto"/>
                <w:sz w:val="24"/>
                <w:szCs w:val="24"/>
                <w:highlight w:val="none"/>
                <w:lang w:val="en-US" w:eastAsia="zh-CN"/>
              </w:rPr>
              <w:t>的粉尘量为</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t/a。</w:t>
            </w:r>
          </w:p>
          <w:p w14:paraId="6E18B248">
            <w:pPr>
              <w:pStyle w:val="15"/>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w:t>
            </w:r>
            <w:r>
              <w:rPr>
                <w:rFonts w:hint="eastAsia" w:cs="Times New Roman"/>
                <w:color w:val="auto"/>
                <w:sz w:val="24"/>
                <w:szCs w:val="24"/>
                <w:highlight w:val="none"/>
                <w:lang w:val="en-US" w:eastAsia="zh-CN"/>
              </w:rPr>
              <w:t>每筒仓</w:t>
            </w:r>
            <w:r>
              <w:rPr>
                <w:rFonts w:hint="eastAsia" w:ascii="Times New Roman" w:hAnsi="Times New Roman" w:cs="Times New Roman"/>
                <w:color w:val="auto"/>
                <w:sz w:val="24"/>
                <w:szCs w:val="24"/>
                <w:highlight w:val="none"/>
                <w:lang w:val="en-US" w:eastAsia="zh-CN"/>
              </w:rPr>
              <w:t>各配置1台仓顶</w:t>
            </w:r>
            <w:r>
              <w:rPr>
                <w:rFonts w:hint="eastAsia" w:cs="Times New Roman"/>
                <w:color w:val="auto"/>
                <w:sz w:val="24"/>
                <w:szCs w:val="24"/>
                <w:highlight w:val="none"/>
                <w:lang w:val="en-US" w:eastAsia="zh-CN"/>
              </w:rPr>
              <w:t>脉冲式布袋除尘器（共计9台）</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筒仓</w:t>
            </w:r>
            <w:r>
              <w:rPr>
                <w:rFonts w:hint="eastAsia" w:ascii="Times New Roman" w:hAnsi="Times New Roman" w:cs="Times New Roman"/>
                <w:color w:val="auto"/>
                <w:sz w:val="24"/>
                <w:szCs w:val="24"/>
                <w:highlight w:val="none"/>
                <w:lang w:val="en-US" w:eastAsia="zh-CN"/>
              </w:rPr>
              <w:t>采用密闭形式，除尘器紧密安装在</w:t>
            </w:r>
            <w:r>
              <w:rPr>
                <w:rFonts w:hint="eastAsia" w:cs="Times New Roman"/>
                <w:color w:val="auto"/>
                <w:sz w:val="24"/>
                <w:szCs w:val="24"/>
                <w:highlight w:val="none"/>
                <w:lang w:val="en-US" w:eastAsia="zh-CN"/>
              </w:rPr>
              <w:t>筒仓</w:t>
            </w:r>
            <w:r>
              <w:rPr>
                <w:rFonts w:hint="eastAsia" w:ascii="Times New Roman" w:hAnsi="Times New Roman" w:cs="Times New Roman"/>
                <w:color w:val="auto"/>
                <w:sz w:val="24"/>
                <w:szCs w:val="24"/>
                <w:highlight w:val="none"/>
                <w:lang w:val="en-US" w:eastAsia="zh-CN"/>
              </w:rPr>
              <w:t>仓顶，含尘废气全部经除尘器处理后排放。</w:t>
            </w:r>
            <w:r>
              <w:rPr>
                <w:rFonts w:hint="eastAsia" w:cs="Times New Roman"/>
                <w:color w:val="auto"/>
                <w:sz w:val="24"/>
                <w:szCs w:val="24"/>
                <w:highlight w:val="none"/>
                <w:lang w:val="en-US" w:eastAsia="zh-CN"/>
              </w:rPr>
              <w:t>筒仓</w:t>
            </w:r>
            <w:r>
              <w:rPr>
                <w:rFonts w:hint="eastAsia" w:ascii="Times New Roman" w:hAnsi="Times New Roman" w:cs="Times New Roman"/>
                <w:color w:val="auto"/>
                <w:sz w:val="24"/>
                <w:szCs w:val="24"/>
                <w:highlight w:val="none"/>
                <w:lang w:val="en-US" w:eastAsia="zh-CN"/>
              </w:rPr>
              <w:t>仓顶自带滤芯除尘器除尘效率取</w:t>
            </w:r>
            <w:r>
              <w:rPr>
                <w:rFonts w:hint="eastAsia" w:cs="Times New Roman"/>
                <w:color w:val="auto"/>
                <w:sz w:val="24"/>
                <w:szCs w:val="24"/>
                <w:highlight w:val="none"/>
                <w:lang w:val="en-US" w:eastAsia="zh-CN"/>
              </w:rPr>
              <w:t>99.9</w:t>
            </w:r>
            <w:r>
              <w:rPr>
                <w:rFonts w:hint="eastAsia" w:ascii="Times New Roman" w:hAnsi="Times New Roman" w:cs="Times New Roman"/>
                <w:color w:val="auto"/>
                <w:sz w:val="24"/>
                <w:szCs w:val="24"/>
                <w:highlight w:val="none"/>
                <w:lang w:val="en-US" w:eastAsia="zh-CN"/>
              </w:rPr>
              <w:t>%，含尘废气经仓顶除尘器处理后排放在车间内，以无组织排放计，本次评价将粉尘按无组织进行核算，除尘效率按</w:t>
            </w:r>
            <w:r>
              <w:rPr>
                <w:rFonts w:hint="eastAsia" w:cs="Times New Roman"/>
                <w:color w:val="auto"/>
                <w:sz w:val="24"/>
                <w:szCs w:val="24"/>
                <w:highlight w:val="none"/>
                <w:lang w:val="en-US" w:eastAsia="zh-CN"/>
              </w:rPr>
              <w:t>99.9</w:t>
            </w:r>
            <w:r>
              <w:rPr>
                <w:rFonts w:hint="eastAsia" w:ascii="Times New Roman" w:hAnsi="Times New Roman" w:cs="Times New Roman"/>
                <w:color w:val="auto"/>
                <w:sz w:val="24"/>
                <w:szCs w:val="24"/>
                <w:highlight w:val="none"/>
                <w:lang w:val="en-US" w:eastAsia="zh-CN"/>
              </w:rPr>
              <w:t>%，则粉尘排放量</w:t>
            </w:r>
            <w:r>
              <w:rPr>
                <w:rFonts w:hint="eastAsia" w:cs="Times New Roman"/>
                <w:color w:val="auto"/>
                <w:sz w:val="24"/>
                <w:szCs w:val="24"/>
                <w:highlight w:val="none"/>
                <w:lang w:val="en-US" w:eastAsia="zh-CN"/>
              </w:rPr>
              <w:t>0.03</w:t>
            </w:r>
            <w:r>
              <w:rPr>
                <w:rFonts w:hint="eastAsia" w:ascii="Times New Roman" w:hAnsi="Times New Roman" w:cs="Times New Roman"/>
                <w:color w:val="auto"/>
                <w:sz w:val="24"/>
                <w:szCs w:val="24"/>
                <w:highlight w:val="none"/>
                <w:lang w:val="en-US" w:eastAsia="zh-CN"/>
              </w:rPr>
              <w:t>t/a。</w:t>
            </w:r>
          </w:p>
          <w:p w14:paraId="1AFB113F">
            <w:pPr>
              <w:pStyle w:val="15"/>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 xml:space="preserve">）搅拌粉尘 </w:t>
            </w:r>
          </w:p>
          <w:p w14:paraId="238E30AA">
            <w:pPr>
              <w:pStyle w:val="15"/>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各种原料根据不同配比，通过重力下至密闭的计量仓，采用电脑控制，自动计量称重。经计量后的物料再进入混合机进行混合搅拌，在达到预设的混合时间后混合搅拌主机自行打开主机卸料门将混合后的成品料卸入主机卸料斗内。每台混合机上配置了独立的</w:t>
            </w:r>
            <w:r>
              <w:rPr>
                <w:rFonts w:hint="eastAsia" w:cs="Times New Roman"/>
                <w:color w:val="auto"/>
                <w:sz w:val="24"/>
                <w:szCs w:val="24"/>
                <w:highlight w:val="none"/>
                <w:lang w:val="en-US" w:eastAsia="zh-CN"/>
              </w:rPr>
              <w:t>脉冲式布袋除尘器</w:t>
            </w:r>
            <w:r>
              <w:rPr>
                <w:rFonts w:hint="eastAsia" w:ascii="Times New Roman" w:hAnsi="Times New Roman" w:cs="Times New Roman"/>
                <w:color w:val="auto"/>
                <w:sz w:val="24"/>
                <w:szCs w:val="24"/>
                <w:highlight w:val="none"/>
                <w:lang w:val="en-US" w:eastAsia="zh-CN"/>
              </w:rPr>
              <w:t>用来释放主机搅拌过程中的压力和粉尘，项目物料输送及混合机全密闭。参考《排放源统计调查产排污核算方法和系数手册》（公告 2021 年第 24 号）“3021、3022、3029 水泥制品制造行业系数手册”中的“3021 水泥制品制造行业”产污系数计算，具体系数详见下表</w:t>
            </w:r>
            <w:r>
              <w:rPr>
                <w:rFonts w:hint="eastAsia" w:cs="Times New Roman"/>
                <w:color w:val="auto"/>
                <w:sz w:val="24"/>
                <w:szCs w:val="24"/>
                <w:highlight w:val="none"/>
                <w:lang w:val="en-US" w:eastAsia="zh-CN"/>
              </w:rPr>
              <w:t>4-5</w:t>
            </w:r>
            <w:r>
              <w:rPr>
                <w:rFonts w:hint="eastAsia" w:ascii="Times New Roman" w:hAnsi="Times New Roman" w:cs="Times New Roman"/>
                <w:color w:val="auto"/>
                <w:sz w:val="24"/>
                <w:szCs w:val="24"/>
                <w:highlight w:val="none"/>
                <w:lang w:val="en-US" w:eastAsia="zh-CN"/>
              </w:rPr>
              <w:t>。</w:t>
            </w:r>
          </w:p>
          <w:p w14:paraId="23B94E48">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 xml:space="preserve">表 </w:t>
            </w:r>
            <w:r>
              <w:rPr>
                <w:rFonts w:hint="eastAsia" w:cs="Times New Roman"/>
                <w:b/>
                <w:bCs/>
                <w:color w:val="auto"/>
                <w:sz w:val="21"/>
                <w:szCs w:val="21"/>
                <w:highlight w:val="none"/>
                <w:lang w:val="en-US" w:eastAsia="zh-CN"/>
              </w:rPr>
              <w:t xml:space="preserve">4-6  </w:t>
            </w:r>
            <w:r>
              <w:rPr>
                <w:rFonts w:hint="eastAsia" w:ascii="Times New Roman" w:hAnsi="Times New Roman" w:cs="Times New Roman"/>
                <w:b/>
                <w:bCs/>
                <w:color w:val="auto"/>
                <w:sz w:val="21"/>
                <w:szCs w:val="21"/>
                <w:highlight w:val="none"/>
                <w:lang w:val="en-US" w:eastAsia="zh-CN"/>
              </w:rPr>
              <w:t xml:space="preserve"> 3021、3022、3029 水泥制品制造行业系数手册（摘录）</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4"/>
              <w:gridCol w:w="915"/>
              <w:gridCol w:w="915"/>
              <w:gridCol w:w="783"/>
              <w:gridCol w:w="825"/>
              <w:gridCol w:w="900"/>
              <w:gridCol w:w="765"/>
              <w:gridCol w:w="1020"/>
              <w:gridCol w:w="1197"/>
            </w:tblGrid>
            <w:tr w14:paraId="01FC0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914" w:type="dxa"/>
                  <w:tcBorders>
                    <w:tl2br w:val="nil"/>
                    <w:tr2bl w:val="nil"/>
                  </w:tcBorders>
                  <w:vAlign w:val="center"/>
                </w:tcPr>
                <w:p w14:paraId="56CCF6FB">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工艺名称</w:t>
                  </w:r>
                </w:p>
              </w:tc>
              <w:tc>
                <w:tcPr>
                  <w:tcW w:w="915" w:type="dxa"/>
                  <w:tcBorders>
                    <w:tl2br w:val="nil"/>
                    <w:tr2bl w:val="nil"/>
                  </w:tcBorders>
                  <w:vAlign w:val="center"/>
                </w:tcPr>
                <w:p w14:paraId="57E17496">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产品名称</w:t>
                  </w:r>
                </w:p>
              </w:tc>
              <w:tc>
                <w:tcPr>
                  <w:tcW w:w="915" w:type="dxa"/>
                  <w:tcBorders>
                    <w:tl2br w:val="nil"/>
                    <w:tr2bl w:val="nil"/>
                  </w:tcBorders>
                  <w:vAlign w:val="center"/>
                </w:tcPr>
                <w:p w14:paraId="4E736CAC">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原料名称</w:t>
                  </w:r>
                </w:p>
              </w:tc>
              <w:tc>
                <w:tcPr>
                  <w:tcW w:w="783" w:type="dxa"/>
                  <w:tcBorders>
                    <w:tl2br w:val="nil"/>
                    <w:tr2bl w:val="nil"/>
                  </w:tcBorders>
                  <w:vAlign w:val="center"/>
                </w:tcPr>
                <w:p w14:paraId="55E4B2C9">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规模等级</w:t>
                  </w:r>
                </w:p>
              </w:tc>
              <w:tc>
                <w:tcPr>
                  <w:tcW w:w="825" w:type="dxa"/>
                  <w:tcBorders>
                    <w:tl2br w:val="nil"/>
                    <w:tr2bl w:val="nil"/>
                  </w:tcBorders>
                  <w:vAlign w:val="center"/>
                </w:tcPr>
                <w:p w14:paraId="2AAAF0D8">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污染物指标</w:t>
                  </w:r>
                </w:p>
              </w:tc>
              <w:tc>
                <w:tcPr>
                  <w:tcW w:w="900" w:type="dxa"/>
                  <w:tcBorders>
                    <w:tl2br w:val="nil"/>
                    <w:tr2bl w:val="nil"/>
                  </w:tcBorders>
                  <w:vAlign w:val="center"/>
                </w:tcPr>
                <w:p w14:paraId="449176F1">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系数单位</w:t>
                  </w:r>
                </w:p>
              </w:tc>
              <w:tc>
                <w:tcPr>
                  <w:tcW w:w="765" w:type="dxa"/>
                  <w:tcBorders>
                    <w:tl2br w:val="nil"/>
                    <w:tr2bl w:val="nil"/>
                  </w:tcBorders>
                  <w:vAlign w:val="center"/>
                </w:tcPr>
                <w:p w14:paraId="2C0C78A2">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产污系数</w:t>
                  </w:r>
                </w:p>
              </w:tc>
              <w:tc>
                <w:tcPr>
                  <w:tcW w:w="1020" w:type="dxa"/>
                  <w:tcBorders>
                    <w:tl2br w:val="nil"/>
                    <w:tr2bl w:val="nil"/>
                  </w:tcBorders>
                  <w:vAlign w:val="center"/>
                </w:tcPr>
                <w:p w14:paraId="26EDB43D">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末端治理技术名称</w:t>
                  </w:r>
                </w:p>
              </w:tc>
              <w:tc>
                <w:tcPr>
                  <w:tcW w:w="1197" w:type="dxa"/>
                  <w:tcBorders>
                    <w:tl2br w:val="nil"/>
                    <w:tr2bl w:val="nil"/>
                  </w:tcBorders>
                  <w:vAlign w:val="center"/>
                </w:tcPr>
                <w:p w14:paraId="48884843">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末端治理技术除尘效率</w:t>
                  </w:r>
                  <w:r>
                    <w:rPr>
                      <w:rFonts w:hint="eastAsia" w:cs="Times New Roman"/>
                      <w:b/>
                      <w:bCs/>
                      <w:color w:val="auto"/>
                      <w:sz w:val="21"/>
                      <w:szCs w:val="21"/>
                      <w:highlight w:val="none"/>
                      <w:vertAlign w:val="baseline"/>
                      <w:lang w:val="en-US" w:eastAsia="zh-CN"/>
                    </w:rPr>
                    <w:t>（%）</w:t>
                  </w:r>
                </w:p>
              </w:tc>
            </w:tr>
            <w:tr w14:paraId="668C38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914" w:type="dxa"/>
                  <w:tcBorders>
                    <w:tl2br w:val="nil"/>
                    <w:tr2bl w:val="nil"/>
                  </w:tcBorders>
                  <w:vAlign w:val="center"/>
                </w:tcPr>
                <w:p w14:paraId="0AC0192B">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物料搅拌</w:t>
                  </w:r>
                </w:p>
              </w:tc>
              <w:tc>
                <w:tcPr>
                  <w:tcW w:w="915" w:type="dxa"/>
                  <w:tcBorders>
                    <w:tl2br w:val="nil"/>
                    <w:tr2bl w:val="nil"/>
                  </w:tcBorders>
                  <w:vAlign w:val="center"/>
                </w:tcPr>
                <w:p w14:paraId="77EC263C">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各种水泥制品</w:t>
                  </w:r>
                </w:p>
              </w:tc>
              <w:tc>
                <w:tcPr>
                  <w:tcW w:w="915" w:type="dxa"/>
                  <w:tcBorders>
                    <w:tl2br w:val="nil"/>
                    <w:tr2bl w:val="nil"/>
                  </w:tcBorders>
                  <w:vAlign w:val="center"/>
                </w:tcPr>
                <w:p w14:paraId="77C417FE">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水泥、砂子、石子等</w:t>
                  </w:r>
                </w:p>
              </w:tc>
              <w:tc>
                <w:tcPr>
                  <w:tcW w:w="783" w:type="dxa"/>
                  <w:tcBorders>
                    <w:tl2br w:val="nil"/>
                    <w:tr2bl w:val="nil"/>
                  </w:tcBorders>
                  <w:vAlign w:val="center"/>
                </w:tcPr>
                <w:p w14:paraId="31234D82">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所有规模</w:t>
                  </w:r>
                </w:p>
              </w:tc>
              <w:tc>
                <w:tcPr>
                  <w:tcW w:w="825" w:type="dxa"/>
                  <w:tcBorders>
                    <w:tl2br w:val="nil"/>
                    <w:tr2bl w:val="nil"/>
                  </w:tcBorders>
                  <w:vAlign w:val="center"/>
                </w:tcPr>
                <w:p w14:paraId="2A762597">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颗粒物</w:t>
                  </w:r>
                </w:p>
              </w:tc>
              <w:tc>
                <w:tcPr>
                  <w:tcW w:w="900" w:type="dxa"/>
                  <w:tcBorders>
                    <w:tl2br w:val="nil"/>
                    <w:tr2bl w:val="nil"/>
                  </w:tcBorders>
                  <w:vAlign w:val="center"/>
                </w:tcPr>
                <w:p w14:paraId="2BDCF461">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千克/吨-产品</w:t>
                  </w:r>
                </w:p>
              </w:tc>
              <w:tc>
                <w:tcPr>
                  <w:tcW w:w="765" w:type="dxa"/>
                  <w:tcBorders>
                    <w:tl2br w:val="nil"/>
                    <w:tr2bl w:val="nil"/>
                  </w:tcBorders>
                  <w:vAlign w:val="center"/>
                </w:tcPr>
                <w:p w14:paraId="6A343734">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0.523</w:t>
                  </w:r>
                </w:p>
              </w:tc>
              <w:tc>
                <w:tcPr>
                  <w:tcW w:w="1020" w:type="dxa"/>
                  <w:tcBorders>
                    <w:tl2br w:val="nil"/>
                    <w:tr2bl w:val="nil"/>
                  </w:tcBorders>
                  <w:vAlign w:val="center"/>
                </w:tcPr>
                <w:p w14:paraId="7FDFFC6C">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袋式除尘</w:t>
                  </w:r>
                </w:p>
              </w:tc>
              <w:tc>
                <w:tcPr>
                  <w:tcW w:w="1197" w:type="dxa"/>
                  <w:tcBorders>
                    <w:tl2br w:val="nil"/>
                    <w:tr2bl w:val="nil"/>
                  </w:tcBorders>
                  <w:vAlign w:val="center"/>
                </w:tcPr>
                <w:p w14:paraId="7AE236CF">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99.9</w:t>
                  </w:r>
                </w:p>
              </w:tc>
            </w:tr>
          </w:tbl>
          <w:p w14:paraId="39A350E7">
            <w:pPr>
              <w:pStyle w:val="15"/>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本项目年生产</w:t>
            </w:r>
            <w:r>
              <w:rPr>
                <w:rFonts w:hint="eastAsia" w:cs="Times New Roman"/>
                <w:color w:val="auto"/>
                <w:sz w:val="24"/>
                <w:szCs w:val="24"/>
                <w:highlight w:val="none"/>
                <w:lang w:val="en-US" w:eastAsia="zh-CN"/>
              </w:rPr>
              <w:t>25</w:t>
            </w:r>
            <w:r>
              <w:rPr>
                <w:rFonts w:hint="eastAsia" w:ascii="Times New Roman" w:hAnsi="Times New Roman" w:cs="Times New Roman"/>
                <w:color w:val="auto"/>
                <w:sz w:val="24"/>
                <w:szCs w:val="24"/>
                <w:highlight w:val="none"/>
                <w:lang w:val="en-US" w:eastAsia="zh-CN"/>
              </w:rPr>
              <w:t>万</w:t>
            </w:r>
            <w:r>
              <w:rPr>
                <w:rFonts w:hint="eastAsia" w:cs="Times New Roman"/>
                <w:color w:val="auto"/>
                <w:sz w:val="24"/>
                <w:szCs w:val="24"/>
                <w:highlight w:val="none"/>
                <w:lang w:val="en-US" w:eastAsia="zh-CN"/>
              </w:rPr>
              <w:t>t/</w:t>
            </w:r>
            <w:r>
              <w:rPr>
                <w:rFonts w:hint="eastAsia" w:ascii="Times New Roman" w:hAnsi="Times New Roman" w:cs="Times New Roman"/>
                <w:color w:val="auto"/>
                <w:sz w:val="24"/>
                <w:szCs w:val="24"/>
                <w:highlight w:val="none"/>
                <w:lang w:val="en-US" w:eastAsia="zh-CN"/>
              </w:rPr>
              <w:t>a</w:t>
            </w:r>
            <w:r>
              <w:rPr>
                <w:rFonts w:hint="eastAsia" w:cs="Times New Roman"/>
                <w:color w:val="auto"/>
                <w:sz w:val="24"/>
                <w:szCs w:val="24"/>
                <w:highlight w:val="none"/>
                <w:lang w:val="en-US" w:eastAsia="zh-CN"/>
              </w:rPr>
              <w:t>干混砂浆，</w:t>
            </w:r>
            <w:r>
              <w:rPr>
                <w:rFonts w:hint="eastAsia" w:ascii="Times New Roman" w:hAnsi="Times New Roman" w:cs="Times New Roman"/>
                <w:color w:val="auto"/>
                <w:sz w:val="24"/>
                <w:szCs w:val="24"/>
                <w:highlight w:val="none"/>
                <w:lang w:val="en-US" w:eastAsia="zh-CN"/>
              </w:rPr>
              <w:t>粉尘产生量为</w:t>
            </w:r>
            <w:r>
              <w:rPr>
                <w:rFonts w:hint="eastAsia" w:cs="Times New Roman"/>
                <w:color w:val="auto"/>
                <w:sz w:val="24"/>
                <w:szCs w:val="24"/>
                <w:highlight w:val="none"/>
                <w:lang w:val="en-US" w:eastAsia="zh-CN"/>
              </w:rPr>
              <w:t>130.75</w:t>
            </w:r>
            <w:r>
              <w:rPr>
                <w:rFonts w:hint="eastAsia" w:ascii="Times New Roman" w:hAnsi="Times New Roman" w:cs="Times New Roman"/>
                <w:color w:val="auto"/>
                <w:sz w:val="24"/>
                <w:szCs w:val="24"/>
                <w:highlight w:val="none"/>
                <w:lang w:val="en-US" w:eastAsia="zh-CN"/>
              </w:rPr>
              <w:t>ta，每台混合机上配置了独立的</w:t>
            </w:r>
            <w:r>
              <w:rPr>
                <w:rFonts w:hint="eastAsia" w:cs="Times New Roman"/>
                <w:color w:val="auto"/>
                <w:sz w:val="24"/>
                <w:szCs w:val="24"/>
                <w:highlight w:val="none"/>
                <w:lang w:val="en-US" w:eastAsia="zh-CN"/>
              </w:rPr>
              <w:t>脉冲式布袋除尘器</w:t>
            </w:r>
            <w:r>
              <w:rPr>
                <w:rFonts w:hint="eastAsia" w:ascii="Times New Roman" w:hAnsi="Times New Roman" w:cs="Times New Roman"/>
                <w:color w:val="auto"/>
                <w:sz w:val="24"/>
                <w:szCs w:val="24"/>
                <w:highlight w:val="none"/>
                <w:lang w:val="en-US" w:eastAsia="zh-CN"/>
              </w:rPr>
              <w:t>，采用密闭形式，除尘器紧密安装在设备顶部，含尘废气经袋式除尘器处理后排放在车间内，以无组织排放计，本次评价将粉尘按无组织进行核算，除尘效率按99.</w:t>
            </w:r>
            <w:r>
              <w:rPr>
                <w:rFonts w:hint="eastAsia" w:cs="Times New Roman"/>
                <w:color w:val="auto"/>
                <w:sz w:val="24"/>
                <w:szCs w:val="24"/>
                <w:highlight w:val="none"/>
                <w:lang w:val="en-US" w:eastAsia="zh-CN"/>
              </w:rPr>
              <w:t>9</w:t>
            </w:r>
            <w:r>
              <w:rPr>
                <w:rFonts w:hint="eastAsia" w:ascii="Times New Roman" w:hAnsi="Times New Roman" w:cs="Times New Roman"/>
                <w:color w:val="auto"/>
                <w:sz w:val="24"/>
                <w:szCs w:val="24"/>
                <w:highlight w:val="none"/>
                <w:lang w:val="en-US" w:eastAsia="zh-CN"/>
              </w:rPr>
              <w:t>%，则粉尘排放量为</w:t>
            </w:r>
            <w:r>
              <w:rPr>
                <w:rFonts w:hint="eastAsia" w:cs="Times New Roman"/>
                <w:color w:val="auto"/>
                <w:sz w:val="24"/>
                <w:szCs w:val="24"/>
                <w:highlight w:val="none"/>
                <w:lang w:val="en-US" w:eastAsia="zh-CN"/>
              </w:rPr>
              <w:t>0.13</w:t>
            </w:r>
            <w:r>
              <w:rPr>
                <w:rFonts w:hint="eastAsia" w:ascii="Times New Roman" w:hAnsi="Times New Roman" w:cs="Times New Roman"/>
                <w:color w:val="auto"/>
                <w:sz w:val="24"/>
                <w:szCs w:val="24"/>
                <w:highlight w:val="none"/>
                <w:lang w:val="en-US" w:eastAsia="zh-CN"/>
              </w:rPr>
              <w:t>t/a。</w:t>
            </w:r>
          </w:p>
          <w:p w14:paraId="10A6768B">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（5）投料粉尘</w:t>
            </w:r>
          </w:p>
          <w:p w14:paraId="5E7D0551">
            <w:pPr>
              <w:pStyle w:val="24"/>
              <w:keepNext w:val="0"/>
              <w:keepLines w:val="0"/>
              <w:pageBreakBefore w:val="0"/>
              <w:widowControl w:val="0"/>
              <w:kinsoku/>
              <w:wordWrap/>
              <w:overflowPunct/>
              <w:topLinePunct w:val="0"/>
              <w:autoSpaceDE/>
              <w:autoSpaceDN/>
              <w:bidi w:val="0"/>
              <w:adjustRightInd/>
              <w:snapToGrid w:val="0"/>
              <w:spacing w:before="0" w:beforeLines="0" w:after="0" w:afterLines="0"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项目</w:t>
            </w:r>
            <w:r>
              <w:rPr>
                <w:rFonts w:hint="eastAsia" w:ascii="Times New Roman" w:hAnsi="Times New Roman" w:cs="Times New Roman"/>
                <w:color w:val="auto"/>
                <w:sz w:val="24"/>
                <w:szCs w:val="24"/>
                <w:highlight w:val="none"/>
                <w:lang w:val="en-US" w:eastAsia="zh-CN"/>
              </w:rPr>
              <w:t>外加剂</w:t>
            </w:r>
            <w:r>
              <w:rPr>
                <w:rFonts w:hint="eastAsia" w:cs="Times New Roman"/>
                <w:color w:val="auto"/>
                <w:sz w:val="24"/>
                <w:szCs w:val="24"/>
                <w:highlight w:val="none"/>
                <w:lang w:val="en-US" w:eastAsia="zh-CN"/>
              </w:rPr>
              <w:t>通过</w:t>
            </w:r>
            <w:r>
              <w:rPr>
                <w:rFonts w:hint="eastAsia" w:ascii="Times New Roman" w:hAnsi="Times New Roman" w:cs="Times New Roman"/>
                <w:color w:val="auto"/>
                <w:sz w:val="24"/>
                <w:szCs w:val="24"/>
                <w:highlight w:val="none"/>
                <w:lang w:val="en-US" w:eastAsia="zh-CN"/>
              </w:rPr>
              <w:t>人工投料，投料过程</w:t>
            </w:r>
            <w:r>
              <w:rPr>
                <w:rFonts w:hint="eastAsia" w:cs="Times New Roman"/>
                <w:color w:val="auto"/>
                <w:sz w:val="24"/>
                <w:szCs w:val="24"/>
                <w:highlight w:val="none"/>
                <w:lang w:val="en-US" w:eastAsia="zh-CN"/>
              </w:rPr>
              <w:t>中</w:t>
            </w:r>
            <w:r>
              <w:rPr>
                <w:rFonts w:hint="eastAsia" w:ascii="Times New Roman" w:hAnsi="Times New Roman" w:cs="Times New Roman"/>
                <w:color w:val="auto"/>
                <w:sz w:val="24"/>
                <w:szCs w:val="24"/>
                <w:highlight w:val="none"/>
                <w:lang w:val="en-US" w:eastAsia="zh-CN"/>
              </w:rPr>
              <w:t>产生少量粉尘，主要为颗粒物。员工将袋口朝下放入</w:t>
            </w:r>
            <w:r>
              <w:rPr>
                <w:rFonts w:hint="eastAsia" w:cs="Times New Roman"/>
                <w:color w:val="auto"/>
                <w:sz w:val="24"/>
                <w:szCs w:val="24"/>
                <w:highlight w:val="none"/>
                <w:lang w:val="en-US" w:eastAsia="zh-CN"/>
              </w:rPr>
              <w:t>袋斗</w:t>
            </w:r>
            <w:r>
              <w:rPr>
                <w:rFonts w:hint="eastAsia" w:ascii="Times New Roman" w:hAnsi="Times New Roman" w:cs="Times New Roman"/>
                <w:color w:val="auto"/>
                <w:sz w:val="24"/>
                <w:szCs w:val="24"/>
                <w:highlight w:val="none"/>
                <w:lang w:val="en-US" w:eastAsia="zh-CN"/>
              </w:rPr>
              <w:t>，外加剂从料斗口进入搅拌设备。参考《逸散性工业粉尘控制技术》</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中国科学出版社</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第332页“表 22-1 混凝土分批搅拌厂逸散尘的排放因子”中“装水泥、砂和粒料入搅拌机</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集中搅拌厂</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0.02kg/t</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装料</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”。本项目年使用外加剂</w:t>
            </w:r>
            <w:r>
              <w:rPr>
                <w:rFonts w:hint="eastAsia" w:cs="Times New Roman"/>
                <w:color w:val="auto"/>
                <w:sz w:val="24"/>
                <w:szCs w:val="24"/>
                <w:highlight w:val="none"/>
                <w:lang w:val="en-US" w:eastAsia="zh-CN"/>
              </w:rPr>
              <w:t>65</w:t>
            </w:r>
            <w:r>
              <w:rPr>
                <w:rFonts w:hint="eastAsia" w:ascii="Times New Roman" w:hAnsi="Times New Roman" w:cs="Times New Roman"/>
                <w:color w:val="auto"/>
                <w:sz w:val="24"/>
                <w:szCs w:val="24"/>
                <w:highlight w:val="none"/>
                <w:lang w:val="en-US" w:eastAsia="zh-CN"/>
              </w:rPr>
              <w:t>t/a，则投料粉尘产生量约为</w:t>
            </w:r>
            <w:r>
              <w:rPr>
                <w:rFonts w:hint="eastAsia" w:cs="Times New Roman"/>
                <w:color w:val="auto"/>
                <w:sz w:val="24"/>
                <w:szCs w:val="24"/>
                <w:highlight w:val="none"/>
                <w:lang w:val="en-US" w:eastAsia="zh-CN"/>
              </w:rPr>
              <w:t>0.0013</w:t>
            </w:r>
            <w:r>
              <w:rPr>
                <w:rFonts w:hint="eastAsia" w:ascii="Times New Roman" w:hAnsi="Times New Roman" w:cs="Times New Roman"/>
                <w:color w:val="auto"/>
                <w:sz w:val="24"/>
                <w:szCs w:val="24"/>
                <w:highlight w:val="none"/>
                <w:lang w:val="en-US" w:eastAsia="zh-CN"/>
              </w:rPr>
              <w:t>t</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a。</w:t>
            </w:r>
          </w:p>
          <w:p w14:paraId="0F53E3FF">
            <w:pPr>
              <w:pStyle w:val="24"/>
              <w:keepNext w:val="0"/>
              <w:keepLines w:val="0"/>
              <w:pageBreakBefore w:val="0"/>
              <w:widowControl w:val="0"/>
              <w:kinsoku/>
              <w:wordWrap/>
              <w:overflowPunct/>
              <w:topLinePunct w:val="0"/>
              <w:autoSpaceDE/>
              <w:autoSpaceDN/>
              <w:bidi w:val="0"/>
              <w:adjustRightInd/>
              <w:snapToGrid w:val="0"/>
              <w:spacing w:before="0" w:beforeLines="0" w:after="0" w:afterLines="0"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建设单位拟在2个投料口上方各设置1个集气罩，粉尘经集气罩收集后分别引至</w:t>
            </w:r>
            <w:r>
              <w:rPr>
                <w:rFonts w:hint="eastAsia"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套</w:t>
            </w:r>
            <w:r>
              <w:rPr>
                <w:rFonts w:hint="eastAsia" w:cs="Times New Roman"/>
                <w:color w:val="auto"/>
                <w:sz w:val="24"/>
                <w:szCs w:val="24"/>
                <w:highlight w:val="none"/>
                <w:lang w:val="en-US" w:eastAsia="zh-CN"/>
              </w:rPr>
              <w:t>脉冲式布袋除尘器</w:t>
            </w:r>
            <w:r>
              <w:rPr>
                <w:rFonts w:hint="eastAsia" w:ascii="Times New Roman" w:hAnsi="Times New Roman" w:cs="Times New Roman"/>
                <w:color w:val="auto"/>
                <w:sz w:val="24"/>
                <w:szCs w:val="24"/>
                <w:highlight w:val="none"/>
                <w:lang w:val="en-US" w:eastAsia="zh-CN"/>
              </w:rPr>
              <w:t>装置进行处理。尘器紧密安装在设备顶部，含尘废气经袋式除尘器处理后排放在车间内，以无组织排放计，本次评价将粉尘按无组织进行核算，除尘效率按</w:t>
            </w:r>
            <w:r>
              <w:rPr>
                <w:rFonts w:hint="eastAsia" w:cs="Times New Roman"/>
                <w:color w:val="auto"/>
                <w:sz w:val="24"/>
                <w:szCs w:val="24"/>
                <w:highlight w:val="none"/>
                <w:lang w:val="en-US" w:eastAsia="zh-CN"/>
              </w:rPr>
              <w:t>99.9</w:t>
            </w:r>
            <w:r>
              <w:rPr>
                <w:rFonts w:hint="eastAsia" w:ascii="Times New Roman" w:hAnsi="Times New Roman" w:cs="Times New Roman"/>
                <w:color w:val="auto"/>
                <w:sz w:val="24"/>
                <w:szCs w:val="24"/>
                <w:highlight w:val="none"/>
                <w:lang w:val="en-US" w:eastAsia="zh-CN"/>
              </w:rPr>
              <w:t>%，则粉尘排放量为</w:t>
            </w:r>
            <w:r>
              <w:rPr>
                <w:rFonts w:hint="eastAsia" w:cs="Times New Roman"/>
                <w:color w:val="auto"/>
                <w:sz w:val="24"/>
                <w:szCs w:val="24"/>
                <w:highlight w:val="none"/>
                <w:lang w:val="en-US" w:eastAsia="zh-CN"/>
              </w:rPr>
              <w:t>0.00001</w:t>
            </w:r>
            <w:r>
              <w:rPr>
                <w:rFonts w:hint="eastAsia" w:ascii="Times New Roman" w:hAnsi="Times New Roman" w:cs="Times New Roman"/>
                <w:color w:val="auto"/>
                <w:sz w:val="24"/>
                <w:szCs w:val="24"/>
                <w:highlight w:val="none"/>
                <w:lang w:val="en-US" w:eastAsia="zh-CN"/>
              </w:rPr>
              <w:t>t/a</w:t>
            </w:r>
          </w:p>
          <w:p w14:paraId="1868595B">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（6）</w:t>
            </w:r>
            <w:r>
              <w:rPr>
                <w:rFonts w:hint="eastAsia" w:cs="Times New Roman"/>
                <w:color w:val="auto"/>
                <w:sz w:val="24"/>
                <w:szCs w:val="24"/>
                <w:highlight w:val="none"/>
                <w:lang w:val="en-US" w:eastAsia="zh-CN"/>
              </w:rPr>
              <w:t>散装</w:t>
            </w:r>
            <w:r>
              <w:rPr>
                <w:rFonts w:hint="eastAsia" w:ascii="Times New Roman" w:hAnsi="Times New Roman" w:cs="Times New Roman"/>
                <w:color w:val="auto"/>
                <w:sz w:val="24"/>
                <w:szCs w:val="24"/>
                <w:highlight w:val="none"/>
                <w:lang w:val="en-US" w:eastAsia="zh-CN"/>
              </w:rPr>
              <w:t xml:space="preserve">粉尘 </w:t>
            </w:r>
          </w:p>
          <w:p w14:paraId="793C5A4D">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项目年产</w:t>
            </w:r>
            <w:r>
              <w:rPr>
                <w:rFonts w:hint="eastAsia" w:cs="Times New Roman"/>
                <w:color w:val="auto"/>
                <w:sz w:val="24"/>
                <w:szCs w:val="24"/>
                <w:highlight w:val="none"/>
                <w:lang w:val="en-US" w:eastAsia="zh-CN"/>
              </w:rPr>
              <w:t>25</w:t>
            </w:r>
            <w:r>
              <w:rPr>
                <w:rFonts w:hint="eastAsia" w:ascii="Times New Roman" w:hAnsi="Times New Roman" w:cs="Times New Roman"/>
                <w:color w:val="auto"/>
                <w:sz w:val="24"/>
                <w:szCs w:val="24"/>
                <w:highlight w:val="none"/>
                <w:lang w:val="en-US" w:eastAsia="zh-CN"/>
              </w:rPr>
              <w:t>万吨</w:t>
            </w:r>
            <w:r>
              <w:rPr>
                <w:rFonts w:hint="eastAsia" w:cs="Times New Roman"/>
                <w:color w:val="auto"/>
                <w:sz w:val="24"/>
                <w:szCs w:val="24"/>
                <w:highlight w:val="none"/>
                <w:lang w:val="en-US" w:eastAsia="zh-CN"/>
              </w:rPr>
              <w:t>普通</w:t>
            </w:r>
            <w:r>
              <w:rPr>
                <w:rFonts w:hint="eastAsia" w:ascii="Times New Roman" w:hAnsi="Times New Roman" w:cs="Times New Roman"/>
                <w:color w:val="auto"/>
                <w:sz w:val="24"/>
                <w:szCs w:val="24"/>
                <w:highlight w:val="none"/>
                <w:lang w:val="en-US" w:eastAsia="zh-CN"/>
              </w:rPr>
              <w:t>干混砂浆，分别采用袋装-</w:t>
            </w:r>
            <w:r>
              <w:rPr>
                <w:rFonts w:hint="eastAsia" w:cs="Times New Roman"/>
                <w:color w:val="auto"/>
                <w:sz w:val="24"/>
                <w:szCs w:val="24"/>
                <w:highlight w:val="none"/>
                <w:lang w:val="en-US" w:eastAsia="zh-CN"/>
              </w:rPr>
              <w:t>脉冲</w:t>
            </w:r>
            <w:r>
              <w:rPr>
                <w:rFonts w:hint="eastAsia" w:ascii="Times New Roman" w:hAnsi="Times New Roman" w:cs="Times New Roman"/>
                <w:color w:val="auto"/>
                <w:sz w:val="24"/>
                <w:szCs w:val="24"/>
                <w:highlight w:val="none"/>
                <w:lang w:val="en-US" w:eastAsia="zh-CN"/>
              </w:rPr>
              <w:t>除尘系统处理和散装-</w:t>
            </w:r>
            <w:r>
              <w:rPr>
                <w:rFonts w:hint="eastAsia" w:cs="Times New Roman"/>
                <w:color w:val="auto"/>
                <w:sz w:val="24"/>
                <w:szCs w:val="24"/>
                <w:highlight w:val="none"/>
                <w:lang w:val="en-US" w:eastAsia="zh-CN"/>
              </w:rPr>
              <w:t>脉冲</w:t>
            </w:r>
            <w:r>
              <w:rPr>
                <w:rFonts w:hint="eastAsia" w:ascii="Times New Roman" w:hAnsi="Times New Roman" w:cs="Times New Roman"/>
                <w:color w:val="auto"/>
                <w:sz w:val="24"/>
                <w:szCs w:val="24"/>
                <w:highlight w:val="none"/>
                <w:lang w:val="en-US" w:eastAsia="zh-CN"/>
              </w:rPr>
              <w:t>除尘系统处理包装废气，含尘废气经袋式除尘器处理后排放在车间内</w:t>
            </w:r>
            <w:r>
              <w:rPr>
                <w:rFonts w:hint="eastAsia" w:cs="Times New Roman"/>
                <w:color w:val="auto"/>
                <w:sz w:val="24"/>
                <w:szCs w:val="24"/>
                <w:highlight w:val="none"/>
                <w:lang w:val="en-US" w:eastAsia="zh-CN"/>
              </w:rPr>
              <w:t>，袋装及散装比例按照2:1计算，</w:t>
            </w:r>
            <w:r>
              <w:rPr>
                <w:rFonts w:hint="eastAsia" w:ascii="Times New Roman" w:hAnsi="Times New Roman" w:cs="Times New Roman"/>
                <w:color w:val="auto"/>
                <w:sz w:val="24"/>
                <w:szCs w:val="24"/>
                <w:highlight w:val="none"/>
                <w:lang w:val="en-US" w:eastAsia="zh-CN"/>
              </w:rPr>
              <w:t>粉尘通过负压落料口废气收集管收集。</w:t>
            </w:r>
          </w:p>
          <w:p w14:paraId="49700E4C">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袋装粉尘参照《逸散性工业粉尘控制技术手册》中“第十三章水泥厂”中表13-2中水泥装袋，粉尘产生系数为0.005kg/t（装袋），袋装粉尘产生量为</w:t>
            </w:r>
            <w:r>
              <w:rPr>
                <w:rFonts w:hint="eastAsia" w:cs="Times New Roman"/>
                <w:color w:val="auto"/>
                <w:sz w:val="24"/>
                <w:szCs w:val="24"/>
                <w:highlight w:val="none"/>
                <w:lang w:val="en-US" w:eastAsia="zh-CN"/>
              </w:rPr>
              <w:t>0.85</w:t>
            </w:r>
            <w:r>
              <w:rPr>
                <w:rFonts w:hint="eastAsia" w:ascii="Times New Roman" w:hAnsi="Times New Roman" w:cs="Times New Roman"/>
                <w:color w:val="auto"/>
                <w:sz w:val="24"/>
                <w:szCs w:val="24"/>
                <w:highlight w:val="none"/>
                <w:lang w:val="en-US" w:eastAsia="zh-CN"/>
              </w:rPr>
              <w:t>t/a。</w:t>
            </w:r>
          </w:p>
          <w:p w14:paraId="3A2735DE">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散装粉尘参照《逸散性工业粉尘控制技术手册》中“第十三章水泥厂”中表13-2中水泥装料，粉尘产生系数为0.118kg/t（装料），散装粉尘产生量</w:t>
            </w:r>
            <w:r>
              <w:rPr>
                <w:rFonts w:hint="eastAsia" w:cs="Times New Roman"/>
                <w:color w:val="auto"/>
                <w:sz w:val="24"/>
                <w:szCs w:val="24"/>
                <w:highlight w:val="none"/>
                <w:lang w:val="en-US" w:eastAsia="zh-CN"/>
              </w:rPr>
              <w:t>9.44</w:t>
            </w:r>
            <w:r>
              <w:rPr>
                <w:rFonts w:hint="eastAsia" w:ascii="Times New Roman" w:hAnsi="Times New Roman" w:cs="Times New Roman"/>
                <w:color w:val="auto"/>
                <w:sz w:val="24"/>
                <w:szCs w:val="24"/>
                <w:highlight w:val="none"/>
                <w:lang w:val="en-US" w:eastAsia="zh-CN"/>
              </w:rPr>
              <w:t>t/a。</w:t>
            </w:r>
          </w:p>
          <w:p w14:paraId="28A94144">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根据除尘器设计参数，除尘效率可达99.</w:t>
            </w:r>
            <w:r>
              <w:rPr>
                <w:rFonts w:hint="eastAsia" w:cs="Times New Roman"/>
                <w:color w:val="auto"/>
                <w:sz w:val="24"/>
                <w:szCs w:val="24"/>
                <w:highlight w:val="none"/>
                <w:lang w:val="en-US" w:eastAsia="zh-CN"/>
              </w:rPr>
              <w:t>9</w:t>
            </w:r>
            <w:r>
              <w:rPr>
                <w:rFonts w:hint="eastAsia" w:ascii="Times New Roman" w:hAnsi="Times New Roman" w:cs="Times New Roman"/>
                <w:color w:val="auto"/>
                <w:sz w:val="24"/>
                <w:szCs w:val="24"/>
                <w:highlight w:val="none"/>
                <w:lang w:val="en-US" w:eastAsia="zh-CN"/>
              </w:rPr>
              <w:t>%，则袋装无组织粉尘排放量约</w:t>
            </w:r>
            <w:r>
              <w:rPr>
                <w:rFonts w:hint="eastAsia" w:cs="Times New Roman"/>
                <w:color w:val="auto"/>
                <w:sz w:val="24"/>
                <w:szCs w:val="24"/>
                <w:highlight w:val="none"/>
                <w:lang w:val="en-US" w:eastAsia="zh-CN"/>
              </w:rPr>
              <w:t>0.00085</w:t>
            </w:r>
            <w:r>
              <w:rPr>
                <w:rFonts w:hint="eastAsia" w:ascii="Times New Roman" w:hAnsi="Times New Roman" w:cs="Times New Roman"/>
                <w:color w:val="auto"/>
                <w:sz w:val="24"/>
                <w:szCs w:val="24"/>
                <w:highlight w:val="none"/>
                <w:lang w:val="en-US" w:eastAsia="zh-CN"/>
              </w:rPr>
              <w:t>t/a，散装无组织粉尘排放量约</w:t>
            </w:r>
            <w:r>
              <w:rPr>
                <w:rFonts w:hint="eastAsia" w:cs="Times New Roman"/>
                <w:color w:val="auto"/>
                <w:sz w:val="24"/>
                <w:szCs w:val="24"/>
                <w:highlight w:val="none"/>
                <w:lang w:val="en-US" w:eastAsia="zh-CN"/>
              </w:rPr>
              <w:t>0.0094</w:t>
            </w:r>
            <w:r>
              <w:rPr>
                <w:rFonts w:hint="eastAsia" w:ascii="Times New Roman" w:hAnsi="Times New Roman" w:cs="Times New Roman"/>
                <w:color w:val="auto"/>
                <w:sz w:val="24"/>
                <w:szCs w:val="24"/>
                <w:highlight w:val="none"/>
                <w:lang w:val="en-US" w:eastAsia="zh-CN"/>
              </w:rPr>
              <w:t>t/a。</w:t>
            </w:r>
          </w:p>
          <w:p w14:paraId="193A6929">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其散装粉尘收集方式示意图</w:t>
            </w:r>
            <w:r>
              <w:rPr>
                <w:rFonts w:hint="eastAsia" w:cs="Times New Roman"/>
                <w:color w:val="auto"/>
                <w:sz w:val="24"/>
                <w:szCs w:val="24"/>
                <w:highlight w:val="none"/>
                <w:lang w:val="en-US" w:eastAsia="zh-CN"/>
              </w:rPr>
              <w:t>如</w:t>
            </w:r>
            <w:r>
              <w:rPr>
                <w:rFonts w:hint="eastAsia" w:ascii="Times New Roman" w:hAnsi="Times New Roman" w:cs="Times New Roman"/>
                <w:color w:val="auto"/>
                <w:sz w:val="24"/>
                <w:szCs w:val="24"/>
                <w:highlight w:val="none"/>
                <w:lang w:val="en-US" w:eastAsia="zh-CN"/>
              </w:rPr>
              <w:t>下图4.3-1：</w:t>
            </w:r>
          </w:p>
          <w:p w14:paraId="415AFCE1">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drawing>
                <wp:inline distT="0" distB="0" distL="114300" distR="114300">
                  <wp:extent cx="3485515" cy="3502025"/>
                  <wp:effectExtent l="0" t="0" r="635" b="3175"/>
                  <wp:docPr id="44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 name="图片 15"/>
                          <pic:cNvPicPr>
                            <a:picLocks noChangeAspect="1"/>
                          </pic:cNvPicPr>
                        </pic:nvPicPr>
                        <pic:blipFill>
                          <a:blip r:embed="rId12"/>
                          <a:stretch>
                            <a:fillRect/>
                          </a:stretch>
                        </pic:blipFill>
                        <pic:spPr>
                          <a:xfrm>
                            <a:off x="0" y="0"/>
                            <a:ext cx="3485515" cy="3502025"/>
                          </a:xfrm>
                          <a:prstGeom prst="rect">
                            <a:avLst/>
                          </a:prstGeom>
                          <a:noFill/>
                          <a:ln>
                            <a:noFill/>
                          </a:ln>
                        </pic:spPr>
                      </pic:pic>
                    </a:graphicData>
                  </a:graphic>
                </wp:inline>
              </w:drawing>
            </w:r>
          </w:p>
          <w:p w14:paraId="7D36E63D">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图4.3-1散装粉尘收集方式</w:t>
            </w:r>
          </w:p>
          <w:p w14:paraId="5AE4D17E">
            <w:pPr>
              <w:pStyle w:val="35"/>
              <w:wordWrap w:val="0"/>
              <w:ind w:firstLine="482"/>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w:t>
            </w:r>
            <w:r>
              <w:rPr>
                <w:rFonts w:hint="eastAsia" w:cs="Times New Roman"/>
                <w:b w:val="0"/>
                <w:bCs/>
                <w:color w:val="auto"/>
                <w:highlight w:val="none"/>
                <w:lang w:val="en-US" w:eastAsia="zh-CN"/>
              </w:rPr>
              <w:t>7</w:t>
            </w:r>
            <w:r>
              <w:rPr>
                <w:rFonts w:hint="eastAsia" w:ascii="Times New Roman" w:hAnsi="Times New Roman" w:eastAsia="宋体" w:cs="Times New Roman"/>
                <w:b w:val="0"/>
                <w:bCs/>
                <w:color w:val="auto"/>
                <w:highlight w:val="none"/>
                <w:lang w:val="en-US" w:eastAsia="zh-CN"/>
              </w:rPr>
              <w:t>）</w:t>
            </w:r>
            <w:r>
              <w:rPr>
                <w:rFonts w:hint="default" w:ascii="Times New Roman" w:hAnsi="Times New Roman" w:eastAsia="宋体" w:cs="Times New Roman"/>
                <w:b w:val="0"/>
                <w:bCs/>
                <w:color w:val="auto"/>
                <w:highlight w:val="none"/>
                <w:lang w:val="en-US" w:eastAsia="zh-CN"/>
              </w:rPr>
              <w:t>汽车运输扬尘</w:t>
            </w:r>
          </w:p>
          <w:p w14:paraId="09B69E6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本项目原辅料中</w:t>
            </w:r>
            <w:r>
              <w:rPr>
                <w:rFonts w:hint="default" w:ascii="Times New Roman" w:hAnsi="Times New Roman" w:eastAsia="宋体" w:cs="Times New Roman"/>
                <w:color w:val="auto"/>
                <w:kern w:val="0"/>
                <w:sz w:val="24"/>
                <w:szCs w:val="24"/>
                <w:highlight w:val="none"/>
                <w:lang w:val="en-US" w:eastAsia="zh-CN"/>
              </w:rPr>
              <w:t>粉煤灰、</w:t>
            </w:r>
            <w:r>
              <w:rPr>
                <w:rFonts w:hint="eastAsia" w:ascii="Times New Roman" w:hAnsi="Times New Roman" w:cs="Times New Roman"/>
                <w:color w:val="auto"/>
                <w:kern w:val="0"/>
                <w:sz w:val="24"/>
                <w:szCs w:val="24"/>
                <w:highlight w:val="none"/>
                <w:lang w:val="en-US" w:eastAsia="zh-CN"/>
              </w:rPr>
              <w:t>矿粉、外加剂</w:t>
            </w:r>
            <w:r>
              <w:rPr>
                <w:rFonts w:hint="eastAsia" w:cs="Times New Roman"/>
                <w:color w:val="auto"/>
                <w:kern w:val="0"/>
                <w:sz w:val="24"/>
                <w:szCs w:val="24"/>
                <w:highlight w:val="none"/>
                <w:lang w:val="en-US" w:eastAsia="zh-CN"/>
              </w:rPr>
              <w:t>等</w:t>
            </w:r>
            <w:r>
              <w:rPr>
                <w:rFonts w:hint="default" w:ascii="Times New Roman" w:hAnsi="Times New Roman" w:eastAsia="宋体" w:cs="Times New Roman"/>
                <w:color w:val="auto"/>
                <w:kern w:val="0"/>
                <w:sz w:val="24"/>
                <w:szCs w:val="24"/>
                <w:highlight w:val="none"/>
                <w:lang w:val="en-US" w:eastAsia="zh-CN"/>
              </w:rPr>
              <w:t>均采用汽车运输</w:t>
            </w:r>
            <w:r>
              <w:rPr>
                <w:rFonts w:hint="eastAsia" w:ascii="Times New Roman" w:hAnsi="Times New Roman" w:cs="Times New Roman"/>
                <w:color w:val="auto"/>
                <w:kern w:val="0"/>
                <w:sz w:val="24"/>
                <w:szCs w:val="24"/>
                <w:highlight w:val="none"/>
                <w:lang w:val="en-US" w:eastAsia="zh-CN"/>
              </w:rPr>
              <w:t>，市场外购</w:t>
            </w:r>
            <w:r>
              <w:rPr>
                <w:rFonts w:hint="default" w:ascii="Times New Roman" w:hAnsi="Times New Roman" w:eastAsia="宋体" w:cs="Times New Roman"/>
                <w:color w:val="auto"/>
                <w:kern w:val="0"/>
                <w:sz w:val="24"/>
                <w:szCs w:val="24"/>
                <w:highlight w:val="none"/>
                <w:lang w:val="en-US" w:eastAsia="zh-CN"/>
              </w:rPr>
              <w:t>，</w:t>
            </w:r>
            <w:r>
              <w:rPr>
                <w:rFonts w:hint="eastAsia" w:ascii="Times New Roman" w:hAnsi="Times New Roman" w:cs="Times New Roman"/>
                <w:color w:val="auto"/>
                <w:kern w:val="0"/>
                <w:sz w:val="24"/>
                <w:szCs w:val="24"/>
                <w:highlight w:val="none"/>
                <w:lang w:val="en-US" w:eastAsia="zh-CN"/>
              </w:rPr>
              <w:t>原辅料</w:t>
            </w:r>
            <w:r>
              <w:rPr>
                <w:rFonts w:hint="default" w:ascii="Times New Roman" w:hAnsi="Times New Roman" w:eastAsia="宋体" w:cs="Times New Roman"/>
                <w:color w:val="auto"/>
                <w:kern w:val="0"/>
                <w:sz w:val="24"/>
                <w:szCs w:val="24"/>
                <w:highlight w:val="none"/>
                <w:lang w:val="en-US" w:eastAsia="zh-CN"/>
              </w:rPr>
              <w:t>运输总量为</w:t>
            </w:r>
            <w:r>
              <w:rPr>
                <w:rFonts w:hint="eastAsia"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lang w:val="en-US" w:eastAsia="zh-CN"/>
              </w:rPr>
              <w:t>万吨。</w:t>
            </w:r>
            <w:r>
              <w:rPr>
                <w:rFonts w:hint="default" w:ascii="Times New Roman" w:hAnsi="Times New Roman" w:eastAsia="宋体" w:cs="Times New Roman"/>
                <w:color w:val="auto"/>
                <w:sz w:val="24"/>
                <w:highlight w:val="none"/>
                <w:lang w:val="en-US" w:eastAsia="zh-CN"/>
              </w:rPr>
              <w:t>年</w:t>
            </w:r>
            <w:r>
              <w:rPr>
                <w:rFonts w:hint="eastAsia" w:ascii="Times New Roman" w:hAnsi="Times New Roman" w:eastAsia="宋体" w:cs="Times New Roman"/>
                <w:color w:val="auto"/>
                <w:sz w:val="24"/>
                <w:highlight w:val="none"/>
                <w:lang w:val="en-US" w:eastAsia="zh-CN"/>
              </w:rPr>
              <w:t>产</w:t>
            </w:r>
            <w:r>
              <w:rPr>
                <w:rFonts w:hint="eastAsia" w:cs="Times New Roman"/>
                <w:color w:val="auto"/>
                <w:sz w:val="24"/>
                <w:highlight w:val="none"/>
                <w:lang w:val="en-US" w:eastAsia="zh-CN"/>
              </w:rPr>
              <w:t>干混砂浆</w:t>
            </w:r>
            <w:r>
              <w:rPr>
                <w:rFonts w:hint="eastAsia" w:ascii="Times New Roman" w:hAnsi="Times New Roman" w:eastAsia="宋体" w:cs="Times New Roman"/>
                <w:color w:val="auto"/>
                <w:sz w:val="24"/>
                <w:highlight w:val="none"/>
                <w:lang w:val="en-US" w:eastAsia="zh-CN"/>
              </w:rPr>
              <w:t>土</w:t>
            </w:r>
            <w:r>
              <w:rPr>
                <w:rFonts w:hint="eastAsia" w:cs="Times New Roman"/>
                <w:color w:val="auto"/>
                <w:sz w:val="24"/>
                <w:highlight w:val="none"/>
                <w:lang w:val="en-US" w:eastAsia="zh-CN"/>
              </w:rPr>
              <w:t>25</w:t>
            </w:r>
            <w:r>
              <w:rPr>
                <w:rFonts w:hint="default" w:ascii="Times New Roman" w:hAnsi="Times New Roman" w:eastAsia="宋体" w:cs="Times New Roman"/>
                <w:color w:val="auto"/>
                <w:sz w:val="24"/>
                <w:highlight w:val="none"/>
                <w:lang w:val="en-US" w:eastAsia="zh-CN"/>
              </w:rPr>
              <w:t>万</w:t>
            </w:r>
            <w:r>
              <w:rPr>
                <w:rFonts w:hint="eastAsia" w:cs="Times New Roman"/>
                <w:color w:val="auto"/>
                <w:sz w:val="24"/>
                <w:highlight w:val="none"/>
                <w:lang w:val="en-US" w:eastAsia="zh-CN"/>
              </w:rPr>
              <w:t>t</w:t>
            </w:r>
            <w:r>
              <w:rPr>
                <w:rFonts w:hint="default" w:ascii="Times New Roman" w:hAnsi="Times New Roman" w:eastAsia="宋体" w:cs="Times New Roman"/>
                <w:color w:val="auto"/>
                <w:sz w:val="24"/>
                <w:highlight w:val="none"/>
              </w:rPr>
              <w:t>/a</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kern w:val="0"/>
                <w:sz w:val="24"/>
                <w:szCs w:val="24"/>
                <w:highlight w:val="none"/>
                <w:lang w:val="en-US" w:eastAsia="zh-CN"/>
              </w:rPr>
              <w:t>成品运输则直接由厂区运往各个施工地点。汽车运输时由于碾压卷带产生的扬尘对道路两侧一定范围内会造成污染。扬尘量的大小与车流量、道路状况、气候条件、汽车行驶速度等均有关系。根据汽车道路扬尘扩散规律，当风速小于4m/s时，风速对载料汽车在道路上行驶时引起的扬尘量几乎无影响；当风速大于4m/s时，风速对汽车扬尘量</w:t>
            </w:r>
            <w:r>
              <w:rPr>
                <w:rFonts w:hint="eastAsia"/>
                <w:sz w:val="24"/>
                <w:szCs w:val="24"/>
                <w:lang w:val="en-US" w:eastAsia="zh-CN"/>
              </w:rPr>
              <w:t>有</w:t>
            </w:r>
            <w:r>
              <w:rPr>
                <w:rFonts w:hint="default" w:ascii="Times New Roman" w:hAnsi="Times New Roman" w:eastAsia="宋体" w:cs="Times New Roman"/>
                <w:color w:val="auto"/>
                <w:kern w:val="0"/>
                <w:sz w:val="24"/>
                <w:szCs w:val="24"/>
                <w:highlight w:val="none"/>
                <w:lang w:val="en-US" w:eastAsia="zh-CN"/>
              </w:rPr>
              <w:t>明显影响。在大气干燥和地面风速低于4m/s条件下，汽车行驶时引起的路面扬尘量与汽车速度成正比，与汽车质量成正比，与道路表面扬尘量成正比，其汽车扬尘量预测经验公式为：</w:t>
            </w:r>
          </w:p>
          <w:p w14:paraId="305A97B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object>
                <v:shape id="_x0000_i1025" o:spt="75" type="#_x0000_t75" style="height:39.65pt;width:160.15pt;" o:ole="t" filled="f" o:preferrelative="t" stroked="f" coordsize="21600,21600">
                  <v:path/>
                  <v:fill on="f" focussize="0,0"/>
                  <v:stroke on="f"/>
                  <v:imagedata r:id="rId14" o:title=""/>
                  <o:lock v:ext="edit" aspectratio="t"/>
                  <w10:wrap type="none"/>
                  <w10:anchorlock/>
                </v:shape>
                <o:OLEObject Type="Embed" ProgID="Equation.3" ShapeID="_x0000_i1025" DrawAspect="Content" ObjectID="_1468075725" r:id="rId13">
                  <o:LockedField>false</o:LockedField>
                </o:OLEObject>
              </w:object>
            </w:r>
          </w:p>
          <w:p w14:paraId="62A3968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object>
                <v:shape id="_x0000_i1026" o:spt="75" type="#_x0000_t75" style="height:36.9pt;width:83.25pt;" o:ole="t" filled="f" o:preferrelative="t" stroked="f" coordsize="21600,21600">
                  <v:path/>
                  <v:fill on="f" focussize="0,0"/>
                  <v:stroke on="f"/>
                  <v:imagedata r:id="rId16" o:title=""/>
                  <o:lock v:ext="edit" aspectratio="t"/>
                  <w10:wrap type="none"/>
                  <w10:anchorlock/>
                </v:shape>
                <o:OLEObject Type="Embed" ProgID="Equation.3" ShapeID="_x0000_i1026" DrawAspect="Content" ObjectID="_1468075726" r:id="rId15">
                  <o:LockedField>false</o:LockedField>
                </o:OLEObject>
              </w:object>
            </w:r>
          </w:p>
          <w:p w14:paraId="6AB5CF8E">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式中：Qy—交通运输起尘量，</w:t>
            </w:r>
            <w:r>
              <w:rPr>
                <w:rFonts w:hint="eastAsia" w:ascii="Times New Roman" w:hAnsi="Times New Roman"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rPr>
              <w:t>g/</w:t>
            </w:r>
            <w:r>
              <w:rPr>
                <w:rFonts w:hint="eastAsia" w:ascii="Times New Roman" w:hAnsi="Times New Roman"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rPr>
              <w:t>m·辆；</w:t>
            </w:r>
          </w:p>
          <w:p w14:paraId="786AA11C">
            <w:pPr>
              <w:keepNext w:val="0"/>
              <w:keepLines w:val="0"/>
              <w:pageBreakBefore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Qt—运输途中起尘量，</w:t>
            </w:r>
            <w:r>
              <w:rPr>
                <w:rFonts w:hint="eastAsia" w:ascii="Times New Roman" w:hAnsi="Times New Roman"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rPr>
              <w:t>g/a；</w:t>
            </w:r>
          </w:p>
          <w:p w14:paraId="2004502B">
            <w:pPr>
              <w:keepNext w:val="0"/>
              <w:keepLines w:val="0"/>
              <w:pageBreakBefore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V—车辆行驶速度，</w:t>
            </w:r>
            <w:r>
              <w:rPr>
                <w:rFonts w:hint="eastAsia" w:ascii="Times New Roman" w:hAnsi="Times New Roman"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rPr>
              <w:t>m/h（</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rPr>
              <w:t>m/h）；</w:t>
            </w:r>
          </w:p>
          <w:p w14:paraId="466782CE">
            <w:pPr>
              <w:keepNext w:val="0"/>
              <w:keepLines w:val="0"/>
              <w:pageBreakBefore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P—路面状况，以每平方米路面灰尘覆盖率表示，</w:t>
            </w:r>
            <w:r>
              <w:rPr>
                <w:rFonts w:hint="eastAsia" w:ascii="Times New Roman" w:hAnsi="Times New Roman"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p>
          <w:p w14:paraId="1D625E28">
            <w:pPr>
              <w:keepNext w:val="0"/>
              <w:keepLines w:val="0"/>
              <w:pageBreakBefore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M—车辆载重，t/辆；</w:t>
            </w:r>
          </w:p>
          <w:p w14:paraId="430AB546">
            <w:pPr>
              <w:keepNext w:val="0"/>
              <w:keepLines w:val="0"/>
              <w:pageBreakBefore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L—运输距离，</w:t>
            </w:r>
            <w:r>
              <w:rPr>
                <w:rFonts w:hint="eastAsia" w:ascii="Times New Roman" w:hAnsi="Times New Roman"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rPr>
              <w:t>m；</w:t>
            </w:r>
          </w:p>
          <w:p w14:paraId="7BD683F4">
            <w:pPr>
              <w:keepNext w:val="0"/>
              <w:keepLines w:val="0"/>
              <w:pageBreakBefore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Q—运输量，t/a</w:t>
            </w:r>
          </w:p>
          <w:p w14:paraId="38ACF82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本项目车辆在厂区行驶距离按</w:t>
            </w:r>
            <w:r>
              <w:rPr>
                <w:rFonts w:hint="eastAsia" w:ascii="Times New Roman" w:hAnsi="Times New Roman" w:cs="Times New Roman"/>
                <w:color w:val="auto"/>
                <w:kern w:val="0"/>
                <w:sz w:val="24"/>
                <w:szCs w:val="24"/>
                <w:highlight w:val="none"/>
                <w:lang w:val="en-US" w:eastAsia="zh-CN"/>
              </w:rPr>
              <w:t>100</w:t>
            </w:r>
            <w:r>
              <w:rPr>
                <w:rFonts w:hint="default" w:ascii="Times New Roman" w:hAnsi="Times New Roman" w:eastAsia="宋体" w:cs="Times New Roman"/>
                <w:color w:val="auto"/>
                <w:kern w:val="0"/>
                <w:sz w:val="24"/>
                <w:szCs w:val="24"/>
                <w:highlight w:val="none"/>
                <w:lang w:val="en-US" w:eastAsia="zh-CN"/>
              </w:rPr>
              <w:t>m计，平均每天发空车、重载各约</w:t>
            </w:r>
            <w:r>
              <w:rPr>
                <w:rFonts w:hint="eastAsia" w:cs="Times New Roman"/>
                <w:color w:val="auto"/>
                <w:kern w:val="0"/>
                <w:sz w:val="24"/>
                <w:szCs w:val="24"/>
                <w:highlight w:val="none"/>
                <w:lang w:val="en-US" w:eastAsia="zh-CN"/>
              </w:rPr>
              <w:t>45</w:t>
            </w:r>
            <w:r>
              <w:rPr>
                <w:rFonts w:hint="default" w:ascii="Times New Roman" w:hAnsi="Times New Roman" w:eastAsia="宋体" w:cs="Times New Roman"/>
                <w:color w:val="auto"/>
                <w:kern w:val="0"/>
                <w:sz w:val="24"/>
                <w:szCs w:val="24"/>
                <w:highlight w:val="none"/>
                <w:lang w:val="en-US" w:eastAsia="zh-CN"/>
              </w:rPr>
              <w:t>辆次</w:t>
            </w:r>
            <w:r>
              <w:rPr>
                <w:rFonts w:hint="eastAsia" w:cs="Times New Roman"/>
                <w:color w:val="auto"/>
                <w:kern w:val="0"/>
                <w:sz w:val="24"/>
                <w:szCs w:val="24"/>
                <w:highlight w:val="none"/>
                <w:lang w:val="en-US" w:eastAsia="zh-CN"/>
              </w:rPr>
              <w:t>，共计90次</w:t>
            </w:r>
            <w:r>
              <w:rPr>
                <w:rFonts w:hint="default" w:ascii="Times New Roman" w:hAnsi="Times New Roman" w:eastAsia="宋体" w:cs="Times New Roman"/>
                <w:color w:val="auto"/>
                <w:kern w:val="0"/>
                <w:sz w:val="24"/>
                <w:szCs w:val="24"/>
                <w:highlight w:val="none"/>
                <w:lang w:val="en-US" w:eastAsia="zh-CN"/>
              </w:rPr>
              <w:t>，重载</w:t>
            </w:r>
            <w:r>
              <w:rPr>
                <w:rFonts w:hint="eastAsia" w:ascii="Times New Roman" w:hAnsi="Times New Roman" w:cs="Times New Roman"/>
                <w:color w:val="auto"/>
                <w:kern w:val="0"/>
                <w:sz w:val="24"/>
                <w:szCs w:val="24"/>
                <w:highlight w:val="none"/>
                <w:lang w:val="en-US" w:eastAsia="zh-CN"/>
              </w:rPr>
              <w:t>平均</w:t>
            </w:r>
            <w:r>
              <w:rPr>
                <w:rFonts w:hint="default" w:ascii="Times New Roman" w:hAnsi="Times New Roman" w:eastAsia="宋体" w:cs="Times New Roman"/>
                <w:color w:val="auto"/>
                <w:kern w:val="0"/>
                <w:sz w:val="24"/>
                <w:szCs w:val="24"/>
                <w:highlight w:val="none"/>
                <w:lang w:val="en-US" w:eastAsia="zh-CN"/>
              </w:rPr>
              <w:t>约</w:t>
            </w:r>
            <w:r>
              <w:rPr>
                <w:rFonts w:hint="eastAsia" w:cs="Times New Roman"/>
                <w:color w:val="auto"/>
                <w:kern w:val="0"/>
                <w:sz w:val="24"/>
                <w:szCs w:val="24"/>
                <w:highlight w:val="none"/>
                <w:lang w:val="en-US" w:eastAsia="zh-CN"/>
              </w:rPr>
              <w:t>30</w:t>
            </w:r>
            <w:r>
              <w:rPr>
                <w:rFonts w:hint="default" w:ascii="Times New Roman" w:hAnsi="Times New Roman" w:eastAsia="宋体" w:cs="Times New Roman"/>
                <w:color w:val="auto"/>
                <w:kern w:val="0"/>
                <w:sz w:val="24"/>
                <w:szCs w:val="24"/>
                <w:highlight w:val="none"/>
                <w:lang w:val="en-US" w:eastAsia="zh-CN"/>
              </w:rPr>
              <w:t>吨，道路表面粉尘量按照硬化后不洒水时0.</w:t>
            </w:r>
            <w:r>
              <w:rPr>
                <w:rFonts w:hint="eastAsia" w:ascii="Times New Roman" w:hAnsi="Times New Roman" w:eastAsia="宋体" w:cs="Times New Roman"/>
                <w:color w:val="auto"/>
                <w:kern w:val="0"/>
                <w:sz w:val="24"/>
                <w:szCs w:val="24"/>
                <w:highlight w:val="none"/>
                <w:lang w:val="en-US" w:eastAsia="zh-CN"/>
              </w:rPr>
              <w:t>05</w:t>
            </w:r>
            <w:r>
              <w:rPr>
                <w:rFonts w:hint="default" w:ascii="Times New Roman" w:hAnsi="Times New Roman" w:eastAsia="宋体" w:cs="Times New Roman"/>
                <w:color w:val="auto"/>
                <w:kern w:val="0"/>
                <w:sz w:val="24"/>
                <w:szCs w:val="24"/>
                <w:highlight w:val="none"/>
                <w:lang w:val="en-US" w:eastAsia="zh-CN"/>
              </w:rPr>
              <w:t>kg/m</w:t>
            </w:r>
            <w:r>
              <w:rPr>
                <w:rFonts w:hint="default" w:ascii="Times New Roman" w:hAnsi="Times New Roman" w:eastAsia="宋体" w:cs="Times New Roman"/>
                <w:color w:val="auto"/>
                <w:kern w:val="0"/>
                <w:sz w:val="24"/>
                <w:szCs w:val="24"/>
                <w:highlight w:val="none"/>
                <w:vertAlign w:val="superscript"/>
                <w:lang w:val="en-US" w:eastAsia="zh-CN"/>
              </w:rPr>
              <w:t>2</w:t>
            </w:r>
            <w:r>
              <w:rPr>
                <w:rFonts w:hint="default" w:ascii="Times New Roman" w:hAnsi="Times New Roman" w:eastAsia="宋体" w:cs="Times New Roman"/>
                <w:color w:val="auto"/>
                <w:kern w:val="0"/>
                <w:sz w:val="24"/>
                <w:szCs w:val="24"/>
                <w:highlight w:val="none"/>
                <w:lang w:val="en-US" w:eastAsia="zh-CN"/>
              </w:rPr>
              <w:t>计，经计算，汽车在厂区内行驶过程产生的扬尘量为</w:t>
            </w:r>
            <w:r>
              <w:rPr>
                <w:rFonts w:hint="eastAsia" w:cs="Times New Roman"/>
                <w:color w:val="auto"/>
                <w:kern w:val="0"/>
                <w:sz w:val="24"/>
                <w:szCs w:val="24"/>
                <w:highlight w:val="none"/>
                <w:lang w:val="en-US" w:eastAsia="zh-CN"/>
              </w:rPr>
              <w:t>0.0747</w:t>
            </w:r>
            <w:r>
              <w:rPr>
                <w:rFonts w:hint="default" w:ascii="Times New Roman" w:hAnsi="Times New Roman" w:eastAsia="宋体" w:cs="Times New Roman"/>
                <w:color w:val="auto"/>
                <w:kern w:val="0"/>
                <w:sz w:val="24"/>
                <w:szCs w:val="24"/>
                <w:highlight w:val="none"/>
                <w:lang w:val="en-US" w:eastAsia="zh-CN"/>
              </w:rPr>
              <w:t>t/a。</w:t>
            </w:r>
          </w:p>
          <w:p w14:paraId="6E0C869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建设单位</w:t>
            </w:r>
            <w:r>
              <w:rPr>
                <w:rFonts w:hint="eastAsia" w:ascii="Times New Roman" w:hAnsi="Times New Roman" w:eastAsia="宋体" w:cs="Times New Roman"/>
                <w:b w:val="0"/>
                <w:bCs w:val="0"/>
                <w:color w:val="auto"/>
                <w:sz w:val="24"/>
                <w:highlight w:val="none"/>
                <w:lang w:val="en-US" w:eastAsia="zh-CN"/>
              </w:rPr>
              <w:t>在车辆运输过程中采取覆盖等封闭方式进行运输，</w:t>
            </w:r>
            <w:r>
              <w:rPr>
                <w:rFonts w:hint="default" w:ascii="Times New Roman" w:hAnsi="Times New Roman" w:eastAsia="宋体" w:cs="Times New Roman"/>
                <w:color w:val="auto"/>
                <w:kern w:val="0"/>
                <w:sz w:val="24"/>
                <w:szCs w:val="24"/>
                <w:highlight w:val="none"/>
                <w:lang w:val="en-US" w:eastAsia="zh-CN"/>
              </w:rPr>
              <w:t>对厂区</w:t>
            </w:r>
            <w:r>
              <w:rPr>
                <w:rFonts w:hint="eastAsia" w:ascii="Times New Roman" w:hAnsi="Times New Roman" w:cs="Times New Roman"/>
                <w:color w:val="auto"/>
                <w:kern w:val="0"/>
                <w:sz w:val="24"/>
                <w:szCs w:val="24"/>
                <w:highlight w:val="none"/>
                <w:lang w:val="en-US" w:eastAsia="zh-CN"/>
              </w:rPr>
              <w:t>所有</w:t>
            </w:r>
            <w:r>
              <w:rPr>
                <w:rFonts w:hint="default" w:ascii="Times New Roman" w:hAnsi="Times New Roman" w:eastAsia="宋体" w:cs="Times New Roman"/>
                <w:color w:val="auto"/>
                <w:kern w:val="0"/>
                <w:sz w:val="24"/>
                <w:szCs w:val="24"/>
                <w:highlight w:val="none"/>
                <w:lang w:val="en-US" w:eastAsia="zh-CN"/>
              </w:rPr>
              <w:t>道路进行硬化，</w:t>
            </w:r>
            <w:r>
              <w:rPr>
                <w:rFonts w:hint="eastAsia" w:ascii="Times New Roman" w:hAnsi="Times New Roman" w:eastAsia="宋体" w:cs="Times New Roman"/>
                <w:b w:val="0"/>
                <w:bCs w:val="0"/>
                <w:color w:val="auto"/>
                <w:sz w:val="24"/>
                <w:highlight w:val="none"/>
                <w:lang w:val="en-US" w:eastAsia="zh-CN"/>
              </w:rPr>
              <w:t>加大对地面的清扫和洒水频率，</w:t>
            </w:r>
            <w:r>
              <w:rPr>
                <w:rFonts w:hint="default" w:ascii="Times New Roman" w:hAnsi="Times New Roman" w:eastAsia="宋体" w:cs="Times New Roman"/>
                <w:b w:val="0"/>
                <w:bCs w:val="0"/>
                <w:color w:val="auto"/>
                <w:kern w:val="0"/>
                <w:sz w:val="24"/>
                <w:szCs w:val="24"/>
                <w:highlight w:val="none"/>
                <w:lang w:val="en-US" w:eastAsia="zh-CN"/>
              </w:rPr>
              <w:t>运输车辆在出厂时均在洗车</w:t>
            </w:r>
            <w:r>
              <w:rPr>
                <w:rFonts w:hint="eastAsia" w:ascii="Times New Roman" w:hAnsi="Times New Roman" w:cs="Times New Roman"/>
                <w:b w:val="0"/>
                <w:bCs w:val="0"/>
                <w:color w:val="auto"/>
                <w:kern w:val="0"/>
                <w:sz w:val="24"/>
                <w:szCs w:val="24"/>
                <w:highlight w:val="none"/>
                <w:lang w:val="en-US" w:eastAsia="zh-CN"/>
              </w:rPr>
              <w:t>平台进行冲洗</w:t>
            </w:r>
            <w:r>
              <w:rPr>
                <w:rFonts w:hint="default" w:ascii="Times New Roman" w:hAnsi="Times New Roman" w:eastAsia="宋体" w:cs="Times New Roman"/>
                <w:b w:val="0"/>
                <w:bCs w:val="0"/>
                <w:color w:val="auto"/>
                <w:kern w:val="0"/>
                <w:sz w:val="24"/>
                <w:szCs w:val="24"/>
                <w:highlight w:val="none"/>
                <w:lang w:val="en-US" w:eastAsia="zh-CN"/>
              </w:rPr>
              <w:t>，</w:t>
            </w:r>
            <w:r>
              <w:rPr>
                <w:rFonts w:hint="eastAsia" w:ascii="Times New Roman" w:hAnsi="Times New Roman" w:eastAsia="宋体" w:cs="Times New Roman"/>
                <w:b w:val="0"/>
                <w:bCs w:val="0"/>
                <w:color w:val="auto"/>
                <w:kern w:val="0"/>
                <w:sz w:val="24"/>
                <w:szCs w:val="24"/>
                <w:highlight w:val="none"/>
                <w:lang w:val="en-US" w:eastAsia="zh-CN"/>
              </w:rPr>
              <w:t>控制车速，</w:t>
            </w:r>
            <w:r>
              <w:rPr>
                <w:rFonts w:hint="default" w:ascii="Times New Roman" w:hAnsi="Times New Roman" w:eastAsia="宋体" w:cs="Times New Roman"/>
                <w:b w:val="0"/>
                <w:bCs w:val="0"/>
                <w:color w:val="auto"/>
                <w:kern w:val="0"/>
                <w:sz w:val="24"/>
                <w:szCs w:val="24"/>
                <w:highlight w:val="none"/>
                <w:lang w:val="en-US" w:eastAsia="zh-CN"/>
              </w:rPr>
              <w:t>采取</w:t>
            </w:r>
            <w:r>
              <w:rPr>
                <w:rFonts w:hint="eastAsia" w:ascii="Times New Roman" w:hAnsi="Times New Roman" w:cs="Times New Roman"/>
                <w:b w:val="0"/>
                <w:bCs w:val="0"/>
                <w:color w:val="auto"/>
                <w:kern w:val="0"/>
                <w:sz w:val="24"/>
                <w:szCs w:val="24"/>
                <w:highlight w:val="none"/>
                <w:lang w:val="en-US" w:eastAsia="zh-CN"/>
              </w:rPr>
              <w:t>以上</w:t>
            </w:r>
            <w:r>
              <w:rPr>
                <w:rFonts w:hint="default" w:ascii="Times New Roman" w:hAnsi="Times New Roman" w:eastAsia="宋体" w:cs="Times New Roman"/>
                <w:b w:val="0"/>
                <w:bCs w:val="0"/>
                <w:color w:val="auto"/>
                <w:kern w:val="0"/>
                <w:sz w:val="24"/>
                <w:szCs w:val="24"/>
                <w:highlight w:val="none"/>
                <w:lang w:val="en-US" w:eastAsia="zh-CN"/>
              </w:rPr>
              <w:t>降尘措施后，汽车动力起尘量会减少</w:t>
            </w:r>
            <w:r>
              <w:rPr>
                <w:rFonts w:hint="eastAsia" w:ascii="Times New Roman" w:hAnsi="Times New Roman" w:eastAsia="宋体" w:cs="Times New Roman"/>
                <w:b w:val="0"/>
                <w:bCs w:val="0"/>
                <w:color w:val="auto"/>
                <w:kern w:val="0"/>
                <w:sz w:val="24"/>
                <w:szCs w:val="24"/>
                <w:highlight w:val="none"/>
                <w:lang w:val="en-US" w:eastAsia="zh-CN"/>
              </w:rPr>
              <w:t>7</w:t>
            </w:r>
            <w:r>
              <w:rPr>
                <w:rFonts w:hint="default" w:ascii="Times New Roman" w:hAnsi="Times New Roman" w:eastAsia="宋体" w:cs="Times New Roman"/>
                <w:b w:val="0"/>
                <w:bCs w:val="0"/>
                <w:color w:val="auto"/>
                <w:kern w:val="0"/>
                <w:sz w:val="24"/>
                <w:szCs w:val="24"/>
                <w:highlight w:val="none"/>
                <w:lang w:val="en-US" w:eastAsia="zh-CN"/>
              </w:rPr>
              <w:t>0%，则项目汽车运输动力扬尘排放量</w:t>
            </w:r>
            <w:r>
              <w:rPr>
                <w:rFonts w:hint="eastAsia" w:cs="Times New Roman"/>
                <w:b w:val="0"/>
                <w:bCs w:val="0"/>
                <w:color w:val="auto"/>
                <w:kern w:val="0"/>
                <w:sz w:val="24"/>
                <w:szCs w:val="24"/>
                <w:highlight w:val="none"/>
                <w:lang w:val="en-US" w:eastAsia="zh-CN"/>
              </w:rPr>
              <w:t>为0.02241</w:t>
            </w:r>
            <w:r>
              <w:rPr>
                <w:rFonts w:hint="default" w:ascii="Times New Roman" w:hAnsi="Times New Roman" w:eastAsia="宋体" w:cs="Times New Roman"/>
                <w:b w:val="0"/>
                <w:bCs w:val="0"/>
                <w:color w:val="auto"/>
                <w:kern w:val="0"/>
                <w:sz w:val="24"/>
                <w:szCs w:val="24"/>
                <w:highlight w:val="none"/>
                <w:lang w:val="en-US" w:eastAsia="zh-CN"/>
              </w:rPr>
              <w:t>t/a。</w:t>
            </w:r>
          </w:p>
          <w:p w14:paraId="1CA7A56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本次评价要求，对照《关于印发&lt;重污染天气重点行业应急减排措施制定技术指南（2020年修订版）&gt;的函》（环办大气函〔2020〕340号）中水泥制品绩效引领性指标中运输方式达到：</w:t>
            </w:r>
            <w:r>
              <w:rPr>
                <w:rFonts w:hint="eastAsia" w:ascii="宋体" w:hAnsi="宋体" w:eastAsia="宋体" w:cs="宋体"/>
                <w:b w:val="0"/>
                <w:bCs w:val="0"/>
                <w:color w:val="auto"/>
                <w:kern w:val="0"/>
                <w:sz w:val="24"/>
                <w:szCs w:val="24"/>
                <w:highlight w:val="none"/>
                <w:lang w:val="en-US" w:eastAsia="zh-CN"/>
              </w:rPr>
              <w:t>①</w:t>
            </w:r>
            <w:r>
              <w:rPr>
                <w:rFonts w:hint="eastAsia" w:cs="Times New Roman"/>
                <w:b w:val="0"/>
                <w:bCs w:val="0"/>
                <w:color w:val="auto"/>
                <w:kern w:val="0"/>
                <w:sz w:val="24"/>
                <w:szCs w:val="24"/>
                <w:highlight w:val="none"/>
                <w:lang w:val="en-US" w:eastAsia="zh-CN"/>
              </w:rPr>
              <w:t>物料车（除水泥罐车外）公路运输全部使用达到国五及以上排放标准的重型载货车辆（含燃气）或新能源车辆；</w:t>
            </w:r>
            <w:r>
              <w:rPr>
                <w:rFonts w:hint="eastAsia" w:ascii="宋体" w:hAnsi="宋体" w:eastAsia="宋体" w:cs="宋体"/>
                <w:b w:val="0"/>
                <w:bCs w:val="0"/>
                <w:color w:val="auto"/>
                <w:kern w:val="0"/>
                <w:sz w:val="24"/>
                <w:szCs w:val="24"/>
                <w:highlight w:val="none"/>
                <w:lang w:val="en-US" w:eastAsia="zh-CN"/>
              </w:rPr>
              <w:t>②</w:t>
            </w:r>
            <w:r>
              <w:rPr>
                <w:rFonts w:hint="eastAsia" w:cs="Times New Roman"/>
                <w:b w:val="0"/>
                <w:bCs w:val="0"/>
                <w:color w:val="auto"/>
                <w:kern w:val="0"/>
                <w:sz w:val="24"/>
                <w:szCs w:val="24"/>
                <w:highlight w:val="none"/>
                <w:lang w:val="en-US" w:eastAsia="zh-CN"/>
              </w:rPr>
              <w:t>厂内运输车辆全部达到国五及以上排放标准（含燃气）或使用新能源车辆；</w:t>
            </w:r>
            <w:r>
              <w:rPr>
                <w:rFonts w:hint="eastAsia" w:ascii="宋体" w:hAnsi="宋体" w:eastAsia="宋体" w:cs="宋体"/>
                <w:b w:val="0"/>
                <w:bCs w:val="0"/>
                <w:color w:val="auto"/>
                <w:kern w:val="0"/>
                <w:sz w:val="24"/>
                <w:szCs w:val="24"/>
                <w:highlight w:val="none"/>
                <w:lang w:val="en-US" w:eastAsia="zh-CN"/>
              </w:rPr>
              <w:t>③</w:t>
            </w:r>
            <w:r>
              <w:rPr>
                <w:rFonts w:hint="eastAsia" w:cs="Times New Roman"/>
                <w:b w:val="0"/>
                <w:bCs w:val="0"/>
                <w:color w:val="auto"/>
                <w:kern w:val="0"/>
                <w:sz w:val="24"/>
                <w:szCs w:val="24"/>
                <w:highlight w:val="none"/>
                <w:lang w:val="en-US" w:eastAsia="zh-CN"/>
              </w:rPr>
              <w:t>厂内非道路移动机械全部达到国三及以上排放标准或使用新能源机械。同时，对于</w:t>
            </w:r>
            <w:r>
              <w:rPr>
                <w:rFonts w:hint="default" w:ascii="Times New Roman" w:hAnsi="Times New Roman" w:eastAsia="宋体" w:cs="Times New Roman"/>
                <w:bCs/>
                <w:color w:val="auto"/>
                <w:sz w:val="24"/>
                <w:highlight w:val="none"/>
              </w:rPr>
              <w:t>非道路移动机械用柴油机</w:t>
            </w:r>
            <w:r>
              <w:rPr>
                <w:rFonts w:hint="default" w:ascii="Times New Roman" w:hAnsi="Times New Roman" w:eastAsia="宋体" w:cs="Times New Roman"/>
                <w:color w:val="auto"/>
                <w:sz w:val="24"/>
                <w:highlight w:val="none"/>
              </w:rPr>
              <w:t>废气排放</w:t>
            </w:r>
            <w:r>
              <w:rPr>
                <w:rFonts w:hint="eastAsia" w:ascii="Times New Roman" w:hAnsi="Times New Roman" w:eastAsia="宋体" w:cs="Times New Roman"/>
                <w:color w:val="auto"/>
                <w:sz w:val="24"/>
                <w:highlight w:val="none"/>
                <w:lang w:val="en-US" w:eastAsia="zh-CN"/>
              </w:rPr>
              <w:t>必须满足</w:t>
            </w:r>
            <w:r>
              <w:rPr>
                <w:rFonts w:hint="default" w:ascii="Times New Roman" w:hAnsi="Times New Roman" w:eastAsia="宋体" w:cs="Times New Roman"/>
                <w:color w:val="auto"/>
                <w:sz w:val="24"/>
                <w:highlight w:val="none"/>
              </w:rPr>
              <w:t>《非道路移动机械用柴油机排气污染物排放</w:t>
            </w:r>
            <w:r>
              <w:rPr>
                <w:rFonts w:hint="default" w:ascii="Times New Roman" w:hAnsi="Times New Roman" w:eastAsia="宋体" w:cs="Times New Roman"/>
                <w:color w:val="auto"/>
                <w:sz w:val="24"/>
                <w:highlight w:val="none"/>
                <w:lang w:val="en-US" w:eastAsia="zh-CN"/>
              </w:rPr>
              <w:t>限值</w:t>
            </w:r>
            <w:r>
              <w:rPr>
                <w:rFonts w:hint="default" w:ascii="Times New Roman" w:hAnsi="Times New Roman" w:eastAsia="宋体" w:cs="Times New Roman"/>
                <w:color w:val="auto"/>
                <w:sz w:val="24"/>
                <w:highlight w:val="none"/>
              </w:rPr>
              <w:t>及测量方法（</w:t>
            </w:r>
            <w:r>
              <w:rPr>
                <w:rFonts w:hint="default" w:ascii="Times New Roman" w:hAnsi="Times New Roman" w:eastAsia="宋体" w:cs="Times New Roman"/>
                <w:color w:val="auto"/>
                <w:sz w:val="24"/>
                <w:highlight w:val="none"/>
                <w:lang w:eastAsia="zh-CN"/>
              </w:rPr>
              <w:t>中国第三、四</w:t>
            </w:r>
            <w:r>
              <w:rPr>
                <w:rFonts w:hint="default" w:ascii="Times New Roman" w:hAnsi="Times New Roman" w:eastAsia="宋体" w:cs="Times New Roman"/>
                <w:color w:val="auto"/>
                <w:sz w:val="24"/>
                <w:highlight w:val="none"/>
              </w:rPr>
              <w:t>阶段）》（GB20891-</w:t>
            </w:r>
            <w:r>
              <w:rPr>
                <w:rFonts w:hint="default" w:ascii="Times New Roman" w:hAnsi="Times New Roman" w:eastAsia="宋体" w:cs="Times New Roman"/>
                <w:color w:val="auto"/>
                <w:sz w:val="24"/>
                <w:highlight w:val="none"/>
                <w:lang w:val="en-US" w:eastAsia="zh-CN"/>
              </w:rPr>
              <w:t>2014</w:t>
            </w:r>
            <w:r>
              <w:rPr>
                <w:rFonts w:hint="default" w:ascii="Times New Roman" w:hAnsi="Times New Roman" w:eastAsia="宋体" w:cs="Times New Roman"/>
                <w:color w:val="auto"/>
                <w:sz w:val="24"/>
                <w:highlight w:val="none"/>
              </w:rPr>
              <w:t>）中有关规定及</w:t>
            </w:r>
            <w:r>
              <w:rPr>
                <w:rFonts w:hint="eastAsia" w:ascii="Times New Roman" w:hAnsi="Times New Roman" w:eastAsia="宋体" w:cs="Times New Roman"/>
                <w:color w:val="auto"/>
                <w:sz w:val="24"/>
                <w:highlight w:val="none"/>
                <w:lang w:val="en-US" w:eastAsia="zh-CN"/>
              </w:rPr>
              <w:t>表2中</w:t>
            </w:r>
            <w:r>
              <w:rPr>
                <w:rFonts w:hint="default" w:ascii="Times New Roman" w:hAnsi="Times New Roman" w:eastAsia="宋体" w:cs="Times New Roman"/>
                <w:color w:val="auto"/>
                <w:sz w:val="24"/>
                <w:highlight w:val="none"/>
              </w:rPr>
              <w:t>排放限值要求</w:t>
            </w:r>
            <w:r>
              <w:rPr>
                <w:rFonts w:hint="eastAsia" w:ascii="Times New Roman" w:hAnsi="Times New Roman" w:eastAsia="宋体" w:cs="Times New Roman"/>
                <w:color w:val="auto"/>
                <w:sz w:val="24"/>
                <w:highlight w:val="none"/>
                <w:lang w:eastAsia="zh-CN"/>
              </w:rPr>
              <w:t>。</w:t>
            </w:r>
          </w:p>
          <w:p w14:paraId="647606BD">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ascii="Times New Roman" w:hAnsi="Times New Roman" w:cs="Times New Roman"/>
                <w:color w:val="auto"/>
                <w:sz w:val="24"/>
                <w:szCs w:val="24"/>
                <w:highlight w:val="none"/>
                <w:lang w:val="en-US" w:eastAsia="zh-CN"/>
              </w:rPr>
            </w:pPr>
            <w:r>
              <w:rPr>
                <w:color w:val="auto"/>
                <w:highlight w:val="none"/>
              </w:rPr>
              <w:drawing>
                <wp:inline distT="0" distB="0" distL="114300" distR="114300">
                  <wp:extent cx="3283585" cy="4262755"/>
                  <wp:effectExtent l="0" t="0" r="12065" b="4445"/>
                  <wp:docPr id="44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 name="图片 16"/>
                          <pic:cNvPicPr>
                            <a:picLocks noChangeAspect="1"/>
                          </pic:cNvPicPr>
                        </pic:nvPicPr>
                        <pic:blipFill>
                          <a:blip r:embed="rId17"/>
                          <a:stretch>
                            <a:fillRect/>
                          </a:stretch>
                        </pic:blipFill>
                        <pic:spPr>
                          <a:xfrm>
                            <a:off x="0" y="0"/>
                            <a:ext cx="3283585" cy="4262755"/>
                          </a:xfrm>
                          <a:prstGeom prst="rect">
                            <a:avLst/>
                          </a:prstGeom>
                          <a:noFill/>
                          <a:ln>
                            <a:noFill/>
                          </a:ln>
                        </pic:spPr>
                      </pic:pic>
                    </a:graphicData>
                  </a:graphic>
                </wp:inline>
              </w:drawing>
            </w:r>
          </w:p>
          <w:p w14:paraId="27196386">
            <w:pPr>
              <w:keepNext w:val="0"/>
              <w:keepLines w:val="0"/>
              <w:widowControl/>
              <w:suppressLineNumbers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rPr>
              <w:t>图4.3-2</w:t>
            </w:r>
            <w:r>
              <w:rPr>
                <w:rFonts w:hint="eastAsia" w:ascii="Times New Roman" w:hAnsi="Times New Roman" w:eastAsia="宋体" w:cs="Times New Roman"/>
                <w:b/>
                <w:bCs/>
                <w:color w:val="auto"/>
                <w:kern w:val="0"/>
                <w:sz w:val="21"/>
                <w:szCs w:val="21"/>
                <w:highlight w:val="none"/>
                <w:lang w:val="en-US" w:eastAsia="zh-CN"/>
              </w:rPr>
              <w:t xml:space="preserve">  </w:t>
            </w:r>
            <w:r>
              <w:rPr>
                <w:rFonts w:hint="default" w:ascii="Times New Roman" w:hAnsi="Times New Roman" w:eastAsia="宋体" w:cs="Times New Roman"/>
                <w:b/>
                <w:bCs/>
                <w:color w:val="auto"/>
                <w:kern w:val="0"/>
                <w:sz w:val="21"/>
                <w:szCs w:val="21"/>
                <w:highlight w:val="none"/>
                <w:lang w:val="en-US" w:eastAsia="zh-CN"/>
              </w:rPr>
              <w:t>项目废气收集+处理+走向图</w:t>
            </w:r>
          </w:p>
          <w:p w14:paraId="3B6AF23B">
            <w:pPr>
              <w:pStyle w:val="24"/>
              <w:keepNext w:val="0"/>
              <w:keepLines w:val="0"/>
              <w:pageBreakBefore w:val="0"/>
              <w:widowControl w:val="0"/>
              <w:kinsoku/>
              <w:wordWrap/>
              <w:overflowPunct/>
              <w:topLinePunct w:val="0"/>
              <w:autoSpaceDE/>
              <w:autoSpaceDN/>
              <w:bidi w:val="0"/>
              <w:adjustRightInd/>
              <w:snapToGrid w:val="0"/>
              <w:spacing w:before="157" w:beforeLines="50" w:after="0" w:afterLines="0" w:line="240" w:lineRule="auto"/>
              <w:ind w:lef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表</w:t>
            </w:r>
            <w:r>
              <w:rPr>
                <w:rFonts w:hint="eastAsia" w:cs="Times New Roman"/>
                <w:color w:val="auto"/>
                <w:sz w:val="21"/>
                <w:szCs w:val="21"/>
                <w:highlight w:val="none"/>
                <w:lang w:val="en-US" w:eastAsia="zh-CN"/>
              </w:rPr>
              <w:t xml:space="preserve">4-7  </w:t>
            </w:r>
            <w:r>
              <w:rPr>
                <w:rFonts w:hint="eastAsia" w:ascii="Times New Roman" w:hAnsi="Times New Roman" w:cs="Times New Roman"/>
                <w:color w:val="auto"/>
                <w:sz w:val="21"/>
                <w:szCs w:val="21"/>
                <w:highlight w:val="none"/>
                <w:lang w:val="en-US" w:eastAsia="zh-CN"/>
              </w:rPr>
              <w:t>项目废气产排污环节及污染治理设施情况一览表</w:t>
            </w:r>
          </w:p>
          <w:tbl>
            <w:tblPr>
              <w:tblStyle w:val="45"/>
              <w:tblW w:w="815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64"/>
              <w:gridCol w:w="1312"/>
              <w:gridCol w:w="987"/>
              <w:gridCol w:w="5195"/>
            </w:tblGrid>
            <w:tr w14:paraId="2798E2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8" w:hRule="atLeast"/>
                <w:jc w:val="center"/>
              </w:trPr>
              <w:tc>
                <w:tcPr>
                  <w:tcW w:w="664" w:type="dxa"/>
                  <w:tcBorders>
                    <w:tl2br w:val="nil"/>
                    <w:tr2bl w:val="nil"/>
                  </w:tcBorders>
                  <w:vAlign w:val="center"/>
                </w:tcPr>
                <w:p w14:paraId="6445B5EA">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序号</w:t>
                  </w:r>
                </w:p>
              </w:tc>
              <w:tc>
                <w:tcPr>
                  <w:tcW w:w="1312" w:type="dxa"/>
                  <w:tcBorders>
                    <w:tl2br w:val="nil"/>
                    <w:tr2bl w:val="nil"/>
                  </w:tcBorders>
                  <w:vAlign w:val="center"/>
                </w:tcPr>
                <w:p w14:paraId="0C7871AB">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污染源</w:t>
                  </w:r>
                </w:p>
              </w:tc>
              <w:tc>
                <w:tcPr>
                  <w:tcW w:w="987" w:type="dxa"/>
                  <w:tcBorders>
                    <w:tl2br w:val="nil"/>
                    <w:tr2bl w:val="nil"/>
                  </w:tcBorders>
                  <w:vAlign w:val="center"/>
                </w:tcPr>
                <w:p w14:paraId="64CFD108">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污染物</w:t>
                  </w:r>
                </w:p>
              </w:tc>
              <w:tc>
                <w:tcPr>
                  <w:tcW w:w="5195" w:type="dxa"/>
                  <w:tcBorders>
                    <w:tl2br w:val="nil"/>
                    <w:tr2bl w:val="nil"/>
                  </w:tcBorders>
                  <w:vAlign w:val="center"/>
                </w:tcPr>
                <w:p w14:paraId="0765EDD7">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收集和治理设施</w:t>
                  </w:r>
                </w:p>
              </w:tc>
            </w:tr>
            <w:tr w14:paraId="5D1196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5" w:hRule="atLeast"/>
                <w:jc w:val="center"/>
              </w:trPr>
              <w:tc>
                <w:tcPr>
                  <w:tcW w:w="664" w:type="dxa"/>
                  <w:tcBorders>
                    <w:tl2br w:val="nil"/>
                    <w:tr2bl w:val="nil"/>
                  </w:tcBorders>
                  <w:vAlign w:val="center"/>
                </w:tcPr>
                <w:p w14:paraId="1C20154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312" w:type="dxa"/>
                  <w:tcBorders>
                    <w:tl2br w:val="nil"/>
                    <w:tr2bl w:val="nil"/>
                  </w:tcBorders>
                  <w:vAlign w:val="center"/>
                </w:tcPr>
                <w:p w14:paraId="12BAF5FD">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8"/>
                      <w:sz w:val="21"/>
                      <w:szCs w:val="21"/>
                      <w:highlight w:val="none"/>
                    </w:rPr>
                    <w:t>筛分粉尘</w:t>
                  </w:r>
                </w:p>
              </w:tc>
              <w:tc>
                <w:tcPr>
                  <w:tcW w:w="987" w:type="dxa"/>
                  <w:tcBorders>
                    <w:tl2br w:val="nil"/>
                    <w:tr2bl w:val="nil"/>
                  </w:tcBorders>
                  <w:vAlign w:val="center"/>
                </w:tcPr>
                <w:p w14:paraId="16BC3141">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颗粒物</w:t>
                  </w:r>
                </w:p>
              </w:tc>
              <w:tc>
                <w:tcPr>
                  <w:tcW w:w="5195" w:type="dxa"/>
                  <w:tcBorders>
                    <w:tl2br w:val="nil"/>
                    <w:tr2bl w:val="nil"/>
                  </w:tcBorders>
                  <w:vAlign w:val="center"/>
                </w:tcPr>
                <w:p w14:paraId="3D895764">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9"/>
                      <w:sz w:val="21"/>
                      <w:szCs w:val="21"/>
                      <w:highlight w:val="none"/>
                    </w:rPr>
                    <w:t>筛分设备密闭，进、出料口通过负压管</w:t>
                  </w:r>
                  <w:r>
                    <w:rPr>
                      <w:rFonts w:hint="default" w:ascii="Times New Roman" w:hAnsi="Times New Roman" w:cs="Times New Roman"/>
                      <w:color w:val="auto"/>
                      <w:spacing w:val="8"/>
                      <w:sz w:val="21"/>
                      <w:szCs w:val="21"/>
                      <w:highlight w:val="none"/>
                    </w:rPr>
                    <w:t>道收集</w:t>
                  </w:r>
                  <w:r>
                    <w:rPr>
                      <w:rFonts w:hint="default" w:ascii="Times New Roman" w:hAnsi="Times New Roman" w:eastAsia="Times New Roman" w:cs="Times New Roman"/>
                      <w:color w:val="auto"/>
                      <w:spacing w:val="8"/>
                      <w:sz w:val="21"/>
                      <w:szCs w:val="21"/>
                      <w:highlight w:val="none"/>
                    </w:rPr>
                    <w:t>+1</w:t>
                  </w:r>
                  <w:r>
                    <w:rPr>
                      <w:rFonts w:hint="default" w:ascii="Times New Roman" w:hAnsi="Times New Roman" w:cs="Times New Roman"/>
                      <w:color w:val="auto"/>
                      <w:spacing w:val="8"/>
                      <w:sz w:val="21"/>
                      <w:szCs w:val="21"/>
                      <w:highlight w:val="none"/>
                    </w:rPr>
                    <w:t>套布袋除尘器处理后通过</w:t>
                  </w:r>
                  <w:r>
                    <w:rPr>
                      <w:rFonts w:hint="default" w:ascii="Times New Roman" w:hAnsi="Times New Roman" w:cs="Times New Roman"/>
                      <w:color w:val="auto"/>
                      <w:spacing w:val="8"/>
                      <w:sz w:val="21"/>
                      <w:szCs w:val="21"/>
                      <w:highlight w:val="none"/>
                      <w:lang w:val="en-US" w:eastAsia="zh-CN"/>
                    </w:rPr>
                    <w:t>15</w:t>
                  </w:r>
                  <w:r>
                    <w:rPr>
                      <w:rFonts w:hint="default" w:ascii="Times New Roman" w:hAnsi="Times New Roman" w:eastAsia="Times New Roman" w:cs="Times New Roman"/>
                      <w:color w:val="auto"/>
                      <w:spacing w:val="8"/>
                      <w:sz w:val="21"/>
                      <w:szCs w:val="21"/>
                      <w:highlight w:val="none"/>
                    </w:rPr>
                    <w:t>m</w:t>
                  </w:r>
                  <w:r>
                    <w:rPr>
                      <w:rFonts w:hint="default" w:ascii="Times New Roman" w:hAnsi="Times New Roman" w:cs="Times New Roman"/>
                      <w:color w:val="auto"/>
                      <w:spacing w:val="8"/>
                      <w:sz w:val="21"/>
                      <w:szCs w:val="21"/>
                      <w:highlight w:val="none"/>
                    </w:rPr>
                    <w:t>高</w:t>
                  </w:r>
                  <w:r>
                    <w:rPr>
                      <w:rFonts w:hint="default" w:ascii="Times New Roman" w:hAnsi="Times New Roman" w:cs="Times New Roman"/>
                      <w:color w:val="auto"/>
                      <w:spacing w:val="7"/>
                      <w:sz w:val="21"/>
                      <w:szCs w:val="21"/>
                      <w:highlight w:val="none"/>
                    </w:rPr>
                    <w:t>排气筒排放（</w:t>
                  </w:r>
                  <w:r>
                    <w:rPr>
                      <w:rFonts w:hint="eastAsia" w:ascii="Times New Roman" w:hAnsi="Times New Roman" w:eastAsia="宋体" w:cs="Times New Roman"/>
                      <w:color w:val="auto"/>
                      <w:sz w:val="21"/>
                      <w:szCs w:val="21"/>
                      <w:highlight w:val="none"/>
                      <w:lang w:eastAsia="zh-CN"/>
                    </w:rPr>
                    <w:t>DA107</w:t>
                  </w:r>
                  <w:r>
                    <w:rPr>
                      <w:rFonts w:hint="default" w:ascii="Times New Roman" w:hAnsi="Times New Roman" w:cs="Times New Roman"/>
                      <w:color w:val="auto"/>
                      <w:spacing w:val="7"/>
                      <w:sz w:val="21"/>
                      <w:szCs w:val="21"/>
                      <w:highlight w:val="none"/>
                    </w:rPr>
                    <w:t>）。</w:t>
                  </w:r>
                </w:p>
              </w:tc>
            </w:tr>
            <w:tr w14:paraId="036668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5" w:hRule="atLeast"/>
                <w:jc w:val="center"/>
              </w:trPr>
              <w:tc>
                <w:tcPr>
                  <w:tcW w:w="664" w:type="dxa"/>
                  <w:tcBorders>
                    <w:tl2br w:val="nil"/>
                    <w:tr2bl w:val="nil"/>
                  </w:tcBorders>
                  <w:vAlign w:val="center"/>
                </w:tcPr>
                <w:p w14:paraId="109B6FF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312" w:type="dxa"/>
                  <w:tcBorders>
                    <w:tl2br w:val="nil"/>
                    <w:tr2bl w:val="nil"/>
                  </w:tcBorders>
                  <w:vAlign w:val="center"/>
                </w:tcPr>
                <w:p w14:paraId="6957B46C">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cs="Times New Roman"/>
                      <w:color w:val="auto"/>
                      <w:spacing w:val="8"/>
                      <w:sz w:val="21"/>
                      <w:szCs w:val="21"/>
                      <w:highlight w:val="none"/>
                      <w:lang w:val="en-US" w:eastAsia="zh-CN"/>
                    </w:rPr>
                    <w:t>机制砂输送粉尘</w:t>
                  </w:r>
                </w:p>
              </w:tc>
              <w:tc>
                <w:tcPr>
                  <w:tcW w:w="987" w:type="dxa"/>
                  <w:tcBorders>
                    <w:tl2br w:val="nil"/>
                    <w:tr2bl w:val="nil"/>
                  </w:tcBorders>
                  <w:vAlign w:val="center"/>
                </w:tcPr>
                <w:p w14:paraId="34B29BF1">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7"/>
                      <w:sz w:val="21"/>
                      <w:szCs w:val="21"/>
                      <w:highlight w:val="none"/>
                    </w:rPr>
                  </w:pPr>
                  <w:r>
                    <w:rPr>
                      <w:rFonts w:hint="default" w:ascii="Times New Roman" w:hAnsi="Times New Roman" w:cs="Times New Roman"/>
                      <w:color w:val="auto"/>
                      <w:spacing w:val="7"/>
                      <w:sz w:val="21"/>
                      <w:szCs w:val="21"/>
                      <w:highlight w:val="none"/>
                    </w:rPr>
                    <w:t>颗粒物</w:t>
                  </w:r>
                </w:p>
              </w:tc>
              <w:tc>
                <w:tcPr>
                  <w:tcW w:w="5195" w:type="dxa"/>
                  <w:tcBorders>
                    <w:tl2br w:val="nil"/>
                    <w:tr2bl w:val="nil"/>
                  </w:tcBorders>
                  <w:vAlign w:val="center"/>
                </w:tcPr>
                <w:p w14:paraId="3DD20AC7">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9"/>
                      <w:sz w:val="21"/>
                      <w:szCs w:val="21"/>
                      <w:highlight w:val="none"/>
                      <w:lang w:val="en-US" w:eastAsia="zh-CN"/>
                    </w:rPr>
                  </w:pPr>
                  <w:r>
                    <w:rPr>
                      <w:rFonts w:hint="eastAsia" w:ascii="Times New Roman" w:hAnsi="Times New Roman" w:cs="Times New Roman"/>
                      <w:color w:val="auto"/>
                      <w:spacing w:val="9"/>
                      <w:sz w:val="21"/>
                      <w:szCs w:val="21"/>
                      <w:highlight w:val="none"/>
                      <w:lang w:val="en-US" w:eastAsia="zh-CN"/>
                    </w:rPr>
                    <w:t>密闭输送，喂料口设置吸尘装置，</w:t>
                  </w:r>
                  <w:r>
                    <w:rPr>
                      <w:rFonts w:hint="default" w:ascii="Times New Roman" w:hAnsi="Times New Roman" w:eastAsia="Times New Roman" w:cs="Times New Roman"/>
                      <w:color w:val="auto"/>
                      <w:spacing w:val="8"/>
                      <w:sz w:val="21"/>
                      <w:szCs w:val="21"/>
                      <w:highlight w:val="none"/>
                    </w:rPr>
                    <w:t>1</w:t>
                  </w:r>
                  <w:r>
                    <w:rPr>
                      <w:rFonts w:hint="default" w:ascii="Times New Roman" w:hAnsi="Times New Roman" w:cs="Times New Roman"/>
                      <w:color w:val="auto"/>
                      <w:spacing w:val="8"/>
                      <w:sz w:val="21"/>
                      <w:szCs w:val="21"/>
                      <w:highlight w:val="none"/>
                    </w:rPr>
                    <w:t>套</w:t>
                  </w:r>
                  <w:r>
                    <w:rPr>
                      <w:rFonts w:hint="eastAsia" w:ascii="Times New Roman" w:hAnsi="Times New Roman" w:cs="Times New Roman"/>
                      <w:color w:val="auto"/>
                      <w:spacing w:val="8"/>
                      <w:sz w:val="21"/>
                      <w:szCs w:val="21"/>
                      <w:highlight w:val="none"/>
                      <w:lang w:val="en-US" w:eastAsia="zh-CN"/>
                    </w:rPr>
                    <w:t>脉冲式布袋除尘器</w:t>
                  </w:r>
                  <w:r>
                    <w:rPr>
                      <w:rFonts w:hint="default" w:ascii="Times New Roman" w:hAnsi="Times New Roman" w:cs="Times New Roman"/>
                      <w:color w:val="auto"/>
                      <w:spacing w:val="8"/>
                      <w:sz w:val="21"/>
                      <w:szCs w:val="21"/>
                      <w:highlight w:val="none"/>
                    </w:rPr>
                    <w:t>处理后通过</w:t>
                  </w:r>
                  <w:r>
                    <w:rPr>
                      <w:rFonts w:hint="default" w:ascii="Times New Roman" w:hAnsi="Times New Roman" w:cs="Times New Roman"/>
                      <w:color w:val="auto"/>
                      <w:spacing w:val="8"/>
                      <w:sz w:val="21"/>
                      <w:szCs w:val="21"/>
                      <w:highlight w:val="none"/>
                      <w:lang w:val="en-US" w:eastAsia="zh-CN"/>
                    </w:rPr>
                    <w:t>15</w:t>
                  </w:r>
                  <w:r>
                    <w:rPr>
                      <w:rFonts w:hint="default" w:ascii="Times New Roman" w:hAnsi="Times New Roman" w:eastAsia="Times New Roman" w:cs="Times New Roman"/>
                      <w:color w:val="auto"/>
                      <w:spacing w:val="8"/>
                      <w:sz w:val="21"/>
                      <w:szCs w:val="21"/>
                      <w:highlight w:val="none"/>
                    </w:rPr>
                    <w:t>m</w:t>
                  </w:r>
                  <w:r>
                    <w:rPr>
                      <w:rFonts w:hint="default" w:ascii="Times New Roman" w:hAnsi="Times New Roman" w:cs="Times New Roman"/>
                      <w:color w:val="auto"/>
                      <w:spacing w:val="8"/>
                      <w:sz w:val="21"/>
                      <w:szCs w:val="21"/>
                      <w:highlight w:val="none"/>
                    </w:rPr>
                    <w:t>高</w:t>
                  </w:r>
                  <w:r>
                    <w:rPr>
                      <w:rFonts w:hint="default" w:ascii="Times New Roman" w:hAnsi="Times New Roman" w:cs="Times New Roman"/>
                      <w:color w:val="auto"/>
                      <w:spacing w:val="7"/>
                      <w:sz w:val="21"/>
                      <w:szCs w:val="21"/>
                      <w:highlight w:val="none"/>
                    </w:rPr>
                    <w:t>排气筒排放（</w:t>
                  </w:r>
                  <w:r>
                    <w:rPr>
                      <w:rFonts w:hint="eastAsia" w:ascii="Times New Roman" w:hAnsi="Times New Roman" w:eastAsia="宋体" w:cs="Times New Roman"/>
                      <w:color w:val="auto"/>
                      <w:sz w:val="21"/>
                      <w:szCs w:val="21"/>
                      <w:highlight w:val="none"/>
                      <w:lang w:eastAsia="zh-CN"/>
                    </w:rPr>
                    <w:t>DA108</w:t>
                  </w:r>
                  <w:r>
                    <w:rPr>
                      <w:rFonts w:hint="default" w:ascii="Times New Roman" w:hAnsi="Times New Roman" w:cs="Times New Roman"/>
                      <w:color w:val="auto"/>
                      <w:spacing w:val="7"/>
                      <w:sz w:val="21"/>
                      <w:szCs w:val="21"/>
                      <w:highlight w:val="none"/>
                    </w:rPr>
                    <w:t>）</w:t>
                  </w:r>
                </w:p>
              </w:tc>
            </w:tr>
            <w:tr w14:paraId="0F2E0F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8" w:hRule="atLeast"/>
                <w:jc w:val="center"/>
              </w:trPr>
              <w:tc>
                <w:tcPr>
                  <w:tcW w:w="664" w:type="dxa"/>
                  <w:tcBorders>
                    <w:tl2br w:val="nil"/>
                    <w:tr2bl w:val="nil"/>
                  </w:tcBorders>
                  <w:vAlign w:val="center"/>
                </w:tcPr>
                <w:p w14:paraId="31A21A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312" w:type="dxa"/>
                  <w:tcBorders>
                    <w:tl2br w:val="nil"/>
                    <w:tr2bl w:val="nil"/>
                  </w:tcBorders>
                  <w:vAlign w:val="center"/>
                </w:tcPr>
                <w:p w14:paraId="799CCC0E">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筒仓粉尘</w:t>
                  </w:r>
                </w:p>
              </w:tc>
              <w:tc>
                <w:tcPr>
                  <w:tcW w:w="987" w:type="dxa"/>
                  <w:tcBorders>
                    <w:tl2br w:val="nil"/>
                    <w:tr2bl w:val="nil"/>
                  </w:tcBorders>
                  <w:vAlign w:val="center"/>
                </w:tcPr>
                <w:p w14:paraId="09162614">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颗粒物</w:t>
                  </w:r>
                </w:p>
              </w:tc>
              <w:tc>
                <w:tcPr>
                  <w:tcW w:w="5195" w:type="dxa"/>
                  <w:tcBorders>
                    <w:tl2br w:val="nil"/>
                    <w:tr2bl w:val="nil"/>
                  </w:tcBorders>
                  <w:vAlign w:val="center"/>
                </w:tcPr>
                <w:p w14:paraId="30D7D098">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9"/>
                      <w:sz w:val="21"/>
                      <w:szCs w:val="21"/>
                      <w:highlight w:val="none"/>
                    </w:rPr>
                    <w:t>各筒仓均位于封闭式车间内，粉尘由仓顶设置的</w:t>
                  </w:r>
                  <w:r>
                    <w:rPr>
                      <w:rFonts w:hint="default" w:ascii="Times New Roman" w:hAnsi="Times New Roman" w:cs="Times New Roman"/>
                      <w:color w:val="auto"/>
                      <w:spacing w:val="9"/>
                      <w:sz w:val="21"/>
                      <w:szCs w:val="21"/>
                      <w:highlight w:val="none"/>
                      <w:lang w:val="en-US" w:eastAsia="zh-CN"/>
                    </w:rPr>
                    <w:t>仓顶</w:t>
                  </w:r>
                  <w:r>
                    <w:rPr>
                      <w:rFonts w:hint="default" w:ascii="Times New Roman" w:hAnsi="Times New Roman" w:cs="Times New Roman"/>
                      <w:color w:val="auto"/>
                      <w:spacing w:val="9"/>
                      <w:sz w:val="21"/>
                      <w:szCs w:val="21"/>
                      <w:highlight w:val="none"/>
                    </w:rPr>
                    <w:t>布袋除尘装置，处理后车间内排放。</w:t>
                  </w:r>
                </w:p>
              </w:tc>
            </w:tr>
            <w:tr w14:paraId="6D9B4E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2" w:hRule="atLeast"/>
                <w:jc w:val="center"/>
              </w:trPr>
              <w:tc>
                <w:tcPr>
                  <w:tcW w:w="664" w:type="dxa"/>
                  <w:tcBorders>
                    <w:tl2br w:val="nil"/>
                    <w:tr2bl w:val="nil"/>
                  </w:tcBorders>
                  <w:vAlign w:val="center"/>
                </w:tcPr>
                <w:p w14:paraId="54519B7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312" w:type="dxa"/>
                  <w:tcBorders>
                    <w:tl2br w:val="nil"/>
                    <w:tr2bl w:val="nil"/>
                  </w:tcBorders>
                  <w:vAlign w:val="center"/>
                </w:tcPr>
                <w:p w14:paraId="458A2286">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搅拌粉尘</w:t>
                  </w:r>
                </w:p>
              </w:tc>
              <w:tc>
                <w:tcPr>
                  <w:tcW w:w="987" w:type="dxa"/>
                  <w:tcBorders>
                    <w:tl2br w:val="nil"/>
                    <w:tr2bl w:val="nil"/>
                  </w:tcBorders>
                  <w:vAlign w:val="center"/>
                </w:tcPr>
                <w:p w14:paraId="0D29740A">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颗粒物</w:t>
                  </w:r>
                </w:p>
              </w:tc>
              <w:tc>
                <w:tcPr>
                  <w:tcW w:w="5195" w:type="dxa"/>
                  <w:tcBorders>
                    <w:tl2br w:val="nil"/>
                    <w:tr2bl w:val="nil"/>
                  </w:tcBorders>
                  <w:vAlign w:val="center"/>
                </w:tcPr>
                <w:p w14:paraId="6E6B8DFA">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lang w:val="en-US" w:eastAsia="zh-CN"/>
                    </w:rPr>
                    <w:t>2</w:t>
                  </w:r>
                  <w:r>
                    <w:rPr>
                      <w:rFonts w:hint="default" w:ascii="Times New Roman" w:hAnsi="Times New Roman" w:cs="Times New Roman"/>
                      <w:color w:val="auto"/>
                      <w:spacing w:val="4"/>
                      <w:sz w:val="21"/>
                      <w:szCs w:val="21"/>
                      <w:highlight w:val="none"/>
                    </w:rPr>
                    <w:t>台混合机</w:t>
                  </w:r>
                  <w:r>
                    <w:rPr>
                      <w:rFonts w:hint="default" w:ascii="Times New Roman" w:hAnsi="Times New Roman" w:cs="Times New Roman"/>
                      <w:color w:val="auto"/>
                      <w:spacing w:val="4"/>
                      <w:sz w:val="21"/>
                      <w:szCs w:val="21"/>
                      <w:highlight w:val="none"/>
                      <w:lang w:eastAsia="zh-CN"/>
                    </w:rPr>
                    <w:t>，</w:t>
                  </w:r>
                  <w:r>
                    <w:rPr>
                      <w:rFonts w:hint="default" w:ascii="Times New Roman" w:hAnsi="Times New Roman" w:cs="Times New Roman"/>
                      <w:color w:val="auto"/>
                      <w:spacing w:val="4"/>
                      <w:sz w:val="21"/>
                      <w:szCs w:val="21"/>
                      <w:highlight w:val="none"/>
                      <w:lang w:val="en-US" w:eastAsia="zh-CN"/>
                    </w:rPr>
                    <w:t>布设</w:t>
                  </w:r>
                  <w:r>
                    <w:rPr>
                      <w:rFonts w:hint="default" w:ascii="Times New Roman" w:hAnsi="Times New Roman" w:eastAsia="Times New Roman" w:cs="Times New Roman"/>
                      <w:color w:val="auto"/>
                      <w:spacing w:val="6"/>
                      <w:sz w:val="21"/>
                      <w:szCs w:val="21"/>
                      <w:highlight w:val="none"/>
                    </w:rPr>
                    <w:t>2</w:t>
                  </w:r>
                  <w:r>
                    <w:rPr>
                      <w:rFonts w:hint="default" w:ascii="Times New Roman" w:hAnsi="Times New Roman" w:cs="Times New Roman"/>
                      <w:color w:val="auto"/>
                      <w:spacing w:val="6"/>
                      <w:sz w:val="21"/>
                      <w:szCs w:val="21"/>
                      <w:highlight w:val="none"/>
                    </w:rPr>
                    <w:t>台</w:t>
                  </w:r>
                  <w:r>
                    <w:rPr>
                      <w:rFonts w:hint="eastAsia" w:ascii="Times New Roman" w:hAnsi="Times New Roman" w:cs="Times New Roman"/>
                      <w:color w:val="auto"/>
                      <w:spacing w:val="6"/>
                      <w:sz w:val="21"/>
                      <w:szCs w:val="21"/>
                      <w:highlight w:val="none"/>
                      <w:lang w:eastAsia="zh-CN"/>
                    </w:rPr>
                    <w:t>脉冲式布袋除尘器</w:t>
                  </w:r>
                  <w:r>
                    <w:rPr>
                      <w:rFonts w:hint="default" w:ascii="Times New Roman" w:hAnsi="Times New Roman" w:cs="Times New Roman"/>
                      <w:color w:val="auto"/>
                      <w:spacing w:val="6"/>
                      <w:sz w:val="21"/>
                      <w:szCs w:val="21"/>
                      <w:highlight w:val="none"/>
                    </w:rPr>
                    <w:t>，粉尘</w:t>
                  </w:r>
                  <w:r>
                    <w:rPr>
                      <w:rFonts w:hint="default" w:ascii="Times New Roman" w:hAnsi="Times New Roman" w:cs="Times New Roman"/>
                      <w:color w:val="auto"/>
                      <w:spacing w:val="9"/>
                      <w:sz w:val="21"/>
                      <w:szCs w:val="21"/>
                      <w:highlight w:val="none"/>
                    </w:rPr>
                    <w:t>经负压管道收集后通过</w:t>
                  </w:r>
                  <w:r>
                    <w:rPr>
                      <w:rFonts w:hint="eastAsia" w:ascii="Times New Roman" w:hAnsi="Times New Roman" w:cs="Times New Roman"/>
                      <w:color w:val="auto"/>
                      <w:spacing w:val="9"/>
                      <w:sz w:val="21"/>
                      <w:szCs w:val="21"/>
                      <w:highlight w:val="none"/>
                      <w:lang w:eastAsia="zh-CN"/>
                    </w:rPr>
                    <w:t>脉冲式布袋除尘器</w:t>
                  </w:r>
                  <w:r>
                    <w:rPr>
                      <w:rFonts w:hint="default" w:ascii="Times New Roman" w:hAnsi="Times New Roman" w:cs="Times New Roman"/>
                      <w:color w:val="auto"/>
                      <w:spacing w:val="9"/>
                      <w:sz w:val="21"/>
                      <w:szCs w:val="21"/>
                      <w:highlight w:val="none"/>
                    </w:rPr>
                    <w:t>处理后</w:t>
                  </w:r>
                  <w:r>
                    <w:rPr>
                      <w:rFonts w:hint="eastAsia"/>
                      <w:lang w:val="en-US" w:eastAsia="zh-CN"/>
                    </w:rPr>
                    <w:t>在</w:t>
                  </w:r>
                  <w:r>
                    <w:rPr>
                      <w:rFonts w:hint="default" w:ascii="Times New Roman" w:hAnsi="Times New Roman" w:cs="Times New Roman"/>
                      <w:color w:val="auto"/>
                      <w:spacing w:val="9"/>
                      <w:sz w:val="21"/>
                      <w:szCs w:val="21"/>
                      <w:highlight w:val="none"/>
                    </w:rPr>
                    <w:t>车间内排放</w:t>
                  </w:r>
                  <w:r>
                    <w:rPr>
                      <w:rFonts w:hint="default" w:ascii="Times New Roman" w:hAnsi="Times New Roman" w:cs="Times New Roman"/>
                      <w:color w:val="auto"/>
                      <w:sz w:val="21"/>
                      <w:szCs w:val="21"/>
                      <w:highlight w:val="none"/>
                    </w:rPr>
                    <w:t>。</w:t>
                  </w:r>
                </w:p>
              </w:tc>
            </w:tr>
            <w:tr w14:paraId="7649A4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5" w:hRule="atLeast"/>
                <w:jc w:val="center"/>
              </w:trPr>
              <w:tc>
                <w:tcPr>
                  <w:tcW w:w="664" w:type="dxa"/>
                  <w:tcBorders>
                    <w:tl2br w:val="nil"/>
                    <w:tr2bl w:val="nil"/>
                  </w:tcBorders>
                  <w:vAlign w:val="center"/>
                </w:tcPr>
                <w:p w14:paraId="28D512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312" w:type="dxa"/>
                  <w:tcBorders>
                    <w:tl2br w:val="nil"/>
                    <w:tr2bl w:val="nil"/>
                  </w:tcBorders>
                  <w:vAlign w:val="center"/>
                </w:tcPr>
                <w:p w14:paraId="2B4228C6">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投料粉尘</w:t>
                  </w:r>
                </w:p>
              </w:tc>
              <w:tc>
                <w:tcPr>
                  <w:tcW w:w="987" w:type="dxa"/>
                  <w:tcBorders>
                    <w:tl2br w:val="nil"/>
                    <w:tr2bl w:val="nil"/>
                  </w:tcBorders>
                  <w:vAlign w:val="center"/>
                </w:tcPr>
                <w:p w14:paraId="19DF8521">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7"/>
                      <w:sz w:val="21"/>
                      <w:szCs w:val="21"/>
                      <w:highlight w:val="none"/>
                    </w:rPr>
                  </w:pPr>
                  <w:r>
                    <w:rPr>
                      <w:rFonts w:hint="default" w:ascii="Times New Roman" w:hAnsi="Times New Roman" w:cs="Times New Roman"/>
                      <w:color w:val="auto"/>
                      <w:spacing w:val="7"/>
                      <w:sz w:val="21"/>
                      <w:szCs w:val="21"/>
                      <w:highlight w:val="none"/>
                    </w:rPr>
                    <w:t>颗粒物</w:t>
                  </w:r>
                </w:p>
              </w:tc>
              <w:tc>
                <w:tcPr>
                  <w:tcW w:w="5195" w:type="dxa"/>
                  <w:tcBorders>
                    <w:tl2br w:val="nil"/>
                    <w:tr2bl w:val="nil"/>
                  </w:tcBorders>
                  <w:vAlign w:val="center"/>
                </w:tcPr>
                <w:p w14:paraId="34F00D55">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auto"/>
                      <w:spacing w:val="4"/>
                      <w:sz w:val="21"/>
                      <w:szCs w:val="21"/>
                      <w:highlight w:val="none"/>
                      <w:lang w:val="en-US" w:eastAsia="zh-CN"/>
                    </w:rPr>
                  </w:pPr>
                  <w:r>
                    <w:rPr>
                      <w:rFonts w:hint="default" w:ascii="Times New Roman" w:hAnsi="Times New Roman" w:cs="Times New Roman"/>
                      <w:color w:val="auto"/>
                      <w:spacing w:val="4"/>
                      <w:sz w:val="21"/>
                      <w:szCs w:val="21"/>
                      <w:highlight w:val="none"/>
                      <w:lang w:val="en-US" w:eastAsia="zh-CN"/>
                    </w:rPr>
                    <w:t>投料粉尘设备上安装集气罩，</w:t>
                  </w:r>
                  <w:r>
                    <w:rPr>
                      <w:rFonts w:hint="default" w:ascii="Times New Roman" w:hAnsi="Times New Roman" w:cs="Times New Roman"/>
                      <w:color w:val="auto"/>
                      <w:spacing w:val="7"/>
                      <w:sz w:val="21"/>
                      <w:szCs w:val="21"/>
                      <w:highlight w:val="none"/>
                    </w:rPr>
                    <w:t>设置</w:t>
                  </w:r>
                  <w:r>
                    <w:rPr>
                      <w:rFonts w:hint="default" w:ascii="Times New Roman" w:hAnsi="Times New Roman" w:eastAsia="Times New Roman" w:cs="Times New Roman"/>
                      <w:color w:val="auto"/>
                      <w:spacing w:val="7"/>
                      <w:sz w:val="21"/>
                      <w:szCs w:val="21"/>
                      <w:highlight w:val="none"/>
                    </w:rPr>
                    <w:t>1</w:t>
                  </w:r>
                  <w:r>
                    <w:rPr>
                      <w:rFonts w:hint="default" w:ascii="Times New Roman" w:hAnsi="Times New Roman" w:cs="Times New Roman"/>
                      <w:color w:val="auto"/>
                      <w:spacing w:val="7"/>
                      <w:sz w:val="21"/>
                      <w:szCs w:val="21"/>
                      <w:highlight w:val="none"/>
                    </w:rPr>
                    <w:t>套</w:t>
                  </w:r>
                  <w:r>
                    <w:rPr>
                      <w:rFonts w:hint="eastAsia" w:ascii="Times New Roman" w:hAnsi="Times New Roman" w:cs="Times New Roman"/>
                      <w:color w:val="auto"/>
                      <w:spacing w:val="7"/>
                      <w:sz w:val="21"/>
                      <w:szCs w:val="21"/>
                      <w:highlight w:val="none"/>
                      <w:lang w:eastAsia="zh-CN"/>
                    </w:rPr>
                    <w:t>脉冲式布袋除尘器</w:t>
                  </w:r>
                  <w:r>
                    <w:rPr>
                      <w:rFonts w:hint="default" w:ascii="Times New Roman" w:hAnsi="Times New Roman" w:cs="Times New Roman"/>
                      <w:color w:val="auto"/>
                      <w:spacing w:val="7"/>
                      <w:sz w:val="21"/>
                      <w:szCs w:val="21"/>
                      <w:highlight w:val="none"/>
                    </w:rPr>
                    <w:t>，粉尘经负压</w:t>
                  </w:r>
                  <w:r>
                    <w:rPr>
                      <w:rFonts w:hint="default" w:ascii="Times New Roman" w:hAnsi="Times New Roman" w:cs="Times New Roman"/>
                      <w:color w:val="auto"/>
                      <w:spacing w:val="8"/>
                      <w:sz w:val="21"/>
                      <w:szCs w:val="21"/>
                      <w:highlight w:val="none"/>
                    </w:rPr>
                    <w:t>管道收集后通过</w:t>
                  </w:r>
                  <w:r>
                    <w:rPr>
                      <w:rFonts w:hint="eastAsia" w:ascii="Times New Roman" w:hAnsi="Times New Roman" w:cs="Times New Roman"/>
                      <w:color w:val="auto"/>
                      <w:spacing w:val="8"/>
                      <w:sz w:val="21"/>
                      <w:szCs w:val="21"/>
                      <w:highlight w:val="none"/>
                      <w:lang w:eastAsia="zh-CN"/>
                    </w:rPr>
                    <w:t>脉冲式布袋除尘器</w:t>
                  </w:r>
                  <w:r>
                    <w:rPr>
                      <w:rFonts w:hint="default" w:ascii="Times New Roman" w:hAnsi="Times New Roman" w:cs="Times New Roman"/>
                      <w:color w:val="auto"/>
                      <w:spacing w:val="8"/>
                      <w:sz w:val="21"/>
                      <w:szCs w:val="21"/>
                      <w:highlight w:val="none"/>
                    </w:rPr>
                    <w:t>处理后</w:t>
                  </w:r>
                  <w:r>
                    <w:rPr>
                      <w:rFonts w:hint="eastAsia"/>
                      <w:lang w:val="en-US" w:eastAsia="zh-CN"/>
                    </w:rPr>
                    <w:t>在</w:t>
                  </w:r>
                  <w:r>
                    <w:rPr>
                      <w:rFonts w:hint="default" w:ascii="Times New Roman" w:hAnsi="Times New Roman" w:cs="Times New Roman"/>
                      <w:color w:val="auto"/>
                      <w:spacing w:val="8"/>
                      <w:sz w:val="21"/>
                      <w:szCs w:val="21"/>
                      <w:highlight w:val="none"/>
                    </w:rPr>
                    <w:t>车间内排放</w:t>
                  </w:r>
                  <w:r>
                    <w:rPr>
                      <w:rFonts w:hint="eastAsia"/>
                      <w:lang w:eastAsia="zh-CN"/>
                    </w:rPr>
                    <w:t>。</w:t>
                  </w:r>
                </w:p>
              </w:tc>
            </w:tr>
            <w:tr w14:paraId="0CACF1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664" w:type="dxa"/>
                  <w:tcBorders>
                    <w:tl2br w:val="nil"/>
                    <w:tr2bl w:val="nil"/>
                  </w:tcBorders>
                  <w:vAlign w:val="center"/>
                </w:tcPr>
                <w:p w14:paraId="13506EB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312" w:type="dxa"/>
                  <w:tcBorders>
                    <w:tl2br w:val="nil"/>
                    <w:tr2bl w:val="nil"/>
                  </w:tcBorders>
                  <w:vAlign w:val="center"/>
                </w:tcPr>
                <w:p w14:paraId="072977C9">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散装粉尘</w:t>
                  </w:r>
                </w:p>
              </w:tc>
              <w:tc>
                <w:tcPr>
                  <w:tcW w:w="987" w:type="dxa"/>
                  <w:tcBorders>
                    <w:tl2br w:val="nil"/>
                    <w:tr2bl w:val="nil"/>
                  </w:tcBorders>
                  <w:vAlign w:val="center"/>
                </w:tcPr>
                <w:p w14:paraId="6DA66758">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颗粒物</w:t>
                  </w:r>
                </w:p>
              </w:tc>
              <w:tc>
                <w:tcPr>
                  <w:tcW w:w="5195" w:type="dxa"/>
                  <w:tcBorders>
                    <w:tl2br w:val="nil"/>
                    <w:tr2bl w:val="nil"/>
                  </w:tcBorders>
                  <w:vAlign w:val="center"/>
                </w:tcPr>
                <w:p w14:paraId="4B728274">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散装包装设置</w:t>
                  </w:r>
                  <w:r>
                    <w:rPr>
                      <w:rFonts w:hint="eastAsia" w:ascii="Times New Roman" w:hAnsi="Times New Roman" w:cs="Times New Roman"/>
                      <w:color w:val="auto"/>
                      <w:spacing w:val="7"/>
                      <w:sz w:val="21"/>
                      <w:szCs w:val="21"/>
                      <w:highlight w:val="none"/>
                      <w:lang w:val="en-US" w:eastAsia="zh-CN"/>
                    </w:rPr>
                    <w:t>2</w:t>
                  </w:r>
                  <w:r>
                    <w:rPr>
                      <w:rFonts w:hint="default" w:ascii="Times New Roman" w:hAnsi="Times New Roman" w:cs="Times New Roman"/>
                      <w:color w:val="auto"/>
                      <w:spacing w:val="7"/>
                      <w:sz w:val="21"/>
                      <w:szCs w:val="21"/>
                      <w:highlight w:val="none"/>
                    </w:rPr>
                    <w:t>套</w:t>
                  </w:r>
                  <w:r>
                    <w:rPr>
                      <w:rFonts w:hint="eastAsia" w:ascii="Times New Roman" w:hAnsi="Times New Roman" w:cs="Times New Roman"/>
                      <w:color w:val="auto"/>
                      <w:spacing w:val="7"/>
                      <w:sz w:val="21"/>
                      <w:szCs w:val="21"/>
                      <w:highlight w:val="none"/>
                      <w:lang w:eastAsia="zh-CN"/>
                    </w:rPr>
                    <w:t>脉冲式布袋除尘器</w:t>
                  </w:r>
                  <w:r>
                    <w:rPr>
                      <w:rFonts w:hint="default" w:ascii="Times New Roman" w:hAnsi="Times New Roman" w:cs="Times New Roman"/>
                      <w:color w:val="auto"/>
                      <w:spacing w:val="7"/>
                      <w:sz w:val="21"/>
                      <w:szCs w:val="21"/>
                      <w:highlight w:val="none"/>
                    </w:rPr>
                    <w:t>，粉尘经负压</w:t>
                  </w:r>
                  <w:r>
                    <w:rPr>
                      <w:rFonts w:hint="default" w:ascii="Times New Roman" w:hAnsi="Times New Roman" w:cs="Times New Roman"/>
                      <w:color w:val="auto"/>
                      <w:spacing w:val="8"/>
                      <w:sz w:val="21"/>
                      <w:szCs w:val="21"/>
                      <w:highlight w:val="none"/>
                    </w:rPr>
                    <w:t>管道收集后通过</w:t>
                  </w:r>
                  <w:r>
                    <w:rPr>
                      <w:rFonts w:hint="eastAsia" w:ascii="Times New Roman" w:hAnsi="Times New Roman" w:cs="Times New Roman"/>
                      <w:color w:val="auto"/>
                      <w:spacing w:val="8"/>
                      <w:sz w:val="21"/>
                      <w:szCs w:val="21"/>
                      <w:highlight w:val="none"/>
                      <w:lang w:eastAsia="zh-CN"/>
                    </w:rPr>
                    <w:t>脉冲式布袋除尘器</w:t>
                  </w:r>
                  <w:r>
                    <w:rPr>
                      <w:rFonts w:hint="default" w:ascii="Times New Roman" w:hAnsi="Times New Roman" w:cs="Times New Roman"/>
                      <w:color w:val="auto"/>
                      <w:spacing w:val="8"/>
                      <w:sz w:val="21"/>
                      <w:szCs w:val="21"/>
                      <w:highlight w:val="none"/>
                    </w:rPr>
                    <w:t>处理后</w:t>
                  </w:r>
                  <w:r>
                    <w:rPr>
                      <w:rFonts w:hint="eastAsia" w:ascii="Times New Roman" w:hAnsi="Times New Roman" w:cs="Times New Roman"/>
                      <w:color w:val="auto"/>
                      <w:spacing w:val="8"/>
                      <w:sz w:val="21"/>
                      <w:szCs w:val="21"/>
                      <w:highlight w:val="none"/>
                      <w:lang w:val="en-US" w:eastAsia="zh-CN"/>
                    </w:rPr>
                    <w:t>在</w:t>
                  </w:r>
                  <w:r>
                    <w:rPr>
                      <w:rFonts w:hint="default" w:ascii="Times New Roman" w:hAnsi="Times New Roman" w:cs="Times New Roman"/>
                      <w:color w:val="auto"/>
                      <w:spacing w:val="8"/>
                      <w:sz w:val="21"/>
                      <w:szCs w:val="21"/>
                      <w:highlight w:val="none"/>
                    </w:rPr>
                    <w:t>车间内排放。</w:t>
                  </w:r>
                </w:p>
              </w:tc>
            </w:tr>
            <w:tr w14:paraId="2B5552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664" w:type="dxa"/>
                  <w:tcBorders>
                    <w:tl2br w:val="nil"/>
                    <w:tr2bl w:val="nil"/>
                  </w:tcBorders>
                  <w:vAlign w:val="center"/>
                </w:tcPr>
                <w:p w14:paraId="0D29D6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312" w:type="dxa"/>
                  <w:tcBorders>
                    <w:tl2br w:val="nil"/>
                    <w:tr2bl w:val="nil"/>
                  </w:tcBorders>
                  <w:vAlign w:val="center"/>
                </w:tcPr>
                <w:p w14:paraId="7D096BE4">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袋装粉尘</w:t>
                  </w:r>
                </w:p>
              </w:tc>
              <w:tc>
                <w:tcPr>
                  <w:tcW w:w="987" w:type="dxa"/>
                  <w:tcBorders>
                    <w:tl2br w:val="nil"/>
                    <w:tr2bl w:val="nil"/>
                  </w:tcBorders>
                  <w:vAlign w:val="center"/>
                </w:tcPr>
                <w:p w14:paraId="7F5B4EC2">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颗粒物</w:t>
                  </w:r>
                </w:p>
              </w:tc>
              <w:tc>
                <w:tcPr>
                  <w:tcW w:w="5195" w:type="dxa"/>
                  <w:tcBorders>
                    <w:tl2br w:val="nil"/>
                    <w:tr2bl w:val="nil"/>
                  </w:tcBorders>
                  <w:vAlign w:val="center"/>
                </w:tcPr>
                <w:p w14:paraId="53AEA98A">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普通砂浆</w:t>
                  </w:r>
                  <w:r>
                    <w:rPr>
                      <w:rFonts w:hint="eastAsia" w:ascii="Times New Roman" w:hAnsi="Times New Roman" w:cs="Times New Roman"/>
                      <w:color w:val="auto"/>
                      <w:spacing w:val="6"/>
                      <w:sz w:val="21"/>
                      <w:szCs w:val="21"/>
                      <w:highlight w:val="none"/>
                      <w:lang w:val="en-US" w:eastAsia="zh-CN"/>
                    </w:rPr>
                    <w:t>1</w:t>
                  </w:r>
                  <w:r>
                    <w:rPr>
                      <w:rFonts w:hint="default" w:ascii="Times New Roman" w:hAnsi="Times New Roman" w:cs="Times New Roman"/>
                      <w:color w:val="auto"/>
                      <w:spacing w:val="7"/>
                      <w:sz w:val="21"/>
                      <w:szCs w:val="21"/>
                      <w:highlight w:val="none"/>
                    </w:rPr>
                    <w:t>套</w:t>
                  </w:r>
                  <w:r>
                    <w:rPr>
                      <w:rFonts w:hint="eastAsia" w:ascii="Times New Roman" w:hAnsi="Times New Roman" w:cs="Times New Roman"/>
                      <w:color w:val="auto"/>
                      <w:spacing w:val="7"/>
                      <w:sz w:val="21"/>
                      <w:szCs w:val="21"/>
                      <w:highlight w:val="none"/>
                      <w:lang w:eastAsia="zh-CN"/>
                    </w:rPr>
                    <w:t>脉冲式布袋除尘器</w:t>
                  </w:r>
                  <w:r>
                    <w:rPr>
                      <w:rFonts w:hint="default" w:ascii="Times New Roman" w:hAnsi="Times New Roman" w:cs="Times New Roman"/>
                      <w:color w:val="auto"/>
                      <w:spacing w:val="6"/>
                      <w:sz w:val="21"/>
                      <w:szCs w:val="21"/>
                      <w:highlight w:val="none"/>
                    </w:rPr>
                    <w:t>，通过“集气罩</w:t>
                  </w:r>
                  <w:r>
                    <w:rPr>
                      <w:rFonts w:hint="default" w:ascii="Times New Roman" w:hAnsi="Times New Roman" w:eastAsia="Times New Roman" w:cs="Times New Roman"/>
                      <w:color w:val="auto"/>
                      <w:spacing w:val="6"/>
                      <w:sz w:val="21"/>
                      <w:szCs w:val="21"/>
                      <w:highlight w:val="none"/>
                    </w:rPr>
                    <w:t>+</w:t>
                  </w:r>
                  <w:r>
                    <w:rPr>
                      <w:rFonts w:hint="default" w:ascii="Times New Roman" w:hAnsi="Times New Roman" w:cs="Times New Roman"/>
                      <w:color w:val="auto"/>
                      <w:spacing w:val="6"/>
                      <w:sz w:val="21"/>
                      <w:szCs w:val="21"/>
                      <w:highlight w:val="none"/>
                    </w:rPr>
                    <w:t>布袋除尘”处理后车间内排放</w:t>
                  </w:r>
                  <w:r>
                    <w:rPr>
                      <w:rFonts w:hint="default" w:ascii="Times New Roman" w:hAnsi="Times New Roman" w:cs="Times New Roman"/>
                      <w:color w:val="auto"/>
                      <w:spacing w:val="7"/>
                      <w:sz w:val="21"/>
                      <w:szCs w:val="21"/>
                      <w:highlight w:val="none"/>
                    </w:rPr>
                    <w:t>。</w:t>
                  </w:r>
                </w:p>
              </w:tc>
            </w:tr>
            <w:tr w14:paraId="6A92CE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7" w:hRule="atLeast"/>
                <w:jc w:val="center"/>
              </w:trPr>
              <w:tc>
                <w:tcPr>
                  <w:tcW w:w="664" w:type="dxa"/>
                  <w:tcBorders>
                    <w:tl2br w:val="nil"/>
                    <w:tr2bl w:val="nil"/>
                  </w:tcBorders>
                  <w:vAlign w:val="center"/>
                </w:tcPr>
                <w:p w14:paraId="7A1FD37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312" w:type="dxa"/>
                  <w:tcBorders>
                    <w:tl2br w:val="nil"/>
                    <w:tr2bl w:val="nil"/>
                  </w:tcBorders>
                  <w:vAlign w:val="center"/>
                </w:tcPr>
                <w:p w14:paraId="70C490ED">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运输粉尘</w:t>
                  </w:r>
                </w:p>
              </w:tc>
              <w:tc>
                <w:tcPr>
                  <w:tcW w:w="987" w:type="dxa"/>
                  <w:tcBorders>
                    <w:tl2br w:val="nil"/>
                    <w:tr2bl w:val="nil"/>
                  </w:tcBorders>
                  <w:vAlign w:val="center"/>
                </w:tcPr>
                <w:p w14:paraId="07A788E6">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颗粒物</w:t>
                  </w:r>
                </w:p>
              </w:tc>
              <w:tc>
                <w:tcPr>
                  <w:tcW w:w="5195" w:type="dxa"/>
                  <w:tcBorders>
                    <w:tl2br w:val="nil"/>
                    <w:tr2bl w:val="nil"/>
                  </w:tcBorders>
                  <w:vAlign w:val="center"/>
                </w:tcPr>
                <w:p w14:paraId="216C5CCD">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8"/>
                      <w:sz w:val="21"/>
                      <w:szCs w:val="21"/>
                      <w:highlight w:val="none"/>
                    </w:rPr>
                    <w:t>车辆清洗，雾炮车降尘，绿化，地面硬化等。</w:t>
                  </w:r>
                </w:p>
              </w:tc>
            </w:tr>
          </w:tbl>
          <w:p w14:paraId="76C03FE8">
            <w:pPr>
              <w:pStyle w:val="32"/>
              <w:keepNext w:val="0"/>
              <w:keepLines w:val="0"/>
              <w:pageBreakBefore w:val="0"/>
              <w:widowControl w:val="0"/>
              <w:kinsoku/>
              <w:wordWrap/>
              <w:overflowPunct/>
              <w:topLinePunct w:val="0"/>
              <w:autoSpaceDE/>
              <w:autoSpaceDN/>
              <w:bidi w:val="0"/>
              <w:adjustRightInd/>
              <w:snapToGrid w:val="0"/>
              <w:spacing w:line="360" w:lineRule="auto"/>
              <w:ind w:left="0" w:right="0" w:firstLine="46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pacing w:val="-5"/>
                <w:sz w:val="24"/>
                <w:szCs w:val="24"/>
                <w:highlight w:val="none"/>
                <w:lang w:eastAsia="zh-CN"/>
              </w:rPr>
              <w:t>3.</w:t>
            </w:r>
            <w:r>
              <w:rPr>
                <w:rFonts w:hint="default" w:ascii="Times New Roman" w:hAnsi="Times New Roman" w:eastAsia="宋体" w:cs="Times New Roman"/>
                <w:color w:val="auto"/>
                <w:spacing w:val="-5"/>
                <w:sz w:val="24"/>
                <w:szCs w:val="24"/>
                <w:highlight w:val="none"/>
              </w:rPr>
              <w:t>废气监测计划</w:t>
            </w:r>
          </w:p>
          <w:p w14:paraId="64860C4E">
            <w:pPr>
              <w:pStyle w:val="32"/>
              <w:keepNext w:val="0"/>
              <w:keepLines w:val="0"/>
              <w:pageBreakBefore w:val="0"/>
              <w:widowControl w:val="0"/>
              <w:kinsoku/>
              <w:wordWrap/>
              <w:overflowPunct/>
              <w:topLinePunct w:val="0"/>
              <w:autoSpaceDE/>
              <w:autoSpaceDN/>
              <w:bidi w:val="0"/>
              <w:adjustRightInd/>
              <w:snapToGrid w:val="0"/>
              <w:spacing w:line="360" w:lineRule="auto"/>
              <w:ind w:left="0" w:right="0" w:firstLine="468" w:firstLineChars="200"/>
              <w:textAlignment w:val="auto"/>
              <w:rPr>
                <w:color w:val="auto"/>
                <w:highlight w:val="none"/>
              </w:rPr>
            </w:pPr>
            <w:r>
              <w:rPr>
                <w:rFonts w:hint="default" w:ascii="Times New Roman" w:hAnsi="Times New Roman" w:eastAsia="宋体" w:cs="Times New Roman"/>
                <w:color w:val="auto"/>
                <w:spacing w:val="-3"/>
                <w:sz w:val="24"/>
                <w:szCs w:val="24"/>
                <w:highlight w:val="none"/>
              </w:rPr>
              <w:t>参照《排污单位自行监测技术指南总则》（HJ819-2017）及《排污单位自</w:t>
            </w:r>
            <w:r>
              <w:rPr>
                <w:rFonts w:hint="default" w:ascii="Times New Roman" w:hAnsi="Times New Roman" w:eastAsia="宋体" w:cs="Times New Roman"/>
                <w:color w:val="auto"/>
                <w:spacing w:val="-2"/>
                <w:sz w:val="24"/>
                <w:szCs w:val="24"/>
                <w:highlight w:val="none"/>
              </w:rPr>
              <w:t>行监测技术指南水泥工业》（HJ848-2017</w:t>
            </w:r>
            <w:r>
              <w:rPr>
                <w:rFonts w:hint="default" w:ascii="Times New Roman" w:hAnsi="Times New Roman" w:eastAsia="宋体" w:cs="Times New Roman"/>
                <w:color w:val="auto"/>
                <w:spacing w:val="10"/>
                <w:sz w:val="24"/>
                <w:szCs w:val="24"/>
                <w:highlight w:val="none"/>
              </w:rPr>
              <w:t>），</w:t>
            </w:r>
            <w:r>
              <w:rPr>
                <w:rFonts w:hint="default" w:ascii="Times New Roman" w:hAnsi="Times New Roman" w:eastAsia="宋体" w:cs="Times New Roman"/>
                <w:color w:val="auto"/>
                <w:spacing w:val="-2"/>
                <w:sz w:val="24"/>
                <w:szCs w:val="24"/>
                <w:highlight w:val="none"/>
              </w:rPr>
              <w:t>制定本项目大气监测计划如下。</w:t>
            </w:r>
          </w:p>
          <w:p w14:paraId="35E2574C">
            <w:pPr>
              <w:pStyle w:val="32"/>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4"/>
                <w:sz w:val="21"/>
                <w:szCs w:val="21"/>
                <w:highlight w:val="none"/>
              </w:rPr>
              <w:t>表</w:t>
            </w:r>
            <w:r>
              <w:rPr>
                <w:rFonts w:hint="eastAsia" w:ascii="Times New Roman" w:hAnsi="Times New Roman" w:cs="Times New Roman"/>
                <w:b/>
                <w:bCs/>
                <w:color w:val="auto"/>
                <w:spacing w:val="4"/>
                <w:sz w:val="21"/>
                <w:szCs w:val="21"/>
                <w:highlight w:val="none"/>
                <w:lang w:val="en-US" w:eastAsia="zh-CN"/>
              </w:rPr>
              <w:t>4-8</w:t>
            </w:r>
            <w:r>
              <w:rPr>
                <w:rFonts w:hint="eastAsia" w:ascii="Times New Roman" w:hAnsi="Times New Roman" w:eastAsia="宋体" w:cs="Times New Roman"/>
                <w:b/>
                <w:bCs/>
                <w:color w:val="auto"/>
                <w:spacing w:val="4"/>
                <w:sz w:val="21"/>
                <w:szCs w:val="21"/>
                <w:highlight w:val="none"/>
                <w:lang w:val="en-US" w:eastAsia="zh-CN"/>
              </w:rPr>
              <w:t xml:space="preserve">  </w:t>
            </w:r>
            <w:r>
              <w:rPr>
                <w:rFonts w:hint="default" w:ascii="Times New Roman" w:hAnsi="Times New Roman" w:eastAsia="宋体" w:cs="Times New Roman"/>
                <w:b/>
                <w:bCs/>
                <w:color w:val="auto"/>
                <w:spacing w:val="4"/>
                <w:sz w:val="21"/>
                <w:szCs w:val="21"/>
                <w:highlight w:val="none"/>
              </w:rPr>
              <w:t>环境监测计划表</w:t>
            </w:r>
          </w:p>
          <w:tbl>
            <w:tblPr>
              <w:tblStyle w:val="45"/>
              <w:tblW w:w="808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45"/>
              <w:gridCol w:w="1244"/>
              <w:gridCol w:w="1202"/>
              <w:gridCol w:w="1125"/>
              <w:gridCol w:w="3467"/>
            </w:tblGrid>
            <w:tr w14:paraId="209C37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1045" w:type="dxa"/>
                  <w:tcBorders>
                    <w:tl2br w:val="nil"/>
                    <w:tr2bl w:val="nil"/>
                  </w:tcBorders>
                  <w:vAlign w:val="center"/>
                </w:tcPr>
                <w:p w14:paraId="0985DCDD">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监测点位</w:t>
                  </w:r>
                </w:p>
              </w:tc>
              <w:tc>
                <w:tcPr>
                  <w:tcW w:w="1244" w:type="dxa"/>
                  <w:tcBorders>
                    <w:tl2br w:val="nil"/>
                    <w:tr2bl w:val="nil"/>
                  </w:tcBorders>
                  <w:vAlign w:val="center"/>
                </w:tcPr>
                <w:p w14:paraId="47D22A59">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排放口类型</w:t>
                  </w:r>
                </w:p>
              </w:tc>
              <w:tc>
                <w:tcPr>
                  <w:tcW w:w="1202" w:type="dxa"/>
                  <w:tcBorders>
                    <w:tl2br w:val="nil"/>
                    <w:tr2bl w:val="nil"/>
                  </w:tcBorders>
                  <w:vAlign w:val="center"/>
                </w:tcPr>
                <w:p w14:paraId="438BEC59">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监测项目</w:t>
                  </w:r>
                </w:p>
              </w:tc>
              <w:tc>
                <w:tcPr>
                  <w:tcW w:w="1125" w:type="dxa"/>
                  <w:tcBorders>
                    <w:tl2br w:val="nil"/>
                    <w:tr2bl w:val="nil"/>
                  </w:tcBorders>
                  <w:vAlign w:val="center"/>
                </w:tcPr>
                <w:p w14:paraId="15BB8C21">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监测频次</w:t>
                  </w:r>
                </w:p>
              </w:tc>
              <w:tc>
                <w:tcPr>
                  <w:tcW w:w="3467" w:type="dxa"/>
                  <w:tcBorders>
                    <w:tl2br w:val="nil"/>
                    <w:tr2bl w:val="nil"/>
                  </w:tcBorders>
                  <w:vAlign w:val="center"/>
                </w:tcPr>
                <w:p w14:paraId="7A445D3D">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控制指标</w:t>
                  </w:r>
                </w:p>
              </w:tc>
            </w:tr>
            <w:tr w14:paraId="502E9A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045" w:type="dxa"/>
                  <w:tcBorders>
                    <w:tl2br w:val="nil"/>
                    <w:tr2bl w:val="nil"/>
                  </w:tcBorders>
                  <w:vAlign w:val="center"/>
                </w:tcPr>
                <w:p w14:paraId="65B9D27E">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DA107</w:t>
                  </w:r>
                </w:p>
              </w:tc>
              <w:tc>
                <w:tcPr>
                  <w:tcW w:w="1244" w:type="dxa"/>
                  <w:tcBorders>
                    <w:tl2br w:val="nil"/>
                    <w:tr2bl w:val="nil"/>
                  </w:tcBorders>
                  <w:vAlign w:val="center"/>
                </w:tcPr>
                <w:p w14:paraId="052D97C4">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一般排放口</w:t>
                  </w:r>
                </w:p>
              </w:tc>
              <w:tc>
                <w:tcPr>
                  <w:tcW w:w="1202" w:type="dxa"/>
                  <w:tcBorders>
                    <w:tl2br w:val="nil"/>
                    <w:tr2bl w:val="nil"/>
                  </w:tcBorders>
                  <w:vAlign w:val="center"/>
                </w:tcPr>
                <w:p w14:paraId="01C32BA5">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颗粒物</w:t>
                  </w:r>
                </w:p>
              </w:tc>
              <w:tc>
                <w:tcPr>
                  <w:tcW w:w="1125" w:type="dxa"/>
                  <w:tcBorders>
                    <w:tl2br w:val="nil"/>
                    <w:tr2bl w:val="nil"/>
                  </w:tcBorders>
                  <w:vAlign w:val="center"/>
                </w:tcPr>
                <w:p w14:paraId="28057B7E">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1次/年</w:t>
                  </w:r>
                </w:p>
              </w:tc>
              <w:tc>
                <w:tcPr>
                  <w:tcW w:w="3467" w:type="dxa"/>
                  <w:vMerge w:val="restart"/>
                  <w:tcBorders>
                    <w:tl2br w:val="nil"/>
                    <w:tr2bl w:val="nil"/>
                  </w:tcBorders>
                  <w:vAlign w:val="center"/>
                </w:tcPr>
                <w:p w14:paraId="5A1B95AD">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8"/>
                      <w:sz w:val="21"/>
                      <w:szCs w:val="21"/>
                      <w:highlight w:val="none"/>
                    </w:rPr>
                    <w:t>《水泥工业大气污染物</w:t>
                  </w:r>
                  <w:r>
                    <w:rPr>
                      <w:rFonts w:hint="default" w:ascii="Times New Roman" w:hAnsi="Times New Roman" w:eastAsia="宋体" w:cs="Times New Roman"/>
                      <w:color w:val="auto"/>
                      <w:spacing w:val="6"/>
                      <w:sz w:val="21"/>
                      <w:szCs w:val="21"/>
                      <w:highlight w:val="none"/>
                    </w:rPr>
                    <w:t>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pacing w:val="6"/>
                      <w:sz w:val="21"/>
                      <w:szCs w:val="21"/>
                      <w:highlight w:val="none"/>
                    </w:rPr>
                    <w:t>4915-2013</w:t>
                  </w:r>
                  <w:r>
                    <w:rPr>
                      <w:rFonts w:hint="eastAsia" w:ascii="Times New Roman" w:hAnsi="Times New Roman" w:eastAsia="宋体" w:cs="Times New Roman"/>
                      <w:color w:val="auto"/>
                      <w:spacing w:val="6"/>
                      <w:sz w:val="21"/>
                      <w:szCs w:val="21"/>
                      <w:highlight w:val="none"/>
                      <w:lang w:eastAsia="zh-CN"/>
                    </w:rPr>
                    <w:t>）</w:t>
                  </w:r>
                  <w:r>
                    <w:rPr>
                      <w:rFonts w:hint="default" w:ascii="Times New Roman" w:hAnsi="Times New Roman" w:cs="Times New Roman" w:eastAsiaTheme="minorEastAsia"/>
                      <w:color w:val="auto"/>
                      <w:kern w:val="0"/>
                      <w:sz w:val="21"/>
                      <w:szCs w:val="21"/>
                      <w:highlight w:val="none"/>
                      <w:lang w:val="en-US" w:eastAsia="zh-CN"/>
                    </w:rPr>
                    <w:t>表2水泥制品生产有组织特别排放限值</w:t>
                  </w:r>
                  <w:r>
                    <w:rPr>
                      <w:rFonts w:hint="eastAsia" w:ascii="Times New Roman" w:hAnsi="Times New Roman" w:cs="Times New Roman" w:eastAsiaTheme="minorEastAsia"/>
                      <w:color w:val="auto"/>
                      <w:kern w:val="0"/>
                      <w:sz w:val="21"/>
                      <w:szCs w:val="21"/>
                      <w:highlight w:val="none"/>
                      <w:lang w:val="en-US" w:eastAsia="zh-CN"/>
                    </w:rPr>
                    <w:t>（</w:t>
                  </w:r>
                  <w:r>
                    <w:rPr>
                      <w:rFonts w:hint="default" w:ascii="Times New Roman" w:hAnsi="Times New Roman" w:cs="Times New Roman" w:eastAsiaTheme="minorEastAsia"/>
                      <w:color w:val="auto"/>
                      <w:kern w:val="0"/>
                      <w:sz w:val="21"/>
                      <w:szCs w:val="21"/>
                      <w:highlight w:val="none"/>
                      <w:lang w:val="en-US" w:eastAsia="zh-CN"/>
                    </w:rPr>
                    <w:t>≤10mg/m</w:t>
                  </w:r>
                  <w:r>
                    <w:rPr>
                      <w:rFonts w:hint="default" w:ascii="Times New Roman" w:hAnsi="Times New Roman" w:cs="Times New Roman" w:eastAsiaTheme="minorEastAsia"/>
                      <w:color w:val="auto"/>
                      <w:kern w:val="0"/>
                      <w:sz w:val="21"/>
                      <w:szCs w:val="21"/>
                      <w:highlight w:val="none"/>
                      <w:vertAlign w:val="superscript"/>
                      <w:lang w:val="en-US" w:eastAsia="zh-CN"/>
                    </w:rPr>
                    <w:t>3</w:t>
                  </w:r>
                  <w:r>
                    <w:rPr>
                      <w:rFonts w:hint="eastAsia" w:ascii="Times New Roman" w:hAnsi="Times New Roman" w:cs="Times New Roman" w:eastAsiaTheme="minorEastAsia"/>
                      <w:color w:val="auto"/>
                      <w:kern w:val="0"/>
                      <w:sz w:val="21"/>
                      <w:szCs w:val="21"/>
                      <w:highlight w:val="none"/>
                      <w:lang w:val="en-US" w:eastAsia="zh-CN"/>
                    </w:rPr>
                    <w:t>）</w:t>
                  </w:r>
                </w:p>
              </w:tc>
            </w:tr>
            <w:tr w14:paraId="5F3FCC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045" w:type="dxa"/>
                  <w:tcBorders>
                    <w:tl2br w:val="nil"/>
                    <w:tr2bl w:val="nil"/>
                  </w:tcBorders>
                  <w:vAlign w:val="center"/>
                </w:tcPr>
                <w:p w14:paraId="6E7B5E26">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DA108</w:t>
                  </w:r>
                </w:p>
              </w:tc>
              <w:tc>
                <w:tcPr>
                  <w:tcW w:w="1244" w:type="dxa"/>
                  <w:tcBorders>
                    <w:tl2br w:val="nil"/>
                    <w:tr2bl w:val="nil"/>
                  </w:tcBorders>
                  <w:vAlign w:val="center"/>
                </w:tcPr>
                <w:p w14:paraId="3E7B7732">
                  <w:pPr>
                    <w:pStyle w:val="3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7"/>
                      <w:sz w:val="21"/>
                      <w:szCs w:val="21"/>
                      <w:highlight w:val="none"/>
                    </w:rPr>
                    <w:t>一般排放口</w:t>
                  </w:r>
                </w:p>
              </w:tc>
              <w:tc>
                <w:tcPr>
                  <w:tcW w:w="1202" w:type="dxa"/>
                  <w:tcBorders>
                    <w:tl2br w:val="nil"/>
                    <w:tr2bl w:val="nil"/>
                  </w:tcBorders>
                  <w:vAlign w:val="center"/>
                </w:tcPr>
                <w:p w14:paraId="2789314E">
                  <w:pPr>
                    <w:pStyle w:val="3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7"/>
                      <w:sz w:val="21"/>
                      <w:szCs w:val="21"/>
                      <w:highlight w:val="none"/>
                    </w:rPr>
                    <w:t>颗粒物</w:t>
                  </w:r>
                </w:p>
              </w:tc>
              <w:tc>
                <w:tcPr>
                  <w:tcW w:w="1125" w:type="dxa"/>
                  <w:tcBorders>
                    <w:tl2br w:val="nil"/>
                    <w:tr2bl w:val="nil"/>
                  </w:tcBorders>
                  <w:vAlign w:val="center"/>
                </w:tcPr>
                <w:p w14:paraId="326D48D7">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1次/年</w:t>
                  </w:r>
                </w:p>
              </w:tc>
              <w:tc>
                <w:tcPr>
                  <w:tcW w:w="3467" w:type="dxa"/>
                  <w:vMerge w:val="continue"/>
                  <w:tcBorders>
                    <w:tl2br w:val="nil"/>
                    <w:tr2bl w:val="nil"/>
                  </w:tcBorders>
                  <w:vAlign w:val="center"/>
                </w:tcPr>
                <w:p w14:paraId="60C0E3A7">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eastAsia" w:ascii="Times New Roman" w:hAnsi="Times New Roman" w:eastAsia="宋体" w:cs="Times New Roman"/>
                      <w:color w:val="auto"/>
                      <w:sz w:val="21"/>
                      <w:szCs w:val="21"/>
                      <w:highlight w:val="none"/>
                      <w:lang w:val="en-US" w:eastAsia="zh-CN"/>
                    </w:rPr>
                  </w:pPr>
                </w:p>
              </w:tc>
            </w:tr>
            <w:tr w14:paraId="2DCCAC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1045" w:type="dxa"/>
                  <w:tcBorders>
                    <w:tl2br w:val="nil"/>
                    <w:tr2bl w:val="nil"/>
                  </w:tcBorders>
                  <w:vAlign w:val="center"/>
                </w:tcPr>
                <w:p w14:paraId="395885B1">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厂界</w:t>
                  </w:r>
                </w:p>
              </w:tc>
              <w:tc>
                <w:tcPr>
                  <w:tcW w:w="2446" w:type="dxa"/>
                  <w:gridSpan w:val="2"/>
                  <w:tcBorders>
                    <w:tl2br w:val="nil"/>
                    <w:tr2bl w:val="nil"/>
                  </w:tcBorders>
                  <w:vAlign w:val="center"/>
                </w:tcPr>
                <w:p w14:paraId="7DC79A22">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颗粒物</w:t>
                  </w:r>
                </w:p>
              </w:tc>
              <w:tc>
                <w:tcPr>
                  <w:tcW w:w="1125" w:type="dxa"/>
                  <w:tcBorders>
                    <w:tl2br w:val="nil"/>
                    <w:tr2bl w:val="nil"/>
                  </w:tcBorders>
                  <w:vAlign w:val="center"/>
                </w:tcPr>
                <w:p w14:paraId="42DA8D22">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1次/季度</w:t>
                  </w:r>
                </w:p>
              </w:tc>
              <w:tc>
                <w:tcPr>
                  <w:tcW w:w="3467" w:type="dxa"/>
                  <w:tcBorders>
                    <w:tl2br w:val="nil"/>
                    <w:tr2bl w:val="nil"/>
                  </w:tcBorders>
                  <w:vAlign w:val="center"/>
                </w:tcPr>
                <w:p w14:paraId="00A4F12E">
                  <w:pPr>
                    <w:pStyle w:val="32"/>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《水泥工业大气污染物</w:t>
                  </w:r>
                  <w:r>
                    <w:rPr>
                      <w:rFonts w:hint="default" w:ascii="Times New Roman" w:hAnsi="Times New Roman" w:eastAsia="宋体" w:cs="Times New Roman"/>
                      <w:color w:val="auto"/>
                      <w:spacing w:val="6"/>
                      <w:sz w:val="21"/>
                      <w:szCs w:val="21"/>
                      <w:highlight w:val="none"/>
                    </w:rPr>
                    <w:t>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pacing w:val="6"/>
                      <w:sz w:val="21"/>
                      <w:szCs w:val="21"/>
                      <w:highlight w:val="none"/>
                    </w:rPr>
                    <w:t>4915-2013）</w:t>
                  </w:r>
                  <w:r>
                    <w:rPr>
                      <w:rFonts w:hint="default" w:ascii="Times New Roman" w:hAnsi="Times New Roman" w:eastAsia="宋体" w:cs="Times New Roman"/>
                      <w:color w:val="auto"/>
                      <w:spacing w:val="6"/>
                      <w:sz w:val="21"/>
                      <w:szCs w:val="21"/>
                      <w:highlight w:val="none"/>
                      <w:lang w:val="en-US" w:eastAsia="zh-CN"/>
                    </w:rPr>
                    <w:t>表3无组织排放限值</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≤0.5mg/m</w:t>
                  </w:r>
                  <w:r>
                    <w:rPr>
                      <w:rFonts w:hint="default" w:ascii="Times New Roman" w:hAnsi="Times New Roman" w:eastAsia="宋体" w:cs="Times New Roman"/>
                      <w:color w:val="auto"/>
                      <w:spacing w:val="6"/>
                      <w:sz w:val="21"/>
                      <w:szCs w:val="21"/>
                      <w:highlight w:val="none"/>
                      <w:vertAlign w:val="superscript"/>
                      <w:lang w:val="en-US" w:eastAsia="zh-CN"/>
                    </w:rPr>
                    <w:t>3</w:t>
                  </w:r>
                  <w:r>
                    <w:rPr>
                      <w:rFonts w:hint="eastAsia" w:ascii="Times New Roman" w:hAnsi="Times New Roman" w:cs="Times New Roman"/>
                      <w:color w:val="auto"/>
                      <w:spacing w:val="6"/>
                      <w:sz w:val="21"/>
                      <w:szCs w:val="21"/>
                      <w:highlight w:val="none"/>
                      <w:lang w:val="en-US" w:eastAsia="zh-CN"/>
                    </w:rPr>
                    <w:t>）</w:t>
                  </w:r>
                </w:p>
              </w:tc>
            </w:tr>
          </w:tbl>
          <w:p w14:paraId="3EEBBBB1">
            <w:pPr>
              <w:pStyle w:val="32"/>
              <w:keepNext w:val="0"/>
              <w:keepLines w:val="0"/>
              <w:pageBreakBefore w:val="0"/>
              <w:widowControl w:val="0"/>
              <w:kinsoku/>
              <w:wordWrap/>
              <w:overflowPunct/>
              <w:topLinePunct w:val="0"/>
              <w:autoSpaceDE/>
              <w:autoSpaceDN/>
              <w:bidi w:val="0"/>
              <w:adjustRightInd/>
              <w:snapToGrid w:val="0"/>
              <w:spacing w:line="360" w:lineRule="auto"/>
              <w:ind w:left="0" w:firstLine="406" w:firstLineChars="200"/>
              <w:textAlignment w:val="auto"/>
              <w:rPr>
                <w:rFonts w:hint="default" w:ascii="Times New Roman" w:hAnsi="Times New Roman" w:eastAsia="宋体" w:cs="Times New Roman"/>
                <w:b/>
                <w:bCs/>
                <w:color w:val="auto"/>
                <w:highlight w:val="none"/>
              </w:rPr>
            </w:pPr>
            <w:r>
              <w:rPr>
                <w:rFonts w:hint="eastAsia" w:ascii="Times New Roman" w:hAnsi="Times New Roman" w:eastAsia="宋体" w:cs="Times New Roman"/>
                <w:b/>
                <w:bCs/>
                <w:color w:val="auto"/>
                <w:spacing w:val="-4"/>
                <w:highlight w:val="none"/>
                <w:lang w:eastAsia="zh-CN"/>
              </w:rPr>
              <w:t>4.</w:t>
            </w:r>
            <w:r>
              <w:rPr>
                <w:rFonts w:hint="default" w:ascii="Times New Roman" w:hAnsi="Times New Roman" w:eastAsia="宋体" w:cs="Times New Roman"/>
                <w:b/>
                <w:bCs/>
                <w:color w:val="auto"/>
                <w:spacing w:val="-4"/>
                <w:highlight w:val="none"/>
              </w:rPr>
              <w:t>达标排放情况</w:t>
            </w:r>
          </w:p>
          <w:p w14:paraId="09A4437E">
            <w:pPr>
              <w:pStyle w:val="15"/>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本项目筛分环节产生的粉尘</w:t>
            </w:r>
            <w:r>
              <w:rPr>
                <w:rFonts w:hint="eastAsia" w:ascii="Times New Roman" w:hAnsi="Times New Roman" w:eastAsia="宋体" w:cs="Times New Roman"/>
                <w:color w:val="auto"/>
                <w:sz w:val="24"/>
                <w:szCs w:val="24"/>
                <w:highlight w:val="none"/>
                <w:lang w:val="en-US" w:eastAsia="zh-CN"/>
              </w:rPr>
              <w:t>经</w:t>
            </w:r>
            <w:r>
              <w:rPr>
                <w:rFonts w:hint="default" w:ascii="Times New Roman" w:hAnsi="Times New Roman" w:eastAsia="宋体" w:cs="Times New Roman"/>
                <w:color w:val="auto"/>
                <w:sz w:val="24"/>
                <w:szCs w:val="24"/>
                <w:highlight w:val="none"/>
              </w:rPr>
              <w:t>布袋除尘器处理，通过15m排气筒排放</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DA107</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，排放速率为</w:t>
            </w:r>
            <w:r>
              <w:rPr>
                <w:rFonts w:hint="eastAsia" w:ascii="Times New Roman" w:hAnsi="Times New Roman" w:eastAsia="宋体" w:cs="Times New Roman"/>
                <w:color w:val="auto"/>
                <w:sz w:val="24"/>
                <w:szCs w:val="24"/>
                <w:highlight w:val="none"/>
                <w:lang w:val="en-US" w:eastAsia="zh-CN"/>
              </w:rPr>
              <w:t>0.276</w:t>
            </w:r>
            <w:r>
              <w:rPr>
                <w:rFonts w:hint="default" w:ascii="Times New Roman" w:hAnsi="Times New Roman" w:eastAsia="宋体" w:cs="Times New Roman"/>
                <w:color w:val="auto"/>
                <w:sz w:val="24"/>
                <w:szCs w:val="24"/>
                <w:highlight w:val="none"/>
              </w:rPr>
              <w:t>kg/h，排放浓度为</w:t>
            </w:r>
            <w:r>
              <w:rPr>
                <w:rFonts w:hint="eastAsia" w:ascii="Times New Roman" w:hAnsi="Times New Roman" w:eastAsia="宋体" w:cs="Times New Roman"/>
                <w:color w:val="auto"/>
                <w:sz w:val="24"/>
                <w:szCs w:val="24"/>
                <w:highlight w:val="none"/>
                <w:lang w:val="en-US" w:eastAsia="zh-CN"/>
              </w:rPr>
              <w:t>7.89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cs="Times New Roman"/>
                <w:color w:val="auto"/>
                <w:sz w:val="24"/>
                <w:szCs w:val="24"/>
                <w:highlight w:val="none"/>
                <w:vertAlign w:val="baseline"/>
                <w:lang w:eastAsia="zh-CN"/>
              </w:rPr>
              <w:t>；</w:t>
            </w:r>
            <w:r>
              <w:rPr>
                <w:rFonts w:hint="eastAsia" w:cs="Times New Roman"/>
                <w:color w:val="auto"/>
                <w:sz w:val="24"/>
                <w:szCs w:val="24"/>
                <w:highlight w:val="none"/>
                <w:vertAlign w:val="baseline"/>
                <w:lang w:val="en-US" w:eastAsia="zh-CN"/>
              </w:rPr>
              <w:t>机制砂输送工序产生的</w:t>
            </w:r>
            <w:r>
              <w:rPr>
                <w:rFonts w:hint="default" w:ascii="Times New Roman" w:hAnsi="Times New Roman" w:eastAsia="宋体" w:cs="Times New Roman"/>
                <w:color w:val="auto"/>
                <w:sz w:val="24"/>
                <w:szCs w:val="24"/>
                <w:highlight w:val="none"/>
              </w:rPr>
              <w:t>粉尘</w:t>
            </w:r>
            <w:r>
              <w:rPr>
                <w:rFonts w:hint="eastAsia" w:ascii="Times New Roman" w:hAnsi="Times New Roman" w:eastAsia="宋体" w:cs="Times New Roman"/>
                <w:color w:val="auto"/>
                <w:sz w:val="24"/>
                <w:szCs w:val="24"/>
                <w:highlight w:val="none"/>
                <w:lang w:val="en-US" w:eastAsia="zh-CN"/>
              </w:rPr>
              <w:t>经</w:t>
            </w:r>
            <w:r>
              <w:rPr>
                <w:rFonts w:hint="eastAsia" w:eastAsia="宋体" w:cs="Times New Roman"/>
                <w:color w:val="auto"/>
                <w:sz w:val="24"/>
                <w:szCs w:val="24"/>
                <w:highlight w:val="none"/>
                <w:lang w:val="en-US" w:eastAsia="zh-CN"/>
              </w:rPr>
              <w:t>脉冲</w:t>
            </w:r>
            <w:r>
              <w:rPr>
                <w:rFonts w:hint="default" w:ascii="Times New Roman" w:hAnsi="Times New Roman" w:eastAsia="宋体" w:cs="Times New Roman"/>
                <w:color w:val="auto"/>
                <w:sz w:val="24"/>
                <w:szCs w:val="24"/>
                <w:highlight w:val="none"/>
              </w:rPr>
              <w:t>布袋除尘器处理，通过15m排气筒排放</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DA108</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，排放速率为</w:t>
            </w:r>
            <w:r>
              <w:rPr>
                <w:rFonts w:hint="eastAsia" w:eastAsia="宋体" w:cs="Times New Roman"/>
                <w:color w:val="auto"/>
                <w:sz w:val="24"/>
                <w:szCs w:val="24"/>
                <w:highlight w:val="none"/>
                <w:lang w:val="en-US" w:eastAsia="zh-CN"/>
              </w:rPr>
              <w:t>0.0234</w:t>
            </w:r>
            <w:r>
              <w:rPr>
                <w:rFonts w:hint="default" w:ascii="Times New Roman" w:hAnsi="Times New Roman" w:eastAsia="宋体" w:cs="Times New Roman"/>
                <w:color w:val="auto"/>
                <w:sz w:val="24"/>
                <w:szCs w:val="24"/>
                <w:highlight w:val="none"/>
              </w:rPr>
              <w:t>kg/h，排放浓度为</w:t>
            </w:r>
            <w:r>
              <w:rPr>
                <w:rFonts w:hint="eastAsia" w:eastAsia="宋体" w:cs="Times New Roman"/>
                <w:color w:val="auto"/>
                <w:sz w:val="24"/>
                <w:szCs w:val="24"/>
                <w:highlight w:val="none"/>
                <w:lang w:val="en-US" w:eastAsia="zh-CN"/>
              </w:rPr>
              <w:t>4.69</w:t>
            </w:r>
            <w:r>
              <w:rPr>
                <w:rFonts w:hint="default" w:ascii="Times New Roman" w:hAnsi="Times New Roman" w:eastAsia="宋体" w:cs="Times New Roman"/>
                <w:color w:val="auto"/>
                <w:sz w:val="24"/>
                <w:szCs w:val="24"/>
                <w:highlight w:val="none"/>
              </w:rPr>
              <w:t>/m</w:t>
            </w:r>
            <w:r>
              <w:rPr>
                <w:rFonts w:hint="eastAsia"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有组织</w:t>
            </w:r>
            <w:r>
              <w:rPr>
                <w:rFonts w:hint="default" w:ascii="Times New Roman" w:hAnsi="Times New Roman" w:eastAsia="宋体" w:cs="Times New Roman"/>
                <w:color w:val="auto"/>
                <w:sz w:val="24"/>
                <w:szCs w:val="24"/>
                <w:highlight w:val="none"/>
              </w:rPr>
              <w:t>颗粒物排放满足</w:t>
            </w:r>
            <w:r>
              <w:rPr>
                <w:rFonts w:hint="default" w:ascii="Times New Roman" w:hAnsi="Times New Roman" w:eastAsia="宋体" w:cs="Times New Roman"/>
                <w:color w:val="auto"/>
                <w:spacing w:val="8"/>
                <w:sz w:val="24"/>
                <w:szCs w:val="24"/>
                <w:highlight w:val="none"/>
              </w:rPr>
              <w:t>《水泥工业大气污染物</w:t>
            </w:r>
            <w:r>
              <w:rPr>
                <w:rFonts w:hint="default" w:ascii="Times New Roman" w:hAnsi="Times New Roman" w:eastAsia="宋体" w:cs="Times New Roman"/>
                <w:color w:val="auto"/>
                <w:spacing w:val="6"/>
                <w:sz w:val="24"/>
                <w:szCs w:val="24"/>
                <w:highlight w:val="none"/>
              </w:rPr>
              <w:t>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pacing w:val="6"/>
                <w:sz w:val="24"/>
                <w:szCs w:val="24"/>
                <w:highlight w:val="none"/>
              </w:rPr>
              <w:t>4915-2013</w:t>
            </w:r>
            <w:r>
              <w:rPr>
                <w:rFonts w:hint="eastAsia" w:ascii="Times New Roman" w:hAnsi="Times New Roman" w:eastAsia="宋体" w:cs="Times New Roman"/>
                <w:color w:val="auto"/>
                <w:spacing w:val="6"/>
                <w:sz w:val="24"/>
                <w:szCs w:val="24"/>
                <w:highlight w:val="none"/>
                <w:lang w:eastAsia="zh-CN"/>
              </w:rPr>
              <w:t>）</w:t>
            </w:r>
            <w:r>
              <w:rPr>
                <w:rFonts w:hint="default" w:ascii="Times New Roman" w:hAnsi="Times New Roman" w:cs="Times New Roman" w:eastAsiaTheme="minorEastAsia"/>
                <w:color w:val="auto"/>
                <w:kern w:val="0"/>
                <w:sz w:val="24"/>
                <w:szCs w:val="24"/>
                <w:highlight w:val="none"/>
                <w:lang w:val="en-US" w:eastAsia="zh-CN"/>
              </w:rPr>
              <w:t>表2水泥制品生产有组织特别排放限值</w:t>
            </w:r>
            <w:r>
              <w:rPr>
                <w:rFonts w:hint="eastAsia" w:cs="Times New Roman" w:eastAsiaTheme="minorEastAsia"/>
                <w:color w:val="auto"/>
                <w:kern w:val="0"/>
                <w:sz w:val="24"/>
                <w:szCs w:val="24"/>
                <w:highlight w:val="none"/>
                <w:lang w:val="en-US" w:eastAsia="zh-CN"/>
              </w:rPr>
              <w:t>（</w:t>
            </w:r>
            <w:r>
              <w:rPr>
                <w:rFonts w:hint="default" w:ascii="Times New Roman" w:hAnsi="Times New Roman" w:cs="Times New Roman" w:eastAsiaTheme="minorEastAsia"/>
                <w:color w:val="auto"/>
                <w:kern w:val="0"/>
                <w:sz w:val="24"/>
                <w:szCs w:val="24"/>
                <w:highlight w:val="none"/>
                <w:lang w:val="en-US" w:eastAsia="zh-CN"/>
              </w:rPr>
              <w:t>≤10mg/m</w:t>
            </w:r>
            <w:r>
              <w:rPr>
                <w:rFonts w:hint="default" w:ascii="Times New Roman" w:hAnsi="Times New Roman" w:cs="Times New Roman" w:eastAsiaTheme="minorEastAsia"/>
                <w:color w:val="auto"/>
                <w:kern w:val="0"/>
                <w:sz w:val="24"/>
                <w:szCs w:val="24"/>
                <w:highlight w:val="none"/>
                <w:vertAlign w:val="superscript"/>
                <w:lang w:val="en-US" w:eastAsia="zh-CN"/>
              </w:rPr>
              <w:t>3</w:t>
            </w:r>
            <w:r>
              <w:rPr>
                <w:rFonts w:hint="eastAsia" w:cs="Times New Roman" w:eastAsiaTheme="minorEastAsia"/>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rPr>
              <w:t>。</w:t>
            </w:r>
          </w:p>
          <w:p w14:paraId="721D6C8B">
            <w:pPr>
              <w:pStyle w:val="15"/>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各环节无组织粉尘分别经自带</w:t>
            </w:r>
            <w:r>
              <w:rPr>
                <w:rFonts w:hint="eastAsia" w:cs="Times New Roman"/>
                <w:color w:val="auto"/>
                <w:sz w:val="24"/>
                <w:szCs w:val="24"/>
                <w:highlight w:val="none"/>
                <w:lang w:eastAsia="zh-CN"/>
              </w:rPr>
              <w:t>脉冲式布袋除尘器</w:t>
            </w:r>
            <w:r>
              <w:rPr>
                <w:rFonts w:hint="default" w:ascii="Times New Roman" w:hAnsi="Times New Roman" w:eastAsia="宋体" w:cs="Times New Roman"/>
                <w:color w:val="auto"/>
                <w:sz w:val="24"/>
                <w:szCs w:val="24"/>
                <w:highlight w:val="none"/>
              </w:rPr>
              <w:t>、车间封闭等措施治理后，排放量较小，对环境影响较小。</w:t>
            </w:r>
          </w:p>
          <w:p w14:paraId="74E93E4C">
            <w:pPr>
              <w:pStyle w:val="15"/>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综上，在采取环评提出的各项措施后，颗粒物可达标排放。</w:t>
            </w:r>
          </w:p>
          <w:p w14:paraId="6690C9B7">
            <w:pPr>
              <w:pStyle w:val="15"/>
              <w:keepNext w:val="0"/>
              <w:keepLines w:val="0"/>
              <w:pageBreakBefore w:val="0"/>
              <w:widowControl w:val="0"/>
              <w:kinsoku/>
              <w:wordWrap/>
              <w:overflowPunct/>
              <w:topLinePunct w:val="0"/>
              <w:autoSpaceDE/>
              <w:autoSpaceDN/>
              <w:bidi w:val="0"/>
              <w:adjustRightInd/>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szCs w:val="24"/>
                <w:highlight w:val="none"/>
                <w:lang w:eastAsia="zh-CN"/>
              </w:rPr>
              <w:t>5.</w:t>
            </w:r>
            <w:r>
              <w:rPr>
                <w:rFonts w:hint="default" w:ascii="Times New Roman" w:hAnsi="Times New Roman" w:eastAsia="宋体" w:cs="Times New Roman"/>
                <w:b/>
                <w:bCs/>
                <w:color w:val="auto"/>
                <w:sz w:val="24"/>
                <w:szCs w:val="24"/>
                <w:highlight w:val="none"/>
              </w:rPr>
              <w:t>非正常排放</w:t>
            </w:r>
          </w:p>
          <w:p w14:paraId="65203418">
            <w:pPr>
              <w:pStyle w:val="15"/>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非正常情况主要是停电或设备开停车、检修时，环保装置未提前开启，造成废气超标排放，以最不利情况下废气处理系统净化效率为零考虑，源强最大的时段废气排放1h对周围环境的影响；项目非正常排放的情</w:t>
            </w:r>
            <w:r>
              <w:rPr>
                <w:rFonts w:hint="eastAsia" w:ascii="Times New Roman" w:hAnsi="Times New Roman" w:cs="Times New Roman"/>
                <w:color w:val="auto"/>
                <w:sz w:val="24"/>
                <w:szCs w:val="24"/>
                <w:highlight w:val="none"/>
                <w:lang w:eastAsia="zh-CN"/>
              </w:rPr>
              <w:t>况如</w:t>
            </w:r>
            <w:r>
              <w:rPr>
                <w:rFonts w:hint="default" w:ascii="Times New Roman" w:hAnsi="Times New Roman" w:eastAsia="宋体" w:cs="Times New Roman"/>
                <w:color w:val="auto"/>
                <w:sz w:val="24"/>
                <w:szCs w:val="24"/>
                <w:highlight w:val="none"/>
              </w:rPr>
              <w:t>下表所示。</w:t>
            </w:r>
          </w:p>
          <w:p w14:paraId="2C2DA0A5">
            <w:pPr>
              <w:pStyle w:val="15"/>
              <w:keepNext w:val="0"/>
              <w:keepLines w:val="0"/>
              <w:pageBreakBefore w:val="0"/>
              <w:widowControl w:val="0"/>
              <w:kinsoku/>
              <w:wordWrap/>
              <w:overflowPunct/>
              <w:topLinePunct w:val="0"/>
              <w:autoSpaceDE/>
              <w:autoSpaceDN/>
              <w:bidi w:val="0"/>
              <w:adjustRightInd/>
              <w:snapToGrid w:val="0"/>
              <w:spacing w:line="240" w:lineRule="auto"/>
              <w:ind w:leftChars="0" w:firstLine="0" w:firstLineChars="0"/>
              <w:jc w:val="center"/>
              <w:textAlignment w:val="auto"/>
              <w:rPr>
                <w:rFonts w:hint="default" w:ascii="Times New Roman" w:hAnsi="Times New Roman" w:eastAsia="宋体" w:cs="Times New Roman"/>
                <w:color w:val="auto"/>
                <w:sz w:val="24"/>
                <w:szCs w:val="24"/>
                <w:highlight w:val="none"/>
              </w:rPr>
            </w:pPr>
            <w:r>
              <w:rPr>
                <w:b/>
                <w:bCs/>
                <w:color w:val="auto"/>
                <w:spacing w:val="5"/>
                <w:sz w:val="20"/>
                <w:szCs w:val="20"/>
                <w:highlight w:val="none"/>
              </w:rPr>
              <w:t>表</w:t>
            </w:r>
            <w:r>
              <w:rPr>
                <w:rFonts w:hint="eastAsia" w:eastAsia="宋体" w:cs="Times New Roman"/>
                <w:b/>
                <w:bCs/>
                <w:color w:val="auto"/>
                <w:spacing w:val="5"/>
                <w:sz w:val="20"/>
                <w:szCs w:val="20"/>
                <w:highlight w:val="none"/>
                <w:lang w:val="en-US" w:eastAsia="zh-CN"/>
              </w:rPr>
              <w:t>4-</w:t>
            </w:r>
            <w:r>
              <w:rPr>
                <w:rFonts w:hint="eastAsia" w:cs="Times New Roman"/>
                <w:b/>
                <w:bCs/>
                <w:color w:val="auto"/>
                <w:spacing w:val="5"/>
                <w:sz w:val="20"/>
                <w:szCs w:val="20"/>
                <w:highlight w:val="none"/>
                <w:lang w:val="en-US" w:eastAsia="zh-CN"/>
              </w:rPr>
              <w:t>9</w:t>
            </w:r>
            <w:r>
              <w:rPr>
                <w:rFonts w:hint="eastAsia" w:ascii="Times New Roman" w:hAnsi="Times New Roman" w:eastAsia="宋体" w:cs="Times New Roman"/>
                <w:b/>
                <w:bCs/>
                <w:color w:val="auto"/>
                <w:spacing w:val="5"/>
                <w:sz w:val="20"/>
                <w:szCs w:val="20"/>
                <w:highlight w:val="none"/>
                <w:lang w:val="en-US" w:eastAsia="zh-CN"/>
              </w:rPr>
              <w:t xml:space="preserve">  </w:t>
            </w:r>
            <w:r>
              <w:rPr>
                <w:b/>
                <w:bCs/>
                <w:color w:val="auto"/>
                <w:spacing w:val="5"/>
                <w:sz w:val="20"/>
                <w:szCs w:val="20"/>
                <w:highlight w:val="none"/>
              </w:rPr>
              <w:t>非正常工况污染物排放源强</w:t>
            </w:r>
          </w:p>
          <w:tbl>
            <w:tblPr>
              <w:tblStyle w:val="19"/>
              <w:tblW w:w="811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3041"/>
              <w:gridCol w:w="1222"/>
              <w:gridCol w:w="1748"/>
              <w:gridCol w:w="1327"/>
              <w:gridCol w:w="777"/>
            </w:tblGrid>
            <w:tr w14:paraId="45F9F9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6" w:hRule="atLeast"/>
                <w:jc w:val="center"/>
              </w:trPr>
              <w:tc>
                <w:tcPr>
                  <w:tcW w:w="3041" w:type="dxa"/>
                  <w:vMerge w:val="restart"/>
                  <w:tcBorders>
                    <w:tl2br w:val="nil"/>
                    <w:tr2bl w:val="nil"/>
                  </w:tcBorders>
                  <w:shd w:val="clear" w:color="auto" w:fill="auto"/>
                  <w:vAlign w:val="center"/>
                </w:tcPr>
                <w:p w14:paraId="31CF2B30">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污染源</w:t>
                  </w:r>
                </w:p>
              </w:tc>
              <w:tc>
                <w:tcPr>
                  <w:tcW w:w="1222" w:type="dxa"/>
                  <w:vMerge w:val="restart"/>
                  <w:tcBorders>
                    <w:tl2br w:val="nil"/>
                    <w:tr2bl w:val="nil"/>
                  </w:tcBorders>
                  <w:shd w:val="clear" w:color="auto" w:fill="auto"/>
                  <w:vAlign w:val="center"/>
                </w:tcPr>
                <w:p w14:paraId="20A4E46B">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污染物名称</w:t>
                  </w:r>
                </w:p>
              </w:tc>
              <w:tc>
                <w:tcPr>
                  <w:tcW w:w="3075" w:type="dxa"/>
                  <w:gridSpan w:val="2"/>
                  <w:tcBorders>
                    <w:tl2br w:val="nil"/>
                    <w:tr2bl w:val="nil"/>
                  </w:tcBorders>
                  <w:shd w:val="clear" w:color="auto" w:fill="auto"/>
                  <w:vAlign w:val="center"/>
                </w:tcPr>
                <w:p w14:paraId="3D92099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污染物排放情况</w:t>
                  </w:r>
                </w:p>
              </w:tc>
              <w:tc>
                <w:tcPr>
                  <w:tcW w:w="777" w:type="dxa"/>
                  <w:vMerge w:val="restart"/>
                  <w:tcBorders>
                    <w:tl2br w:val="nil"/>
                    <w:tr2bl w:val="nil"/>
                  </w:tcBorders>
                  <w:shd w:val="clear" w:color="auto" w:fill="auto"/>
                  <w:vAlign w:val="center"/>
                </w:tcPr>
                <w:p w14:paraId="6B32EF6E">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持续时间</w:t>
                  </w:r>
                </w:p>
              </w:tc>
            </w:tr>
            <w:tr w14:paraId="0DFB3C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1" w:hRule="atLeast"/>
                <w:jc w:val="center"/>
              </w:trPr>
              <w:tc>
                <w:tcPr>
                  <w:tcW w:w="3041" w:type="dxa"/>
                  <w:vMerge w:val="continue"/>
                  <w:tcBorders>
                    <w:tl2br w:val="nil"/>
                    <w:tr2bl w:val="nil"/>
                  </w:tcBorders>
                  <w:shd w:val="clear" w:color="auto" w:fill="auto"/>
                  <w:vAlign w:val="center"/>
                </w:tcPr>
                <w:p w14:paraId="01D21471">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b/>
                      <w:bCs/>
                      <w:i w:val="0"/>
                      <w:iCs w:val="0"/>
                      <w:color w:val="auto"/>
                      <w:sz w:val="21"/>
                      <w:szCs w:val="21"/>
                      <w:highlight w:val="none"/>
                      <w:u w:val="none"/>
                    </w:rPr>
                  </w:pPr>
                </w:p>
              </w:tc>
              <w:tc>
                <w:tcPr>
                  <w:tcW w:w="1222" w:type="dxa"/>
                  <w:vMerge w:val="continue"/>
                  <w:tcBorders>
                    <w:tl2br w:val="nil"/>
                    <w:tr2bl w:val="nil"/>
                  </w:tcBorders>
                  <w:shd w:val="clear" w:color="auto" w:fill="auto"/>
                  <w:vAlign w:val="center"/>
                </w:tcPr>
                <w:p w14:paraId="771E84F8">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b/>
                      <w:bCs/>
                      <w:i w:val="0"/>
                      <w:iCs w:val="0"/>
                      <w:color w:val="auto"/>
                      <w:sz w:val="21"/>
                      <w:szCs w:val="21"/>
                      <w:highlight w:val="none"/>
                      <w:u w:val="none"/>
                    </w:rPr>
                  </w:pPr>
                </w:p>
              </w:tc>
              <w:tc>
                <w:tcPr>
                  <w:tcW w:w="1748" w:type="dxa"/>
                  <w:tcBorders>
                    <w:tl2br w:val="nil"/>
                    <w:tr2bl w:val="nil"/>
                  </w:tcBorders>
                  <w:shd w:val="clear" w:color="auto" w:fill="auto"/>
                  <w:vAlign w:val="center"/>
                </w:tcPr>
                <w:p w14:paraId="3C56D60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auto"/>
                      <w:sz w:val="21"/>
                      <w:szCs w:val="21"/>
                      <w:highlight w:val="none"/>
                      <w:u w:val="none"/>
                      <w:vertAlign w:val="baseline"/>
                    </w:rPr>
                  </w:pPr>
                  <w:r>
                    <w:rPr>
                      <w:rFonts w:hint="eastAsia" w:ascii="宋体" w:hAnsi="宋体" w:eastAsia="宋体" w:cs="宋体"/>
                      <w:b/>
                      <w:bCs/>
                      <w:i w:val="0"/>
                      <w:iCs w:val="0"/>
                      <w:color w:val="auto"/>
                      <w:kern w:val="0"/>
                      <w:sz w:val="21"/>
                      <w:szCs w:val="21"/>
                      <w:highlight w:val="none"/>
                      <w:u w:val="none"/>
                      <w:lang w:val="en-US" w:eastAsia="zh-CN"/>
                    </w:rPr>
                    <w:t>浓度（</w:t>
                  </w:r>
                  <w:r>
                    <w:rPr>
                      <w:rStyle w:val="46"/>
                      <w:rFonts w:eastAsia="宋体"/>
                      <w:color w:val="auto"/>
                      <w:sz w:val="21"/>
                      <w:szCs w:val="21"/>
                      <w:highlight w:val="none"/>
                      <w:lang w:val="en-US" w:eastAsia="zh-CN"/>
                    </w:rPr>
                    <w:t>mg/m</w:t>
                  </w:r>
                  <w:r>
                    <w:rPr>
                      <w:rStyle w:val="46"/>
                      <w:rFonts w:hint="eastAsia" w:eastAsia="宋体"/>
                      <w:color w:val="auto"/>
                      <w:sz w:val="21"/>
                      <w:szCs w:val="21"/>
                      <w:highlight w:val="none"/>
                      <w:vertAlign w:val="superscript"/>
                      <w:lang w:val="en-US" w:eastAsia="zh-CN"/>
                    </w:rPr>
                    <w:t>3</w:t>
                  </w:r>
                  <w:r>
                    <w:rPr>
                      <w:rStyle w:val="46"/>
                      <w:rFonts w:hint="eastAsia"/>
                      <w:color w:val="auto"/>
                      <w:sz w:val="21"/>
                      <w:szCs w:val="21"/>
                      <w:highlight w:val="none"/>
                      <w:vertAlign w:val="baseline"/>
                      <w:lang w:val="en-US" w:eastAsia="zh-CN"/>
                    </w:rPr>
                    <w:t>）</w:t>
                  </w:r>
                </w:p>
              </w:tc>
              <w:tc>
                <w:tcPr>
                  <w:tcW w:w="1327" w:type="dxa"/>
                  <w:tcBorders>
                    <w:tl2br w:val="nil"/>
                    <w:tr2bl w:val="nil"/>
                  </w:tcBorders>
                  <w:shd w:val="clear" w:color="auto" w:fill="auto"/>
                  <w:vAlign w:val="center"/>
                </w:tcPr>
                <w:p w14:paraId="3C9C1FC9">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速率（</w:t>
                  </w:r>
                  <w:r>
                    <w:rPr>
                      <w:rStyle w:val="46"/>
                      <w:rFonts w:eastAsia="宋体"/>
                      <w:color w:val="auto"/>
                      <w:sz w:val="21"/>
                      <w:szCs w:val="21"/>
                      <w:highlight w:val="none"/>
                      <w:lang w:val="en-US" w:eastAsia="zh-CN"/>
                    </w:rPr>
                    <w:t>kg/h</w:t>
                  </w:r>
                  <w:r>
                    <w:rPr>
                      <w:rStyle w:val="30"/>
                      <w:color w:val="auto"/>
                      <w:sz w:val="21"/>
                      <w:szCs w:val="21"/>
                      <w:highlight w:val="none"/>
                      <w:lang w:val="en-US" w:eastAsia="zh-CN"/>
                    </w:rPr>
                    <w:t>）</w:t>
                  </w:r>
                </w:p>
              </w:tc>
              <w:tc>
                <w:tcPr>
                  <w:tcW w:w="777" w:type="dxa"/>
                  <w:vMerge w:val="continue"/>
                  <w:tcBorders>
                    <w:tl2br w:val="nil"/>
                    <w:tr2bl w:val="nil"/>
                  </w:tcBorders>
                  <w:shd w:val="clear" w:color="auto" w:fill="auto"/>
                  <w:vAlign w:val="center"/>
                </w:tcPr>
                <w:p w14:paraId="4A3C8FF6">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b/>
                      <w:bCs/>
                      <w:i w:val="0"/>
                      <w:iCs w:val="0"/>
                      <w:color w:val="auto"/>
                      <w:sz w:val="21"/>
                      <w:szCs w:val="21"/>
                      <w:highlight w:val="none"/>
                      <w:u w:val="none"/>
                    </w:rPr>
                  </w:pPr>
                </w:p>
              </w:tc>
            </w:tr>
            <w:tr w14:paraId="1CF9EC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3041" w:type="dxa"/>
                  <w:tcBorders>
                    <w:tl2br w:val="nil"/>
                    <w:tr2bl w:val="nil"/>
                  </w:tcBorders>
                  <w:shd w:val="clear" w:color="auto" w:fill="auto"/>
                  <w:vAlign w:val="center"/>
                </w:tcPr>
                <w:p w14:paraId="5B28EE3D">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rPr>
                    <w:t>机制砂筛分有组织</w:t>
                  </w:r>
                  <w:r>
                    <w:rPr>
                      <w:rStyle w:val="47"/>
                      <w:color w:val="auto"/>
                      <w:sz w:val="21"/>
                      <w:szCs w:val="21"/>
                      <w:highlight w:val="none"/>
                      <w:lang w:val="en-US" w:eastAsia="zh-CN"/>
                    </w:rPr>
                    <w:t>粉尘</w:t>
                  </w:r>
                  <w:r>
                    <w:rPr>
                      <w:rFonts w:hint="eastAsia" w:cs="Times New Roman"/>
                      <w:i w:val="0"/>
                      <w:iCs w:val="0"/>
                      <w:color w:val="auto"/>
                      <w:kern w:val="0"/>
                      <w:sz w:val="21"/>
                      <w:szCs w:val="21"/>
                      <w:highlight w:val="none"/>
                      <w:u w:val="none"/>
                      <w:lang w:val="en-US" w:eastAsia="zh-CN"/>
                    </w:rPr>
                    <w:t>DA107</w:t>
                  </w:r>
                </w:p>
              </w:tc>
              <w:tc>
                <w:tcPr>
                  <w:tcW w:w="1222" w:type="dxa"/>
                  <w:tcBorders>
                    <w:tl2br w:val="nil"/>
                    <w:tr2bl w:val="nil"/>
                  </w:tcBorders>
                  <w:shd w:val="clear" w:color="auto" w:fill="auto"/>
                  <w:vAlign w:val="center"/>
                </w:tcPr>
                <w:p w14:paraId="63CA4AA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颗粒物</w:t>
                  </w:r>
                </w:p>
              </w:tc>
              <w:tc>
                <w:tcPr>
                  <w:tcW w:w="1748" w:type="dxa"/>
                  <w:tcBorders>
                    <w:tl2br w:val="nil"/>
                    <w:tr2bl w:val="nil"/>
                  </w:tcBorders>
                  <w:shd w:val="clear" w:color="auto" w:fill="auto"/>
                  <w:vAlign w:val="center"/>
                </w:tcPr>
                <w:p w14:paraId="0133D6A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bCs/>
                      <w:color w:val="auto"/>
                      <w:sz w:val="21"/>
                      <w:szCs w:val="21"/>
                      <w:highlight w:val="none"/>
                      <w:lang w:val="en-US" w:eastAsia="zh-CN"/>
                    </w:rPr>
                    <w:t>7678.13</w:t>
                  </w:r>
                </w:p>
              </w:tc>
              <w:tc>
                <w:tcPr>
                  <w:tcW w:w="1327" w:type="dxa"/>
                  <w:tcBorders>
                    <w:tl2br w:val="nil"/>
                    <w:tr2bl w:val="nil"/>
                  </w:tcBorders>
                  <w:shd w:val="clear" w:color="auto" w:fill="auto"/>
                  <w:vAlign w:val="center"/>
                </w:tcPr>
                <w:p w14:paraId="73E7FEE4">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115.172</w:t>
                  </w:r>
                </w:p>
              </w:tc>
              <w:tc>
                <w:tcPr>
                  <w:tcW w:w="777" w:type="dxa"/>
                  <w:tcBorders>
                    <w:tl2br w:val="nil"/>
                    <w:tr2bl w:val="nil"/>
                  </w:tcBorders>
                  <w:shd w:val="clear" w:color="auto" w:fill="auto"/>
                  <w:vAlign w:val="center"/>
                </w:tcPr>
                <w:p w14:paraId="5BEA191B">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w:t>
                  </w:r>
                  <w:r>
                    <w:rPr>
                      <w:rStyle w:val="47"/>
                      <w:color w:val="auto"/>
                      <w:sz w:val="21"/>
                      <w:szCs w:val="21"/>
                      <w:highlight w:val="none"/>
                      <w:lang w:val="en-US" w:eastAsia="zh-CN"/>
                    </w:rPr>
                    <w:t>小时</w:t>
                  </w:r>
                </w:p>
              </w:tc>
            </w:tr>
            <w:tr w14:paraId="69FFF7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3041" w:type="dxa"/>
                  <w:tcBorders>
                    <w:tl2br w:val="nil"/>
                    <w:tr2bl w:val="nil"/>
                  </w:tcBorders>
                  <w:shd w:val="clear" w:color="auto" w:fill="auto"/>
                  <w:vAlign w:val="center"/>
                </w:tcPr>
                <w:p w14:paraId="79A66E6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宋体" w:hAnsi="宋体" w:eastAsia="宋体" w:cs="宋体"/>
                      <w:i w:val="0"/>
                      <w:iCs w:val="0"/>
                      <w:color w:val="auto"/>
                      <w:kern w:val="0"/>
                      <w:sz w:val="21"/>
                      <w:szCs w:val="21"/>
                      <w:highlight w:val="none"/>
                      <w:u w:val="none"/>
                      <w:lang w:val="en-US" w:eastAsia="zh-CN"/>
                    </w:rPr>
                  </w:pPr>
                  <w:r>
                    <w:rPr>
                      <w:rFonts w:hint="default" w:ascii="Times New Roman" w:hAnsi="Times New Roman" w:cs="Times New Roman"/>
                      <w:i w:val="0"/>
                      <w:iCs w:val="0"/>
                      <w:color w:val="auto"/>
                      <w:kern w:val="0"/>
                      <w:sz w:val="21"/>
                      <w:szCs w:val="21"/>
                      <w:highlight w:val="none"/>
                      <w:u w:val="none"/>
                      <w:lang w:val="en-US" w:eastAsia="zh-CN"/>
                    </w:rPr>
                    <w:t>机制砂输送</w:t>
                  </w:r>
                  <w:r>
                    <w:rPr>
                      <w:rFonts w:hint="eastAsia" w:cs="Times New Roman"/>
                      <w:i w:val="0"/>
                      <w:iCs w:val="0"/>
                      <w:color w:val="auto"/>
                      <w:kern w:val="0"/>
                      <w:sz w:val="21"/>
                      <w:szCs w:val="21"/>
                      <w:highlight w:val="none"/>
                      <w:u w:val="none"/>
                      <w:lang w:val="en-US" w:eastAsia="zh-CN"/>
                    </w:rPr>
                    <w:t>DA108</w:t>
                  </w:r>
                </w:p>
              </w:tc>
              <w:tc>
                <w:tcPr>
                  <w:tcW w:w="1222" w:type="dxa"/>
                  <w:tcBorders>
                    <w:tl2br w:val="nil"/>
                    <w:tr2bl w:val="nil"/>
                  </w:tcBorders>
                  <w:shd w:val="clear" w:color="auto" w:fill="auto"/>
                  <w:vAlign w:val="center"/>
                </w:tcPr>
                <w:p w14:paraId="407CE86E">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颗粒物</w:t>
                  </w:r>
                </w:p>
              </w:tc>
              <w:tc>
                <w:tcPr>
                  <w:tcW w:w="1748" w:type="dxa"/>
                  <w:tcBorders>
                    <w:tl2br w:val="nil"/>
                    <w:tr2bl w:val="nil"/>
                  </w:tcBorders>
                  <w:shd w:val="clear" w:color="auto" w:fill="auto"/>
                  <w:vAlign w:val="center"/>
                </w:tcPr>
                <w:p w14:paraId="49470F94">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4688</w:t>
                  </w:r>
                </w:p>
              </w:tc>
              <w:tc>
                <w:tcPr>
                  <w:tcW w:w="1327" w:type="dxa"/>
                  <w:tcBorders>
                    <w:tl2br w:val="nil"/>
                    <w:tr2bl w:val="nil"/>
                  </w:tcBorders>
                  <w:shd w:val="clear" w:color="auto" w:fill="auto"/>
                  <w:vAlign w:val="center"/>
                </w:tcPr>
                <w:p w14:paraId="0600800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23.44</w:t>
                  </w:r>
                </w:p>
              </w:tc>
              <w:tc>
                <w:tcPr>
                  <w:tcW w:w="777" w:type="dxa"/>
                  <w:tcBorders>
                    <w:tl2br w:val="nil"/>
                    <w:tr2bl w:val="nil"/>
                  </w:tcBorders>
                  <w:shd w:val="clear" w:color="auto" w:fill="auto"/>
                  <w:vAlign w:val="center"/>
                </w:tcPr>
                <w:p w14:paraId="14D3F9E2">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1小时</w:t>
                  </w:r>
                </w:p>
              </w:tc>
            </w:tr>
            <w:tr w14:paraId="665DA5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9" w:hRule="atLeast"/>
                <w:jc w:val="center"/>
              </w:trPr>
              <w:tc>
                <w:tcPr>
                  <w:tcW w:w="3041" w:type="dxa"/>
                  <w:tcBorders>
                    <w:tl2br w:val="nil"/>
                    <w:tr2bl w:val="nil"/>
                  </w:tcBorders>
                  <w:shd w:val="clear" w:color="auto" w:fill="auto"/>
                  <w:vAlign w:val="center"/>
                </w:tcPr>
                <w:p w14:paraId="268DAB56">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i w:val="0"/>
                      <w:iCs w:val="0"/>
                      <w:color w:val="auto"/>
                      <w:kern w:val="0"/>
                      <w:sz w:val="21"/>
                      <w:szCs w:val="21"/>
                      <w:highlight w:val="none"/>
                      <w:u w:val="none"/>
                      <w:lang w:val="en-US" w:eastAsia="zh-CN"/>
                    </w:rPr>
                  </w:pPr>
                  <w:r>
                    <w:rPr>
                      <w:color w:val="auto"/>
                      <w:spacing w:val="6"/>
                      <w:sz w:val="21"/>
                      <w:szCs w:val="21"/>
                      <w:highlight w:val="none"/>
                    </w:rPr>
                    <w:t>筒仓粉尘</w:t>
                  </w:r>
                </w:p>
              </w:tc>
              <w:tc>
                <w:tcPr>
                  <w:tcW w:w="1222" w:type="dxa"/>
                  <w:tcBorders>
                    <w:tl2br w:val="nil"/>
                    <w:tr2bl w:val="nil"/>
                  </w:tcBorders>
                  <w:shd w:val="clear" w:color="auto" w:fill="auto"/>
                  <w:vAlign w:val="center"/>
                </w:tcPr>
                <w:p w14:paraId="176CAE8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颗粒物</w:t>
                  </w:r>
                </w:p>
              </w:tc>
              <w:tc>
                <w:tcPr>
                  <w:tcW w:w="1748" w:type="dxa"/>
                  <w:tcBorders>
                    <w:tl2br w:val="nil"/>
                    <w:tr2bl w:val="nil"/>
                  </w:tcBorders>
                  <w:shd w:val="clear" w:color="auto" w:fill="auto"/>
                  <w:vAlign w:val="center"/>
                </w:tcPr>
                <w:p w14:paraId="4D5BDDD9">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1327" w:type="dxa"/>
                  <w:tcBorders>
                    <w:tl2br w:val="nil"/>
                    <w:tr2bl w:val="nil"/>
                  </w:tcBorders>
                  <w:shd w:val="clear" w:color="auto" w:fill="auto"/>
                  <w:vAlign w:val="center"/>
                </w:tcPr>
                <w:p w14:paraId="0B81D77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18.75</w:t>
                  </w:r>
                </w:p>
              </w:tc>
              <w:tc>
                <w:tcPr>
                  <w:tcW w:w="777" w:type="dxa"/>
                  <w:tcBorders>
                    <w:tl2br w:val="nil"/>
                    <w:tr2bl w:val="nil"/>
                  </w:tcBorders>
                  <w:shd w:val="clear" w:color="auto" w:fill="auto"/>
                  <w:vAlign w:val="center"/>
                </w:tcPr>
                <w:p w14:paraId="52F07A5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1小时</w:t>
                  </w:r>
                </w:p>
              </w:tc>
            </w:tr>
            <w:tr w14:paraId="75D510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3041" w:type="dxa"/>
                  <w:tcBorders>
                    <w:tl2br w:val="nil"/>
                    <w:tr2bl w:val="nil"/>
                  </w:tcBorders>
                  <w:shd w:val="clear" w:color="auto" w:fill="auto"/>
                  <w:vAlign w:val="center"/>
                </w:tcPr>
                <w:p w14:paraId="3E245F01">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i w:val="0"/>
                      <w:iCs w:val="0"/>
                      <w:color w:val="auto"/>
                      <w:kern w:val="0"/>
                      <w:sz w:val="21"/>
                      <w:szCs w:val="21"/>
                      <w:highlight w:val="none"/>
                      <w:u w:val="none"/>
                      <w:lang w:val="en-US" w:eastAsia="zh-CN"/>
                    </w:rPr>
                  </w:pPr>
                  <w:r>
                    <w:rPr>
                      <w:color w:val="auto"/>
                      <w:spacing w:val="7"/>
                      <w:sz w:val="21"/>
                      <w:szCs w:val="21"/>
                      <w:highlight w:val="none"/>
                    </w:rPr>
                    <w:t>搅拌粉尘</w:t>
                  </w:r>
                </w:p>
              </w:tc>
              <w:tc>
                <w:tcPr>
                  <w:tcW w:w="1222" w:type="dxa"/>
                  <w:tcBorders>
                    <w:tl2br w:val="nil"/>
                    <w:tr2bl w:val="nil"/>
                  </w:tcBorders>
                  <w:shd w:val="clear" w:color="auto" w:fill="auto"/>
                  <w:vAlign w:val="center"/>
                </w:tcPr>
                <w:p w14:paraId="386D6C63">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颗粒物</w:t>
                  </w:r>
                </w:p>
              </w:tc>
              <w:tc>
                <w:tcPr>
                  <w:tcW w:w="1748" w:type="dxa"/>
                  <w:tcBorders>
                    <w:tl2br w:val="nil"/>
                    <w:tr2bl w:val="nil"/>
                  </w:tcBorders>
                  <w:shd w:val="clear" w:color="auto" w:fill="auto"/>
                  <w:vAlign w:val="center"/>
                </w:tcPr>
                <w:p w14:paraId="17D59AB3">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1327" w:type="dxa"/>
                  <w:tcBorders>
                    <w:tl2br w:val="nil"/>
                    <w:tr2bl w:val="nil"/>
                  </w:tcBorders>
                  <w:shd w:val="clear" w:color="auto" w:fill="auto"/>
                  <w:vAlign w:val="center"/>
                </w:tcPr>
                <w:p w14:paraId="03964BD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81.71</w:t>
                  </w:r>
                </w:p>
              </w:tc>
              <w:tc>
                <w:tcPr>
                  <w:tcW w:w="777" w:type="dxa"/>
                  <w:tcBorders>
                    <w:tl2br w:val="nil"/>
                    <w:tr2bl w:val="nil"/>
                  </w:tcBorders>
                  <w:shd w:val="clear" w:color="auto" w:fill="auto"/>
                  <w:vAlign w:val="center"/>
                </w:tcPr>
                <w:p w14:paraId="0713D789">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1小时</w:t>
                  </w:r>
                </w:p>
              </w:tc>
            </w:tr>
            <w:tr w14:paraId="18D24A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3041" w:type="dxa"/>
                  <w:tcBorders>
                    <w:tl2br w:val="nil"/>
                    <w:tr2bl w:val="nil"/>
                  </w:tcBorders>
                  <w:shd w:val="clear" w:color="auto" w:fill="auto"/>
                  <w:vAlign w:val="center"/>
                </w:tcPr>
                <w:p w14:paraId="6C992A73">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i w:val="0"/>
                      <w:iCs w:val="0"/>
                      <w:color w:val="auto"/>
                      <w:kern w:val="0"/>
                      <w:sz w:val="21"/>
                      <w:szCs w:val="21"/>
                      <w:highlight w:val="none"/>
                      <w:u w:val="none"/>
                      <w:lang w:val="en-US" w:eastAsia="zh-CN"/>
                    </w:rPr>
                  </w:pPr>
                  <w:r>
                    <w:rPr>
                      <w:rFonts w:hint="eastAsia"/>
                      <w:color w:val="auto"/>
                      <w:spacing w:val="7"/>
                      <w:sz w:val="21"/>
                      <w:szCs w:val="21"/>
                      <w:highlight w:val="none"/>
                      <w:lang w:val="en-US" w:eastAsia="zh-CN"/>
                    </w:rPr>
                    <w:t>投料粉尘</w:t>
                  </w:r>
                </w:p>
              </w:tc>
              <w:tc>
                <w:tcPr>
                  <w:tcW w:w="1222" w:type="dxa"/>
                  <w:tcBorders>
                    <w:tl2br w:val="nil"/>
                    <w:tr2bl w:val="nil"/>
                  </w:tcBorders>
                  <w:shd w:val="clear" w:color="auto" w:fill="auto"/>
                  <w:vAlign w:val="center"/>
                </w:tcPr>
                <w:p w14:paraId="5BDE109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颗粒物</w:t>
                  </w:r>
                </w:p>
              </w:tc>
              <w:tc>
                <w:tcPr>
                  <w:tcW w:w="1748" w:type="dxa"/>
                  <w:tcBorders>
                    <w:tl2br w:val="nil"/>
                    <w:tr2bl w:val="nil"/>
                  </w:tcBorders>
                  <w:shd w:val="clear" w:color="auto" w:fill="auto"/>
                  <w:vAlign w:val="center"/>
                </w:tcPr>
                <w:p w14:paraId="6AFEA5F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1327" w:type="dxa"/>
                  <w:tcBorders>
                    <w:tl2br w:val="nil"/>
                    <w:tr2bl w:val="nil"/>
                  </w:tcBorders>
                  <w:shd w:val="clear" w:color="auto" w:fill="auto"/>
                  <w:vAlign w:val="center"/>
                </w:tcPr>
                <w:p w14:paraId="41EA3A30">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0.0008</w:t>
                  </w:r>
                </w:p>
              </w:tc>
              <w:tc>
                <w:tcPr>
                  <w:tcW w:w="777" w:type="dxa"/>
                  <w:tcBorders>
                    <w:tl2br w:val="nil"/>
                    <w:tr2bl w:val="nil"/>
                  </w:tcBorders>
                  <w:shd w:val="clear" w:color="auto" w:fill="auto"/>
                  <w:vAlign w:val="center"/>
                </w:tcPr>
                <w:p w14:paraId="337CB109">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1小时</w:t>
                  </w:r>
                </w:p>
              </w:tc>
            </w:tr>
            <w:tr w14:paraId="1E872F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3041" w:type="dxa"/>
                  <w:tcBorders>
                    <w:tl2br w:val="nil"/>
                    <w:tr2bl w:val="nil"/>
                  </w:tcBorders>
                  <w:shd w:val="clear" w:color="auto" w:fill="auto"/>
                  <w:vAlign w:val="center"/>
                </w:tcPr>
                <w:p w14:paraId="1F7EF1A8">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i w:val="0"/>
                      <w:iCs w:val="0"/>
                      <w:color w:val="auto"/>
                      <w:kern w:val="0"/>
                      <w:sz w:val="21"/>
                      <w:szCs w:val="21"/>
                      <w:highlight w:val="none"/>
                      <w:u w:val="none"/>
                      <w:lang w:val="en-US" w:eastAsia="zh-CN"/>
                    </w:rPr>
                  </w:pPr>
                  <w:r>
                    <w:rPr>
                      <w:color w:val="auto"/>
                      <w:spacing w:val="7"/>
                      <w:sz w:val="21"/>
                      <w:szCs w:val="21"/>
                      <w:highlight w:val="none"/>
                    </w:rPr>
                    <w:t>散装粉尘</w:t>
                  </w:r>
                </w:p>
              </w:tc>
              <w:tc>
                <w:tcPr>
                  <w:tcW w:w="1222" w:type="dxa"/>
                  <w:tcBorders>
                    <w:tl2br w:val="nil"/>
                    <w:tr2bl w:val="nil"/>
                  </w:tcBorders>
                  <w:shd w:val="clear" w:color="auto" w:fill="auto"/>
                  <w:vAlign w:val="center"/>
                </w:tcPr>
                <w:p w14:paraId="35D4661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颗粒物</w:t>
                  </w:r>
                </w:p>
              </w:tc>
              <w:tc>
                <w:tcPr>
                  <w:tcW w:w="1748" w:type="dxa"/>
                  <w:tcBorders>
                    <w:tl2br w:val="nil"/>
                    <w:tr2bl w:val="nil"/>
                  </w:tcBorders>
                  <w:shd w:val="clear" w:color="auto" w:fill="auto"/>
                  <w:vAlign w:val="center"/>
                </w:tcPr>
                <w:p w14:paraId="36C108E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1327" w:type="dxa"/>
                  <w:tcBorders>
                    <w:tl2br w:val="nil"/>
                    <w:tr2bl w:val="nil"/>
                  </w:tcBorders>
                  <w:shd w:val="clear" w:color="auto" w:fill="auto"/>
                  <w:vAlign w:val="center"/>
                </w:tcPr>
                <w:p w14:paraId="2F5F7E93">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5.9</w:t>
                  </w:r>
                </w:p>
              </w:tc>
              <w:tc>
                <w:tcPr>
                  <w:tcW w:w="777" w:type="dxa"/>
                  <w:tcBorders>
                    <w:tl2br w:val="nil"/>
                    <w:tr2bl w:val="nil"/>
                  </w:tcBorders>
                  <w:shd w:val="clear" w:color="auto" w:fill="auto"/>
                  <w:vAlign w:val="center"/>
                </w:tcPr>
                <w:p w14:paraId="67F8780D">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1小时</w:t>
                  </w:r>
                </w:p>
              </w:tc>
            </w:tr>
            <w:tr w14:paraId="09CFF5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3041" w:type="dxa"/>
                  <w:tcBorders>
                    <w:tl2br w:val="nil"/>
                    <w:tr2bl w:val="nil"/>
                  </w:tcBorders>
                  <w:shd w:val="clear" w:color="auto" w:fill="auto"/>
                  <w:vAlign w:val="center"/>
                </w:tcPr>
                <w:p w14:paraId="453D5D27">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i w:val="0"/>
                      <w:iCs w:val="0"/>
                      <w:color w:val="auto"/>
                      <w:kern w:val="0"/>
                      <w:sz w:val="21"/>
                      <w:szCs w:val="21"/>
                      <w:highlight w:val="none"/>
                      <w:u w:val="none"/>
                      <w:lang w:val="en-US" w:eastAsia="zh-CN"/>
                    </w:rPr>
                  </w:pPr>
                  <w:r>
                    <w:rPr>
                      <w:color w:val="auto"/>
                      <w:spacing w:val="7"/>
                      <w:sz w:val="21"/>
                      <w:szCs w:val="21"/>
                      <w:highlight w:val="none"/>
                    </w:rPr>
                    <w:t>袋装粉尘</w:t>
                  </w:r>
                </w:p>
              </w:tc>
              <w:tc>
                <w:tcPr>
                  <w:tcW w:w="1222" w:type="dxa"/>
                  <w:tcBorders>
                    <w:tl2br w:val="nil"/>
                    <w:tr2bl w:val="nil"/>
                  </w:tcBorders>
                  <w:shd w:val="clear" w:color="auto" w:fill="auto"/>
                  <w:vAlign w:val="center"/>
                </w:tcPr>
                <w:p w14:paraId="2B76D253">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颗粒物</w:t>
                  </w:r>
                </w:p>
              </w:tc>
              <w:tc>
                <w:tcPr>
                  <w:tcW w:w="1748" w:type="dxa"/>
                  <w:tcBorders>
                    <w:tl2br w:val="nil"/>
                    <w:tr2bl w:val="nil"/>
                  </w:tcBorders>
                  <w:shd w:val="clear" w:color="auto" w:fill="auto"/>
                  <w:vAlign w:val="center"/>
                </w:tcPr>
                <w:p w14:paraId="12CB3823">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1327" w:type="dxa"/>
                  <w:tcBorders>
                    <w:tl2br w:val="nil"/>
                    <w:tr2bl w:val="nil"/>
                  </w:tcBorders>
                  <w:shd w:val="clear" w:color="auto" w:fill="auto"/>
                  <w:vAlign w:val="center"/>
                </w:tcPr>
                <w:p w14:paraId="2A31CD0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0.53</w:t>
                  </w:r>
                </w:p>
              </w:tc>
              <w:tc>
                <w:tcPr>
                  <w:tcW w:w="777" w:type="dxa"/>
                  <w:tcBorders>
                    <w:tl2br w:val="nil"/>
                    <w:tr2bl w:val="nil"/>
                  </w:tcBorders>
                  <w:shd w:val="clear" w:color="auto" w:fill="auto"/>
                  <w:vAlign w:val="center"/>
                </w:tcPr>
                <w:p w14:paraId="75133B78">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1小时</w:t>
                  </w:r>
                </w:p>
              </w:tc>
            </w:tr>
          </w:tbl>
          <w:p w14:paraId="414B9D07">
            <w:pPr>
              <w:keepNext w:val="0"/>
              <w:keepLines w:val="0"/>
              <w:pageBreakBefore w:val="0"/>
              <w:kinsoku w:val="0"/>
              <w:wordWrap/>
              <w:overflowPunct/>
              <w:topLinePunct w:val="0"/>
              <w:autoSpaceDE w:val="0"/>
              <w:autoSpaceDN w:val="0"/>
              <w:bidi w:val="0"/>
              <w:adjustRightInd w:val="0"/>
              <w:snapToGrid w:val="0"/>
              <w:spacing w:before="0" w:line="360" w:lineRule="auto"/>
              <w:ind w:left="0" w:right="0" w:firstLine="480" w:firstLineChars="200"/>
              <w:jc w:val="both"/>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为防止生产废气非正常工况排放，企业必须加强废气</w:t>
            </w:r>
            <w:r>
              <w:rPr>
                <w:rFonts w:ascii="宋体" w:hAnsi="宋体" w:eastAsia="宋体" w:cs="宋体"/>
                <w:snapToGrid w:val="0"/>
                <w:color w:val="auto"/>
                <w:spacing w:val="-1"/>
                <w:kern w:val="0"/>
                <w:sz w:val="24"/>
                <w:szCs w:val="24"/>
                <w:highlight w:val="none"/>
                <w:lang w:val="en-US" w:eastAsia="en-US" w:bidi="ar-SA"/>
              </w:rPr>
              <w:t>处理设施的管理，定期</w:t>
            </w:r>
            <w:r>
              <w:rPr>
                <w:rFonts w:ascii="宋体" w:hAnsi="宋体" w:eastAsia="宋体" w:cs="宋体"/>
                <w:snapToGrid w:val="0"/>
                <w:color w:val="auto"/>
                <w:spacing w:val="-5"/>
                <w:kern w:val="0"/>
                <w:sz w:val="24"/>
                <w:szCs w:val="24"/>
                <w:highlight w:val="none"/>
                <w:lang w:val="en-US" w:eastAsia="en-US" w:bidi="ar-SA"/>
              </w:rPr>
              <w:t>检修，确保废气处理设施正常运行，在废气处理设备停</w:t>
            </w:r>
            <w:r>
              <w:rPr>
                <w:rFonts w:ascii="宋体" w:hAnsi="宋体" w:eastAsia="宋体" w:cs="宋体"/>
                <w:snapToGrid w:val="0"/>
                <w:color w:val="auto"/>
                <w:spacing w:val="-6"/>
                <w:kern w:val="0"/>
                <w:sz w:val="24"/>
                <w:szCs w:val="24"/>
                <w:highlight w:val="none"/>
                <w:lang w:val="en-US" w:eastAsia="en-US" w:bidi="ar-SA"/>
              </w:rPr>
              <w:t>止运行或出现故障时，</w:t>
            </w:r>
            <w:r>
              <w:rPr>
                <w:rFonts w:ascii="宋体" w:hAnsi="宋体" w:eastAsia="宋体" w:cs="宋体"/>
                <w:snapToGrid w:val="0"/>
                <w:color w:val="auto"/>
                <w:kern w:val="0"/>
                <w:sz w:val="24"/>
                <w:szCs w:val="24"/>
                <w:highlight w:val="none"/>
                <w:lang w:val="en-US" w:eastAsia="en-US" w:bidi="ar-SA"/>
              </w:rPr>
              <w:t>产生废气的各工序也必须相应停止生产。为杜绝废气非正常排放</w:t>
            </w:r>
            <w:r>
              <w:rPr>
                <w:rFonts w:ascii="宋体" w:hAnsi="宋体" w:eastAsia="宋体" w:cs="宋体"/>
                <w:snapToGrid w:val="0"/>
                <w:color w:val="auto"/>
                <w:spacing w:val="-1"/>
                <w:kern w:val="0"/>
                <w:sz w:val="24"/>
                <w:szCs w:val="24"/>
                <w:highlight w:val="none"/>
                <w:lang w:val="en-US" w:eastAsia="en-US" w:bidi="ar-SA"/>
              </w:rPr>
              <w:t>，应采取以下措施确保废气达标排放：</w:t>
            </w:r>
          </w:p>
          <w:p w14:paraId="4E7FF100">
            <w:pPr>
              <w:keepNext w:val="0"/>
              <w:keepLines w:val="0"/>
              <w:pageBreakBefore w:val="0"/>
              <w:kinsoku w:val="0"/>
              <w:wordWrap/>
              <w:overflowPunct/>
              <w:topLinePunct w:val="0"/>
              <w:autoSpaceDE w:val="0"/>
              <w:autoSpaceDN w:val="0"/>
              <w:bidi w:val="0"/>
              <w:adjustRightInd w:val="0"/>
              <w:snapToGrid w:val="0"/>
              <w:spacing w:before="0" w:line="360" w:lineRule="auto"/>
              <w:ind w:left="0" w:right="0" w:firstLine="480" w:firstLineChars="200"/>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①安排专人负责环保设备的日常维护和管理，每隔固定时间检</w:t>
            </w:r>
            <w:r>
              <w:rPr>
                <w:rFonts w:ascii="宋体" w:hAnsi="宋体" w:eastAsia="宋体" w:cs="宋体"/>
                <w:snapToGrid w:val="0"/>
                <w:color w:val="auto"/>
                <w:spacing w:val="-1"/>
                <w:kern w:val="0"/>
                <w:sz w:val="24"/>
                <w:szCs w:val="24"/>
                <w:highlight w:val="none"/>
                <w:lang w:val="en-US" w:eastAsia="en-US" w:bidi="ar-SA"/>
              </w:rPr>
              <w:t>查、汇报情况，及时发现废气处理设备的隐患，确保废气处理系统正常运行；</w:t>
            </w:r>
          </w:p>
          <w:p w14:paraId="3F0CE6BD">
            <w:pPr>
              <w:keepNext w:val="0"/>
              <w:keepLines w:val="0"/>
              <w:pageBreakBefore w:val="0"/>
              <w:kinsoku w:val="0"/>
              <w:wordWrap/>
              <w:overflowPunct/>
              <w:topLinePunct w:val="0"/>
              <w:autoSpaceDE w:val="0"/>
              <w:autoSpaceDN w:val="0"/>
              <w:bidi w:val="0"/>
              <w:adjustRightInd w:val="0"/>
              <w:snapToGrid w:val="0"/>
              <w:spacing w:before="0" w:line="360" w:lineRule="auto"/>
              <w:ind w:left="0" w:right="0" w:firstLine="480" w:firstLineChars="200"/>
              <w:jc w:val="left"/>
              <w:textAlignment w:val="baseline"/>
              <w:rPr>
                <w:rFonts w:ascii="宋体" w:hAnsi="宋体" w:eastAsia="宋体" w:cs="宋体"/>
                <w:snapToGrid w:val="0"/>
                <w:color w:val="auto"/>
                <w:kern w:val="0"/>
                <w:sz w:val="24"/>
                <w:szCs w:val="24"/>
                <w:highlight w:val="none"/>
                <w:lang w:val="en-US" w:eastAsia="en-US" w:bidi="ar-SA"/>
              </w:rPr>
            </w:pPr>
            <w:r>
              <w:rPr>
                <w:rFonts w:ascii="宋体" w:hAnsi="宋体" w:eastAsia="宋体" w:cs="宋体"/>
                <w:snapToGrid w:val="0"/>
                <w:color w:val="auto"/>
                <w:kern w:val="0"/>
                <w:sz w:val="24"/>
                <w:szCs w:val="24"/>
                <w:highlight w:val="none"/>
                <w:lang w:val="en-US" w:eastAsia="en-US" w:bidi="ar-SA"/>
              </w:rPr>
              <w:t>②定期检查、检修喷雾抑尘装置及</w:t>
            </w:r>
            <w:r>
              <w:rPr>
                <w:rFonts w:hint="eastAsia" w:ascii="宋体" w:hAnsi="宋体" w:cs="宋体"/>
                <w:snapToGrid w:val="0"/>
                <w:color w:val="auto"/>
                <w:kern w:val="0"/>
                <w:sz w:val="24"/>
                <w:szCs w:val="24"/>
                <w:highlight w:val="none"/>
                <w:lang w:val="en-US" w:eastAsia="zh-CN" w:bidi="ar-SA"/>
              </w:rPr>
              <w:t>脉冲式布袋除尘器</w:t>
            </w:r>
            <w:r>
              <w:rPr>
                <w:rFonts w:ascii="宋体" w:hAnsi="宋体" w:eastAsia="宋体" w:cs="宋体"/>
                <w:snapToGrid w:val="0"/>
                <w:color w:val="auto"/>
                <w:kern w:val="0"/>
                <w:sz w:val="24"/>
                <w:szCs w:val="24"/>
                <w:highlight w:val="none"/>
                <w:lang w:val="en-US" w:eastAsia="en-US" w:bidi="ar-SA"/>
              </w:rPr>
              <w:t>，定期</w:t>
            </w:r>
            <w:r>
              <w:rPr>
                <w:rFonts w:ascii="宋体" w:hAnsi="宋体" w:eastAsia="宋体" w:cs="宋体"/>
                <w:snapToGrid w:val="0"/>
                <w:color w:val="auto"/>
                <w:spacing w:val="-1"/>
                <w:kern w:val="0"/>
                <w:sz w:val="24"/>
                <w:szCs w:val="24"/>
                <w:highlight w:val="none"/>
                <w:lang w:val="en-US" w:eastAsia="en-US" w:bidi="ar-SA"/>
              </w:rPr>
              <w:t>清理、更换布袋；</w:t>
            </w:r>
          </w:p>
          <w:p w14:paraId="66058EAA">
            <w:pPr>
              <w:pStyle w:val="15"/>
              <w:keepNext w:val="0"/>
              <w:keepLines w:val="0"/>
              <w:pageBreakBefore w:val="0"/>
              <w:widowControl w:val="0"/>
              <w:kinsoku/>
              <w:wordWrap/>
              <w:overflowPunct/>
              <w:topLinePunct w:val="0"/>
              <w:autoSpaceDE/>
              <w:autoSpaceDN/>
              <w:bidi w:val="0"/>
              <w:adjustRightInd/>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ascii="宋体" w:hAnsi="宋体" w:eastAsia="宋体" w:cs="宋体"/>
                <w:snapToGrid w:val="0"/>
                <w:color w:val="auto"/>
                <w:kern w:val="0"/>
                <w:sz w:val="24"/>
                <w:szCs w:val="24"/>
                <w:highlight w:val="none"/>
                <w:lang w:val="en-US" w:eastAsia="en-US" w:bidi="ar-SA"/>
              </w:rPr>
              <w:t>③建立健全的环保管理机构，对环保管理人员和技术人员进行岗</w:t>
            </w:r>
            <w:r>
              <w:rPr>
                <w:rFonts w:ascii="宋体" w:hAnsi="宋体" w:eastAsia="宋体" w:cs="宋体"/>
                <w:snapToGrid w:val="0"/>
                <w:color w:val="auto"/>
                <w:spacing w:val="-1"/>
                <w:kern w:val="0"/>
                <w:sz w:val="24"/>
                <w:szCs w:val="24"/>
                <w:highlight w:val="none"/>
                <w:lang w:val="en-US" w:eastAsia="en-US" w:bidi="ar-SA"/>
              </w:rPr>
              <w:t>位培训，</w:t>
            </w:r>
            <w:r>
              <w:rPr>
                <w:rFonts w:hint="eastAsia" w:ascii="Times New Roman" w:hAnsi="Times New Roman" w:cs="Times New Roman"/>
                <w:color w:val="auto"/>
                <w:sz w:val="24"/>
                <w:szCs w:val="24"/>
                <w:highlight w:val="none"/>
                <w:lang w:val="en-US" w:eastAsia="zh-CN"/>
              </w:rPr>
              <w:t>委</w:t>
            </w:r>
            <w:r>
              <w:rPr>
                <w:rFonts w:hint="default" w:ascii="Times New Roman" w:hAnsi="Times New Roman" w:eastAsia="宋体" w:cs="Times New Roman"/>
                <w:color w:val="auto"/>
                <w:sz w:val="24"/>
                <w:szCs w:val="24"/>
                <w:highlight w:val="none"/>
              </w:rPr>
              <w:t>托具有专业资质的</w:t>
            </w:r>
            <w:r>
              <w:rPr>
                <w:rFonts w:hint="eastAsia" w:ascii="Times New Roman" w:hAnsi="Times New Roman" w:cs="Times New Roman"/>
                <w:color w:val="auto"/>
                <w:sz w:val="24"/>
                <w:szCs w:val="24"/>
                <w:highlight w:val="none"/>
                <w:lang w:eastAsia="zh-CN"/>
              </w:rPr>
              <w:t>环境监测</w:t>
            </w:r>
            <w:r>
              <w:rPr>
                <w:rFonts w:hint="default" w:ascii="Times New Roman" w:hAnsi="Times New Roman" w:eastAsia="宋体" w:cs="Times New Roman"/>
                <w:color w:val="auto"/>
                <w:sz w:val="24"/>
                <w:szCs w:val="24"/>
                <w:highlight w:val="none"/>
              </w:rPr>
              <w:t>单位对项目排放的各类污染物进行定期检测；</w:t>
            </w:r>
          </w:p>
          <w:p w14:paraId="6269AC14">
            <w:pPr>
              <w:pStyle w:val="15"/>
              <w:keepNext w:val="0"/>
              <w:keepLines w:val="0"/>
              <w:pageBreakBefore w:val="0"/>
              <w:widowControl w:val="0"/>
              <w:kinsoku/>
              <w:wordWrap/>
              <w:overflowPunct/>
              <w:topLinePunct w:val="0"/>
              <w:autoSpaceDE/>
              <w:autoSpaceDN/>
              <w:bidi w:val="0"/>
              <w:adjustRightInd/>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④应定期维护、检修废气处理装置，以保持废气处理装置的处理能力和处理容量。</w:t>
            </w:r>
          </w:p>
          <w:p w14:paraId="47C8A883">
            <w:pPr>
              <w:pStyle w:val="15"/>
              <w:keepNext w:val="0"/>
              <w:keepLines w:val="0"/>
              <w:pageBreakBefore w:val="0"/>
              <w:widowControl w:val="0"/>
              <w:kinsoku/>
              <w:wordWrap/>
              <w:overflowPunct/>
              <w:topLinePunct w:val="0"/>
              <w:autoSpaceDE/>
              <w:autoSpaceDN/>
              <w:bidi w:val="0"/>
              <w:adjustRightInd/>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6.</w:t>
            </w:r>
            <w:r>
              <w:rPr>
                <w:rFonts w:hint="default" w:ascii="Times New Roman" w:hAnsi="Times New Roman" w:eastAsia="宋体" w:cs="Times New Roman"/>
                <w:color w:val="auto"/>
                <w:sz w:val="24"/>
                <w:szCs w:val="24"/>
                <w:highlight w:val="none"/>
              </w:rPr>
              <w:t>项目废气污染物收集及治理措施可行性分析</w:t>
            </w:r>
          </w:p>
          <w:p w14:paraId="08F8F0C3">
            <w:pPr>
              <w:pStyle w:val="15"/>
              <w:keepNext w:val="0"/>
              <w:keepLines w:val="0"/>
              <w:pageBreakBefore w:val="0"/>
              <w:widowControl w:val="0"/>
              <w:kinsoku/>
              <w:wordWrap/>
              <w:overflowPunct/>
              <w:topLinePunct w:val="0"/>
              <w:autoSpaceDE/>
              <w:autoSpaceDN/>
              <w:bidi w:val="0"/>
              <w:adjustRightInd/>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项目制砂</w:t>
            </w:r>
            <w:r>
              <w:rPr>
                <w:rFonts w:hint="eastAsia" w:ascii="Times New Roman" w:hAnsi="Times New Roman" w:eastAsia="宋体" w:cs="Times New Roman"/>
                <w:color w:val="auto"/>
                <w:sz w:val="24"/>
                <w:szCs w:val="24"/>
                <w:highlight w:val="none"/>
                <w:lang w:val="en-US" w:eastAsia="zh-CN"/>
              </w:rPr>
              <w:t>筛分</w:t>
            </w:r>
            <w:r>
              <w:rPr>
                <w:rFonts w:hint="default" w:ascii="Times New Roman" w:hAnsi="Times New Roman" w:eastAsia="宋体" w:cs="Times New Roman"/>
                <w:color w:val="auto"/>
                <w:sz w:val="24"/>
                <w:szCs w:val="24"/>
                <w:highlight w:val="none"/>
                <w:lang w:val="en-US" w:eastAsia="zh-CN"/>
              </w:rPr>
              <w:t>生产工序</w:t>
            </w:r>
            <w:r>
              <w:rPr>
                <w:rFonts w:hint="eastAsia" w:cs="Times New Roman"/>
                <w:color w:val="auto"/>
                <w:sz w:val="24"/>
                <w:szCs w:val="24"/>
                <w:highlight w:val="none"/>
                <w:lang w:val="en-US" w:eastAsia="zh-CN"/>
              </w:rPr>
              <w:t>采用</w:t>
            </w:r>
            <w:r>
              <w:rPr>
                <w:rFonts w:hint="default" w:ascii="Times New Roman" w:hAnsi="Times New Roman" w:eastAsia="宋体" w:cs="Times New Roman"/>
                <w:color w:val="auto"/>
                <w:sz w:val="24"/>
                <w:szCs w:val="24"/>
                <w:highlight w:val="none"/>
                <w:lang w:val="en-US" w:eastAsia="zh-CN"/>
              </w:rPr>
              <w:t>封闭式作业，采用封闭式皮带运输、设置集尘罩或管道集中收尘处理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经布袋除尘后由1根</w:t>
            </w:r>
            <w:r>
              <w:rPr>
                <w:rFonts w:hint="eastAsia" w:ascii="Times New Roman" w:hAnsi="Times New Roman" w:eastAsia="宋体" w:cs="Times New Roman"/>
                <w:color w:val="auto"/>
                <w:sz w:val="24"/>
                <w:szCs w:val="24"/>
                <w:highlight w:val="none"/>
                <w:lang w:val="en-US" w:eastAsia="zh-CN"/>
              </w:rPr>
              <w:t>15</w:t>
            </w:r>
            <w:r>
              <w:rPr>
                <w:rFonts w:hint="eastAsia" w:cs="Times New Roman"/>
                <w:color w:val="auto"/>
                <w:sz w:val="24"/>
                <w:szCs w:val="24"/>
                <w:highlight w:val="none"/>
                <w:lang w:val="en-US" w:eastAsia="zh-CN"/>
              </w:rPr>
              <w:t>米</w:t>
            </w:r>
            <w:r>
              <w:rPr>
                <w:rFonts w:hint="default" w:ascii="Times New Roman" w:hAnsi="Times New Roman" w:eastAsia="宋体" w:cs="Times New Roman"/>
                <w:color w:val="auto"/>
                <w:sz w:val="24"/>
                <w:szCs w:val="24"/>
                <w:highlight w:val="none"/>
                <w:lang w:val="en-US" w:eastAsia="zh-CN"/>
              </w:rPr>
              <w:t>排气筒</w:t>
            </w:r>
            <w:r>
              <w:rPr>
                <w:rFonts w:hint="eastAsia" w:cs="Times New Roman"/>
                <w:color w:val="auto"/>
                <w:sz w:val="24"/>
                <w:szCs w:val="24"/>
                <w:highlight w:val="none"/>
                <w:lang w:val="en-US" w:eastAsia="zh-CN"/>
              </w:rPr>
              <w:t>（DA108）</w:t>
            </w:r>
            <w:r>
              <w:rPr>
                <w:rFonts w:hint="default" w:ascii="Times New Roman" w:hAnsi="Times New Roman" w:eastAsia="宋体" w:cs="Times New Roman"/>
                <w:color w:val="auto"/>
                <w:sz w:val="24"/>
                <w:szCs w:val="24"/>
                <w:highlight w:val="none"/>
                <w:lang w:val="en-US" w:eastAsia="zh-CN"/>
              </w:rPr>
              <w:t>排放</w:t>
            </w:r>
            <w:r>
              <w:rPr>
                <w:rFonts w:hint="eastAsia" w:cs="Times New Roman"/>
                <w:color w:val="auto"/>
                <w:sz w:val="24"/>
                <w:szCs w:val="24"/>
                <w:highlight w:val="none"/>
                <w:lang w:val="en-US" w:eastAsia="zh-CN"/>
              </w:rPr>
              <w:t>；</w:t>
            </w:r>
            <w:r>
              <w:rPr>
                <w:rFonts w:hint="eastAsia" w:cs="Times New Roman"/>
                <w:color w:val="auto"/>
                <w:sz w:val="24"/>
                <w:szCs w:val="24"/>
                <w:highlight w:val="none"/>
                <w:vertAlign w:val="baseline"/>
                <w:lang w:val="en-US" w:eastAsia="zh-CN"/>
              </w:rPr>
              <w:t>机制砂输送工序产生的</w:t>
            </w:r>
            <w:r>
              <w:rPr>
                <w:rFonts w:hint="default" w:ascii="Times New Roman" w:hAnsi="Times New Roman" w:eastAsia="宋体" w:cs="Times New Roman"/>
                <w:color w:val="auto"/>
                <w:sz w:val="24"/>
                <w:szCs w:val="24"/>
                <w:highlight w:val="none"/>
              </w:rPr>
              <w:t>粉尘</w:t>
            </w:r>
            <w:r>
              <w:rPr>
                <w:rFonts w:hint="eastAsia" w:ascii="Times New Roman" w:hAnsi="Times New Roman" w:eastAsia="宋体" w:cs="Times New Roman"/>
                <w:color w:val="auto"/>
                <w:sz w:val="24"/>
                <w:szCs w:val="24"/>
                <w:highlight w:val="none"/>
                <w:lang w:val="en-US" w:eastAsia="zh-CN"/>
              </w:rPr>
              <w:t>经</w:t>
            </w:r>
            <w:r>
              <w:rPr>
                <w:rFonts w:hint="eastAsia" w:eastAsia="宋体" w:cs="Times New Roman"/>
                <w:color w:val="auto"/>
                <w:sz w:val="24"/>
                <w:szCs w:val="24"/>
                <w:highlight w:val="none"/>
                <w:lang w:val="en-US" w:eastAsia="zh-CN"/>
              </w:rPr>
              <w:t>脉冲</w:t>
            </w:r>
            <w:r>
              <w:rPr>
                <w:rFonts w:hint="default" w:ascii="Times New Roman" w:hAnsi="Times New Roman" w:eastAsia="宋体" w:cs="Times New Roman"/>
                <w:color w:val="auto"/>
                <w:sz w:val="24"/>
                <w:szCs w:val="24"/>
                <w:highlight w:val="none"/>
              </w:rPr>
              <w:t>布袋除尘器处理，通过15m排气筒排放</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DA108</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 xml:space="preserve">。 </w:t>
            </w:r>
          </w:p>
          <w:p w14:paraId="33B5E5C1">
            <w:pPr>
              <w:pStyle w:val="15"/>
              <w:keepNext w:val="0"/>
              <w:keepLines w:val="0"/>
              <w:pageBreakBefore w:val="0"/>
              <w:widowControl w:val="0"/>
              <w:kinsoku/>
              <w:wordWrap/>
              <w:overflowPunct/>
              <w:topLinePunct w:val="0"/>
              <w:autoSpaceDE/>
              <w:autoSpaceDN/>
              <w:bidi w:val="0"/>
              <w:adjustRightInd/>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项目筒仓均位于封闭式车间内，筒仓粉尘经各自仓顶除尘器（袋式除尘器）处理后</w:t>
            </w:r>
            <w:r>
              <w:rPr>
                <w:rFonts w:hint="eastAsia" w:cs="Times New Roman"/>
                <w:color w:val="auto"/>
                <w:sz w:val="24"/>
                <w:szCs w:val="24"/>
                <w:highlight w:val="none"/>
                <w:lang w:val="en-US" w:eastAsia="zh-CN"/>
              </w:rPr>
              <w:t>在</w:t>
            </w:r>
            <w:r>
              <w:rPr>
                <w:rFonts w:hint="default" w:ascii="Times New Roman" w:hAnsi="Times New Roman" w:eastAsia="宋体" w:cs="Times New Roman"/>
                <w:color w:val="auto"/>
                <w:sz w:val="24"/>
                <w:szCs w:val="24"/>
                <w:highlight w:val="none"/>
                <w:lang w:val="en-US" w:eastAsia="zh-CN"/>
              </w:rPr>
              <w:t>车间内排放。</w:t>
            </w:r>
          </w:p>
          <w:p w14:paraId="141015EA">
            <w:pPr>
              <w:pStyle w:val="15"/>
              <w:keepNext w:val="0"/>
              <w:keepLines w:val="0"/>
              <w:pageBreakBefore w:val="0"/>
              <w:widowControl w:val="0"/>
              <w:kinsoku/>
              <w:wordWrap/>
              <w:overflowPunct/>
              <w:topLinePunct w:val="0"/>
              <w:autoSpaceDE/>
              <w:autoSpaceDN/>
              <w:bidi w:val="0"/>
              <w:adjustRightInd/>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项目搅拌楼封闭式车间作业，采用密闭混合机，每台混合机上配置了独立的</w:t>
            </w:r>
            <w:r>
              <w:rPr>
                <w:rFonts w:hint="eastAsia" w:cs="Times New Roman"/>
                <w:color w:val="auto"/>
                <w:sz w:val="24"/>
                <w:szCs w:val="24"/>
                <w:highlight w:val="none"/>
                <w:lang w:val="en-US" w:eastAsia="zh-CN"/>
              </w:rPr>
              <w:t>脉冲式布袋除尘器</w:t>
            </w:r>
            <w:r>
              <w:rPr>
                <w:rFonts w:hint="default" w:ascii="Times New Roman" w:hAnsi="Times New Roman" w:eastAsia="宋体" w:cs="Times New Roman"/>
                <w:color w:val="auto"/>
                <w:sz w:val="24"/>
                <w:szCs w:val="24"/>
                <w:highlight w:val="none"/>
                <w:lang w:val="en-US" w:eastAsia="zh-CN"/>
              </w:rPr>
              <w:t>用来释放主机搅拌过程中的压力和粉尘，处理后车间内排放。项目包装（散装和袋装），产生</w:t>
            </w:r>
            <w:r>
              <w:rPr>
                <w:rFonts w:hint="eastAsia"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粉尘均经过</w:t>
            </w:r>
            <w:r>
              <w:rPr>
                <w:rFonts w:hint="eastAsia" w:cs="Times New Roman"/>
                <w:color w:val="auto"/>
                <w:sz w:val="24"/>
                <w:szCs w:val="24"/>
                <w:highlight w:val="none"/>
                <w:lang w:val="en-US" w:eastAsia="zh-CN"/>
              </w:rPr>
              <w:t>脉冲式布袋除尘器</w:t>
            </w:r>
            <w:r>
              <w:rPr>
                <w:rFonts w:hint="default" w:ascii="Times New Roman" w:hAnsi="Times New Roman" w:eastAsia="宋体" w:cs="Times New Roman"/>
                <w:color w:val="auto"/>
                <w:sz w:val="24"/>
                <w:szCs w:val="24"/>
                <w:highlight w:val="none"/>
                <w:lang w:val="en-US" w:eastAsia="zh-CN"/>
              </w:rPr>
              <w:t>处理后</w:t>
            </w:r>
            <w:r>
              <w:rPr>
                <w:rFonts w:hint="eastAsia" w:cs="Times New Roman"/>
                <w:color w:val="auto"/>
                <w:sz w:val="24"/>
                <w:szCs w:val="24"/>
                <w:highlight w:val="none"/>
                <w:lang w:val="en-US" w:eastAsia="zh-CN"/>
              </w:rPr>
              <w:t>在</w:t>
            </w:r>
            <w:r>
              <w:rPr>
                <w:rFonts w:hint="default" w:ascii="Times New Roman" w:hAnsi="Times New Roman" w:eastAsia="宋体" w:cs="Times New Roman"/>
                <w:color w:val="auto"/>
                <w:sz w:val="24"/>
                <w:szCs w:val="24"/>
                <w:highlight w:val="none"/>
                <w:lang w:val="en-US" w:eastAsia="zh-CN"/>
              </w:rPr>
              <w:t>车间内封闭。</w:t>
            </w:r>
          </w:p>
          <w:p w14:paraId="053BE8C7">
            <w:pPr>
              <w:pStyle w:val="15"/>
              <w:keepNext w:val="0"/>
              <w:keepLines w:val="0"/>
              <w:pageBreakBefore w:val="0"/>
              <w:widowControl w:val="0"/>
              <w:kinsoku/>
              <w:wordWrap/>
              <w:overflowPunct/>
              <w:topLinePunct w:val="0"/>
              <w:autoSpaceDE/>
              <w:autoSpaceDN/>
              <w:bidi w:val="0"/>
              <w:adjustRightInd/>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参照《排污许可证申请与核发技术规范</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陶瓷砖瓦工业》</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HJ 954-2018</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中表3，污染防治可行技术参考表，项目废气治理措施可行，详见表</w:t>
            </w:r>
            <w:r>
              <w:rPr>
                <w:rFonts w:hint="eastAsia" w:cs="Times New Roman"/>
                <w:color w:val="auto"/>
                <w:sz w:val="24"/>
                <w:szCs w:val="24"/>
                <w:highlight w:val="none"/>
                <w:lang w:val="en-US" w:eastAsia="zh-CN"/>
              </w:rPr>
              <w:t>4-10</w:t>
            </w:r>
            <w:r>
              <w:rPr>
                <w:rFonts w:hint="default" w:ascii="Times New Roman" w:hAnsi="Times New Roman" w:eastAsia="宋体" w:cs="Times New Roman"/>
                <w:color w:val="auto"/>
                <w:sz w:val="24"/>
                <w:szCs w:val="24"/>
                <w:highlight w:val="none"/>
                <w:lang w:val="en-US" w:eastAsia="zh-CN"/>
              </w:rPr>
              <w:t>。</w:t>
            </w:r>
          </w:p>
          <w:p w14:paraId="1566AA99">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 xml:space="preserve">-10 </w:t>
            </w:r>
            <w:r>
              <w:rPr>
                <w:rFonts w:hint="default" w:ascii="Times New Roman" w:hAnsi="Times New Roman" w:eastAsia="宋体" w:cs="Times New Roman"/>
                <w:b/>
                <w:bCs/>
                <w:color w:val="auto"/>
                <w:sz w:val="21"/>
                <w:szCs w:val="21"/>
                <w:highlight w:val="none"/>
                <w:lang w:val="en-US" w:eastAsia="zh-CN"/>
              </w:rPr>
              <w:t xml:space="preserve"> 废气处理工艺可行性分析表</w:t>
            </w:r>
          </w:p>
          <w:tbl>
            <w:tblPr>
              <w:tblStyle w:val="20"/>
              <w:tblW w:w="8319"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1347"/>
              <w:gridCol w:w="1838"/>
              <w:gridCol w:w="1200"/>
              <w:gridCol w:w="1243"/>
            </w:tblGrid>
            <w:tr w14:paraId="17317E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91" w:type="dxa"/>
                  <w:tcBorders>
                    <w:tl2br w:val="nil"/>
                    <w:tr2bl w:val="nil"/>
                  </w:tcBorders>
                  <w:vAlign w:val="center"/>
                </w:tcPr>
                <w:p w14:paraId="047C5B4A">
                  <w:pPr>
                    <w:pStyle w:val="15"/>
                    <w:keepNext w:val="0"/>
                    <w:keepLines w:val="0"/>
                    <w:pageBreakBefore w:val="0"/>
                    <w:widowControl w:val="0"/>
                    <w:kinsoku/>
                    <w:wordWrap/>
                    <w:overflowPunct/>
                    <w:topLinePunct w:val="0"/>
                    <w:autoSpaceDE/>
                    <w:autoSpaceDN/>
                    <w:bidi w:val="0"/>
                    <w:adjustRightInd/>
                    <w:snapToGrid w:val="0"/>
                    <w:spacing w:line="240" w:lineRule="auto"/>
                    <w:ind w:left="422" w:leftChars="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排放口</w:t>
                  </w:r>
                </w:p>
              </w:tc>
              <w:tc>
                <w:tcPr>
                  <w:tcW w:w="1347" w:type="dxa"/>
                  <w:tcBorders>
                    <w:tl2br w:val="nil"/>
                    <w:tr2bl w:val="nil"/>
                  </w:tcBorders>
                  <w:vAlign w:val="center"/>
                </w:tcPr>
                <w:p w14:paraId="67165479">
                  <w:pPr>
                    <w:pStyle w:val="15"/>
                    <w:keepNext w:val="0"/>
                    <w:keepLines w:val="0"/>
                    <w:pageBreakBefore w:val="0"/>
                    <w:widowControl w:val="0"/>
                    <w:kinsoku/>
                    <w:wordWrap/>
                    <w:overflowPunct/>
                    <w:topLinePunct w:val="0"/>
                    <w:autoSpaceDE/>
                    <w:autoSpaceDN/>
                    <w:bidi w:val="0"/>
                    <w:adjustRightInd/>
                    <w:snapToGrid w:val="0"/>
                    <w:spacing w:line="240" w:lineRule="auto"/>
                    <w:ind w:left="422" w:leftChars="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主要污染物</w:t>
                  </w:r>
                </w:p>
              </w:tc>
              <w:tc>
                <w:tcPr>
                  <w:tcW w:w="1838" w:type="dxa"/>
                  <w:tcBorders>
                    <w:tl2br w:val="nil"/>
                    <w:tr2bl w:val="nil"/>
                  </w:tcBorders>
                  <w:vAlign w:val="center"/>
                </w:tcPr>
                <w:p w14:paraId="5B2BA8E7">
                  <w:pPr>
                    <w:pStyle w:val="15"/>
                    <w:keepNext w:val="0"/>
                    <w:keepLines w:val="0"/>
                    <w:pageBreakBefore w:val="0"/>
                    <w:widowControl w:val="0"/>
                    <w:kinsoku/>
                    <w:wordWrap/>
                    <w:overflowPunct/>
                    <w:topLinePunct w:val="0"/>
                    <w:autoSpaceDE/>
                    <w:autoSpaceDN/>
                    <w:bidi w:val="0"/>
                    <w:adjustRightInd/>
                    <w:snapToGrid w:val="0"/>
                    <w:spacing w:line="240" w:lineRule="auto"/>
                    <w:ind w:left="422" w:leftChars="0" w:right="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lang w:val="en-US" w:eastAsia="zh-CN"/>
                    </w:rPr>
                    <w:t>可行技术</w:t>
                  </w:r>
                </w:p>
              </w:tc>
              <w:tc>
                <w:tcPr>
                  <w:tcW w:w="1200" w:type="dxa"/>
                  <w:tcBorders>
                    <w:tl2br w:val="nil"/>
                    <w:tr2bl w:val="nil"/>
                  </w:tcBorders>
                  <w:vAlign w:val="center"/>
                </w:tcPr>
                <w:p w14:paraId="0E3EE855">
                  <w:pPr>
                    <w:pStyle w:val="15"/>
                    <w:keepNext w:val="0"/>
                    <w:keepLines w:val="0"/>
                    <w:pageBreakBefore w:val="0"/>
                    <w:widowControl w:val="0"/>
                    <w:kinsoku/>
                    <w:wordWrap/>
                    <w:overflowPunct/>
                    <w:topLinePunct w:val="0"/>
                    <w:autoSpaceDE/>
                    <w:autoSpaceDN/>
                    <w:bidi w:val="0"/>
                    <w:adjustRightInd/>
                    <w:snapToGrid w:val="0"/>
                    <w:spacing w:line="240" w:lineRule="auto"/>
                    <w:ind w:left="422" w:leftChars="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本项目</w:t>
                  </w:r>
                </w:p>
              </w:tc>
              <w:tc>
                <w:tcPr>
                  <w:tcW w:w="1243" w:type="dxa"/>
                  <w:tcBorders>
                    <w:tl2br w:val="nil"/>
                    <w:tr2bl w:val="nil"/>
                  </w:tcBorders>
                  <w:vAlign w:val="center"/>
                </w:tcPr>
                <w:p w14:paraId="126D0527">
                  <w:pPr>
                    <w:pStyle w:val="15"/>
                    <w:keepNext w:val="0"/>
                    <w:keepLines w:val="0"/>
                    <w:pageBreakBefore w:val="0"/>
                    <w:widowControl w:val="0"/>
                    <w:kinsoku/>
                    <w:wordWrap/>
                    <w:overflowPunct/>
                    <w:topLinePunct w:val="0"/>
                    <w:autoSpaceDE/>
                    <w:autoSpaceDN/>
                    <w:bidi w:val="0"/>
                    <w:adjustRightInd/>
                    <w:snapToGrid w:val="0"/>
                    <w:spacing w:line="240" w:lineRule="auto"/>
                    <w:ind w:left="422" w:leftChars="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可行性</w:t>
                  </w:r>
                </w:p>
              </w:tc>
            </w:tr>
            <w:tr w14:paraId="005C16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91" w:type="dxa"/>
                  <w:tcBorders>
                    <w:tl2br w:val="nil"/>
                    <w:tr2bl w:val="nil"/>
                  </w:tcBorders>
                  <w:vAlign w:val="center"/>
                </w:tcPr>
                <w:p w14:paraId="42D23CA3">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生产过程中破碎机、搅拌机、成型机、其他废气收集装置等对应排放口</w:t>
                  </w:r>
                </w:p>
              </w:tc>
              <w:tc>
                <w:tcPr>
                  <w:tcW w:w="1347" w:type="dxa"/>
                  <w:tcBorders>
                    <w:tl2br w:val="nil"/>
                    <w:tr2bl w:val="nil"/>
                  </w:tcBorders>
                  <w:vAlign w:val="center"/>
                </w:tcPr>
                <w:p w14:paraId="104F9C37">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颗粒物</w:t>
                  </w:r>
                </w:p>
              </w:tc>
              <w:tc>
                <w:tcPr>
                  <w:tcW w:w="1838" w:type="dxa"/>
                  <w:tcBorders>
                    <w:tl2br w:val="nil"/>
                    <w:tr2bl w:val="nil"/>
                  </w:tcBorders>
                  <w:vAlign w:val="center"/>
                </w:tcPr>
                <w:p w14:paraId="65B92372">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湿法作业或采用袋式除尘等技术</w:t>
                  </w:r>
                </w:p>
              </w:tc>
              <w:tc>
                <w:tcPr>
                  <w:tcW w:w="1200" w:type="dxa"/>
                  <w:tcBorders>
                    <w:tl2br w:val="nil"/>
                    <w:tr2bl w:val="nil"/>
                  </w:tcBorders>
                  <w:vAlign w:val="center"/>
                </w:tcPr>
                <w:p w14:paraId="1D0B821E">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eastAsia="宋体" w:cs="Times New Roman"/>
                      <w:color w:val="auto"/>
                      <w:sz w:val="21"/>
                      <w:szCs w:val="21"/>
                      <w:highlight w:val="none"/>
                      <w:vertAlign w:val="baseline"/>
                      <w:lang w:val="en-US" w:eastAsia="zh-CN"/>
                    </w:rPr>
                    <w:t>袋式除尘器</w:t>
                  </w:r>
                </w:p>
              </w:tc>
              <w:tc>
                <w:tcPr>
                  <w:tcW w:w="1243" w:type="dxa"/>
                  <w:tcBorders>
                    <w:tl2br w:val="nil"/>
                    <w:tr2bl w:val="nil"/>
                  </w:tcBorders>
                  <w:vAlign w:val="center"/>
                </w:tcPr>
                <w:p w14:paraId="117FD8B6">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可行</w:t>
                  </w:r>
                </w:p>
              </w:tc>
            </w:tr>
          </w:tbl>
          <w:p w14:paraId="65224376">
            <w:pPr>
              <w:pStyle w:val="15"/>
              <w:keepNext w:val="0"/>
              <w:keepLines w:val="0"/>
              <w:pageBreakBefore w:val="0"/>
              <w:widowControl w:val="0"/>
              <w:kinsoku/>
              <w:wordWrap/>
              <w:overflowPunct/>
              <w:topLinePunct w:val="0"/>
              <w:autoSpaceDE/>
              <w:autoSpaceDN/>
              <w:bidi w:val="0"/>
              <w:adjustRightInd/>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7.</w:t>
            </w:r>
            <w:r>
              <w:rPr>
                <w:rFonts w:hint="default" w:ascii="Times New Roman" w:hAnsi="Times New Roman" w:eastAsia="宋体" w:cs="Times New Roman"/>
                <w:color w:val="auto"/>
                <w:sz w:val="24"/>
                <w:szCs w:val="24"/>
                <w:highlight w:val="none"/>
              </w:rPr>
              <w:t>废气排放</w:t>
            </w:r>
            <w:r>
              <w:rPr>
                <w:rFonts w:hint="eastAsia" w:cs="Times New Roman"/>
                <w:color w:val="auto"/>
                <w:sz w:val="24"/>
                <w:szCs w:val="24"/>
                <w:highlight w:val="none"/>
                <w:lang w:val="en-US" w:eastAsia="zh-CN"/>
              </w:rPr>
              <w:t>对</w:t>
            </w:r>
            <w:r>
              <w:rPr>
                <w:rFonts w:hint="default" w:ascii="Times New Roman" w:hAnsi="Times New Roman" w:eastAsia="宋体" w:cs="Times New Roman"/>
                <w:color w:val="auto"/>
                <w:sz w:val="24"/>
                <w:szCs w:val="24"/>
                <w:highlight w:val="none"/>
              </w:rPr>
              <w:t>环境影响分析</w:t>
            </w:r>
          </w:p>
          <w:p w14:paraId="75506CD2">
            <w:pPr>
              <w:pStyle w:val="15"/>
              <w:keepNext w:val="0"/>
              <w:keepLines w:val="0"/>
              <w:pageBreakBefore w:val="0"/>
              <w:widowControl w:val="0"/>
              <w:kinsoku/>
              <w:wordWrap/>
              <w:overflowPunct/>
              <w:topLinePunct w:val="0"/>
              <w:autoSpaceDE/>
              <w:autoSpaceDN/>
              <w:bidi w:val="0"/>
              <w:adjustRightInd/>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val="en-US" w:eastAsia="zh-CN"/>
              </w:rPr>
              <w:t>生产设备</w:t>
            </w:r>
            <w:r>
              <w:rPr>
                <w:rFonts w:hint="default" w:ascii="Times New Roman" w:hAnsi="Times New Roman" w:eastAsia="宋体" w:cs="Times New Roman"/>
                <w:color w:val="auto"/>
                <w:sz w:val="24"/>
                <w:szCs w:val="24"/>
                <w:highlight w:val="none"/>
              </w:rPr>
              <w:t>均置于封闭车间内，车间地面硬化，</w:t>
            </w:r>
            <w:r>
              <w:rPr>
                <w:rFonts w:hint="eastAsia" w:ascii="Times New Roman" w:hAnsi="Times New Roman" w:eastAsia="宋体" w:cs="Times New Roman"/>
                <w:color w:val="auto"/>
                <w:sz w:val="24"/>
                <w:szCs w:val="24"/>
                <w:highlight w:val="none"/>
                <w:lang w:val="en-US" w:eastAsia="zh-CN"/>
              </w:rPr>
              <w:t>厂区</w:t>
            </w:r>
            <w:r>
              <w:rPr>
                <w:rFonts w:hint="default" w:ascii="Times New Roman" w:hAnsi="Times New Roman" w:eastAsia="宋体" w:cs="Times New Roman"/>
                <w:color w:val="auto"/>
                <w:sz w:val="24"/>
                <w:szCs w:val="24"/>
                <w:highlight w:val="none"/>
              </w:rPr>
              <w:t>出入口设置洗车台；</w:t>
            </w:r>
            <w:r>
              <w:rPr>
                <w:rFonts w:hint="eastAsia" w:ascii="Times New Roman" w:hAnsi="Times New Roman" w:eastAsia="宋体" w:cs="Times New Roman"/>
                <w:color w:val="auto"/>
                <w:sz w:val="24"/>
                <w:szCs w:val="24"/>
                <w:highlight w:val="none"/>
                <w:lang w:val="en-US" w:eastAsia="zh-CN"/>
              </w:rPr>
              <w:t>机制砂、</w:t>
            </w:r>
            <w:r>
              <w:rPr>
                <w:rFonts w:hint="eastAsia" w:cs="Times New Roman"/>
                <w:color w:val="auto"/>
                <w:sz w:val="24"/>
                <w:szCs w:val="24"/>
                <w:highlight w:val="none"/>
                <w:lang w:val="en-US" w:eastAsia="zh-CN"/>
              </w:rPr>
              <w:t>矿粉</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水泥</w:t>
            </w:r>
            <w:r>
              <w:rPr>
                <w:rFonts w:hint="eastAsia" w:ascii="Times New Roman" w:hAnsi="Times New Roman" w:eastAsia="宋体" w:cs="Times New Roman"/>
                <w:color w:val="auto"/>
                <w:sz w:val="24"/>
                <w:szCs w:val="24"/>
                <w:highlight w:val="none"/>
                <w:lang w:val="en-US" w:eastAsia="zh-CN"/>
              </w:rPr>
              <w:t>等均采用</w:t>
            </w:r>
            <w:r>
              <w:rPr>
                <w:rFonts w:hint="default" w:ascii="Times New Roman" w:hAnsi="Times New Roman" w:eastAsia="宋体" w:cs="Times New Roman"/>
                <w:color w:val="auto"/>
                <w:sz w:val="24"/>
                <w:szCs w:val="24"/>
                <w:highlight w:val="none"/>
              </w:rPr>
              <w:t>封闭输送带，粉状物料密闭输送，储罐均自带</w:t>
            </w:r>
            <w:r>
              <w:rPr>
                <w:rFonts w:hint="eastAsia" w:cs="Times New Roman"/>
                <w:color w:val="auto"/>
                <w:sz w:val="24"/>
                <w:szCs w:val="24"/>
                <w:highlight w:val="none"/>
                <w:lang w:eastAsia="zh-CN"/>
              </w:rPr>
              <w:t>脉冲式布袋除尘器</w:t>
            </w:r>
            <w:r>
              <w:rPr>
                <w:rFonts w:hint="default" w:ascii="Times New Roman" w:hAnsi="Times New Roman" w:eastAsia="宋体" w:cs="Times New Roman"/>
                <w:color w:val="auto"/>
                <w:sz w:val="24"/>
                <w:szCs w:val="24"/>
                <w:highlight w:val="none"/>
              </w:rPr>
              <w:t>。各项环保措施均能有效控制粉尘污染</w:t>
            </w:r>
            <w:r>
              <w:rPr>
                <w:rFonts w:hint="eastAsia" w:cs="Times New Roman"/>
                <w:bCs/>
                <w:color w:val="auto"/>
                <w:kern w:val="0"/>
                <w:sz w:val="24"/>
                <w:szCs w:val="24"/>
                <w:highlight w:val="none"/>
                <w:lang w:val="en-US" w:eastAsia="zh-CN" w:bidi="ar-SA"/>
              </w:rPr>
              <w:t>项目位于环境空气质量二类功能区，经现场踏勘，项目厂界外500米范围无大气环境保护目标。项目运营期废气污染物主要为颗粒物，经计算，项目运营期产生的废气污染物经相应的污染治理措施处理后可满足相应排放标准，实现达标排放，项目废气排放对周围大气环境影响较小，不会改变区域环境空气质量</w:t>
            </w:r>
            <w:r>
              <w:rPr>
                <w:rFonts w:hint="default" w:ascii="Times New Roman" w:hAnsi="Times New Roman" w:eastAsia="宋体" w:cs="Times New Roman"/>
                <w:color w:val="auto"/>
                <w:sz w:val="24"/>
                <w:szCs w:val="24"/>
                <w:highlight w:val="none"/>
              </w:rPr>
              <w:t>。</w:t>
            </w:r>
          </w:p>
          <w:p w14:paraId="4D6A8C82">
            <w:pPr>
              <w:pStyle w:val="2"/>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textAlignment w:val="auto"/>
              <w:rPr>
                <w:rFonts w:eastAsiaTheme="minorEastAsia"/>
                <w:b/>
                <w:color w:val="auto"/>
                <w:highlight w:val="none"/>
              </w:rPr>
            </w:pPr>
            <w:r>
              <w:rPr>
                <w:rFonts w:eastAsiaTheme="minorEastAsia"/>
                <w:b/>
                <w:color w:val="auto"/>
                <w:highlight w:val="none"/>
              </w:rPr>
              <w:t>二、废水</w:t>
            </w:r>
          </w:p>
          <w:p w14:paraId="10CCBB2D">
            <w:pPr>
              <w:adjustRightInd w:val="0"/>
              <w:snapToGrid w:val="0"/>
              <w:spacing w:line="360" w:lineRule="auto"/>
              <w:ind w:firstLine="480" w:firstLineChars="200"/>
              <w:rPr>
                <w:rFonts w:hint="eastAsia" w:cs="Times New Roman" w:eastAsiaTheme="minorEastAsia"/>
                <w:color w:val="auto"/>
                <w:kern w:val="0"/>
                <w:sz w:val="24"/>
                <w:szCs w:val="24"/>
                <w:highlight w:val="none"/>
                <w:lang w:val="en-US" w:eastAsia="zh-CN"/>
              </w:rPr>
            </w:pPr>
            <w:r>
              <w:rPr>
                <w:rFonts w:hint="eastAsia" w:cs="Times New Roman" w:eastAsiaTheme="minorEastAsia"/>
                <w:color w:val="auto"/>
                <w:kern w:val="0"/>
                <w:sz w:val="24"/>
                <w:szCs w:val="24"/>
                <w:highlight w:val="none"/>
                <w:lang w:val="en-US" w:eastAsia="zh-CN"/>
              </w:rPr>
              <w:t>本项目不新增劳动定员，无新增生活污水。</w:t>
            </w:r>
          </w:p>
          <w:p w14:paraId="717D9106">
            <w:pPr>
              <w:adjustRightInd w:val="0"/>
              <w:snapToGrid w:val="0"/>
              <w:spacing w:line="360" w:lineRule="auto"/>
              <w:ind w:firstLine="480" w:firstLineChars="200"/>
              <w:rPr>
                <w:rFonts w:hint="eastAsia" w:cs="Times New Roman" w:eastAsiaTheme="minorEastAsia"/>
                <w:color w:val="auto"/>
                <w:kern w:val="0"/>
                <w:sz w:val="24"/>
                <w:szCs w:val="24"/>
                <w:highlight w:val="none"/>
                <w:lang w:val="en-US" w:eastAsia="zh-CN"/>
              </w:rPr>
            </w:pPr>
            <w:r>
              <w:rPr>
                <w:rFonts w:hint="eastAsia" w:cs="Times New Roman" w:eastAsiaTheme="minorEastAsia"/>
                <w:color w:val="auto"/>
                <w:kern w:val="0"/>
                <w:sz w:val="24"/>
                <w:szCs w:val="24"/>
                <w:highlight w:val="none"/>
                <w:lang w:val="en-US" w:eastAsia="zh-CN"/>
              </w:rPr>
              <w:t>本项目新增车辆冲洗废水3.58m</w:t>
            </w:r>
            <w:r>
              <w:rPr>
                <w:rFonts w:hint="eastAsia" w:cs="Times New Roman" w:eastAsiaTheme="minorEastAsia"/>
                <w:color w:val="auto"/>
                <w:kern w:val="0"/>
                <w:sz w:val="24"/>
                <w:szCs w:val="24"/>
                <w:highlight w:val="none"/>
                <w:vertAlign w:val="superscript"/>
                <w:lang w:val="en-US" w:eastAsia="zh-CN"/>
              </w:rPr>
              <w:t>3</w:t>
            </w:r>
            <w:r>
              <w:rPr>
                <w:rFonts w:hint="eastAsia" w:cs="Times New Roman" w:eastAsiaTheme="minorEastAsia"/>
                <w:color w:val="auto"/>
                <w:kern w:val="0"/>
                <w:sz w:val="24"/>
                <w:szCs w:val="24"/>
                <w:highlight w:val="none"/>
                <w:lang w:val="en-US" w:eastAsia="zh-CN"/>
              </w:rPr>
              <w:t>/d（716.32m</w:t>
            </w:r>
            <w:r>
              <w:rPr>
                <w:rFonts w:hint="eastAsia" w:cs="Times New Roman" w:eastAsiaTheme="minorEastAsia"/>
                <w:color w:val="auto"/>
                <w:kern w:val="0"/>
                <w:sz w:val="24"/>
                <w:szCs w:val="24"/>
                <w:highlight w:val="none"/>
                <w:vertAlign w:val="superscript"/>
                <w:lang w:val="en-US" w:eastAsia="zh-CN"/>
              </w:rPr>
              <w:t>3</w:t>
            </w:r>
            <w:r>
              <w:rPr>
                <w:rFonts w:hint="eastAsia" w:cs="Times New Roman" w:eastAsiaTheme="minorEastAsia"/>
                <w:color w:val="auto"/>
                <w:kern w:val="0"/>
                <w:sz w:val="24"/>
                <w:szCs w:val="24"/>
                <w:highlight w:val="none"/>
                <w:lang w:val="en-US" w:eastAsia="zh-CN"/>
              </w:rPr>
              <w:t>/a），其主要污染物为COD、SS等。车辆冲洗废水经洗车平台沉淀池沉淀后回用于洗车，不外排。</w:t>
            </w:r>
          </w:p>
          <w:p w14:paraId="0003B2BD">
            <w:pPr>
              <w:adjustRightInd w:val="0"/>
              <w:snapToGrid w:val="0"/>
              <w:spacing w:line="360" w:lineRule="auto"/>
              <w:ind w:firstLine="480" w:firstLineChars="200"/>
              <w:rPr>
                <w:rFonts w:hint="default" w:cs="Times New Roman" w:eastAsiaTheme="minorEastAsia"/>
                <w:color w:val="auto"/>
                <w:kern w:val="0"/>
                <w:sz w:val="24"/>
                <w:szCs w:val="24"/>
                <w:highlight w:val="none"/>
                <w:lang w:val="en-US" w:eastAsia="zh-CN"/>
              </w:rPr>
            </w:pPr>
            <w:r>
              <w:rPr>
                <w:rFonts w:hint="eastAsia" w:cs="Times New Roman" w:eastAsiaTheme="minorEastAsia"/>
                <w:color w:val="auto"/>
                <w:kern w:val="0"/>
                <w:sz w:val="24"/>
                <w:szCs w:val="24"/>
                <w:highlight w:val="none"/>
                <w:lang w:val="en-US" w:eastAsia="zh-CN"/>
              </w:rPr>
              <w:t>综上分析，本项目运营期废水不外排，对地表水环境影响很小。</w:t>
            </w:r>
          </w:p>
          <w:p w14:paraId="53EC507B">
            <w:pPr>
              <w:pStyle w:val="27"/>
              <w:spacing w:line="360" w:lineRule="auto"/>
              <w:rPr>
                <w:rFonts w:ascii="Times New Roman" w:hAnsi="Times New Roman" w:cs="Times New Roman" w:eastAsiaTheme="minorEastAsia"/>
                <w:b/>
                <w:bCs/>
                <w:color w:val="auto"/>
                <w:sz w:val="24"/>
                <w:highlight w:val="none"/>
                <w:lang w:val="en-US"/>
              </w:rPr>
            </w:pPr>
            <w:r>
              <w:rPr>
                <w:rFonts w:ascii="Times New Roman" w:hAnsi="Times New Roman" w:cs="Times New Roman" w:eastAsiaTheme="minorEastAsia"/>
                <w:b/>
                <w:bCs/>
                <w:color w:val="auto"/>
                <w:sz w:val="24"/>
                <w:highlight w:val="none"/>
                <w:lang w:val="en-US"/>
              </w:rPr>
              <w:t>三、噪声</w:t>
            </w:r>
          </w:p>
          <w:p w14:paraId="3112D01C">
            <w:pPr>
              <w:pStyle w:val="27"/>
              <w:spacing w:line="360" w:lineRule="auto"/>
              <w:ind w:firstLine="482" w:firstLineChars="200"/>
              <w:rPr>
                <w:rFonts w:ascii="Times New Roman" w:hAnsi="Times New Roman" w:cs="Times New Roman" w:eastAsiaTheme="minorEastAsia"/>
                <w:b/>
                <w:bCs/>
                <w:color w:val="auto"/>
                <w:sz w:val="24"/>
                <w:highlight w:val="none"/>
                <w:lang w:val="en-US"/>
              </w:rPr>
            </w:pPr>
            <w:r>
              <w:rPr>
                <w:rFonts w:ascii="Times New Roman" w:hAnsi="Times New Roman" w:cs="Times New Roman" w:eastAsiaTheme="minorEastAsia"/>
                <w:b/>
                <w:bCs/>
                <w:color w:val="auto"/>
                <w:sz w:val="24"/>
                <w:highlight w:val="none"/>
                <w:lang w:val="en-US"/>
              </w:rPr>
              <w:t>1</w:t>
            </w:r>
            <w:r>
              <w:rPr>
                <w:rFonts w:hint="eastAsia" w:ascii="Times New Roman" w:hAnsi="Times New Roman" w:cs="Times New Roman" w:eastAsiaTheme="minorEastAsia"/>
                <w:b/>
                <w:bCs/>
                <w:color w:val="auto"/>
                <w:sz w:val="24"/>
                <w:highlight w:val="none"/>
                <w:lang w:val="en-US" w:eastAsia="zh-CN"/>
              </w:rPr>
              <w:t>.</w:t>
            </w:r>
            <w:r>
              <w:rPr>
                <w:rFonts w:ascii="Times New Roman" w:hAnsi="Times New Roman" w:cs="Times New Roman" w:eastAsiaTheme="minorEastAsia"/>
                <w:b/>
                <w:bCs/>
                <w:color w:val="auto"/>
                <w:sz w:val="24"/>
                <w:highlight w:val="none"/>
                <w:lang w:val="en-US"/>
              </w:rPr>
              <w:t>噪声源强</w:t>
            </w:r>
          </w:p>
          <w:p w14:paraId="5F294D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w:t>
            </w:r>
            <w:r>
              <w:rPr>
                <w:rFonts w:hint="eastAsia" w:cs="Times New Roman"/>
                <w:color w:val="auto"/>
                <w:sz w:val="24"/>
                <w:highlight w:val="none"/>
                <w:lang w:val="en-US" w:eastAsia="zh-CN"/>
              </w:rPr>
              <w:t>项目为</w:t>
            </w:r>
            <w:r>
              <w:rPr>
                <w:rFonts w:hint="default" w:ascii="Times New Roman" w:hAnsi="Times New Roman" w:eastAsia="宋体" w:cs="Times New Roman"/>
                <w:color w:val="auto"/>
                <w:sz w:val="24"/>
                <w:highlight w:val="none"/>
              </w:rPr>
              <w:t>扩建项目，</w:t>
            </w:r>
            <w:r>
              <w:rPr>
                <w:rFonts w:hint="eastAsia" w:cs="Times New Roman"/>
                <w:color w:val="auto"/>
                <w:sz w:val="24"/>
                <w:highlight w:val="none"/>
                <w:lang w:val="en-US" w:eastAsia="zh-CN"/>
              </w:rPr>
              <w:t>根据企业最新的噪声自行监测报告</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现有工程项目</w:t>
            </w:r>
            <w:r>
              <w:rPr>
                <w:rFonts w:hint="default" w:ascii="Times New Roman" w:hAnsi="Times New Roman" w:eastAsia="宋体" w:cs="Times New Roman"/>
                <w:color w:val="auto"/>
                <w:sz w:val="24"/>
                <w:highlight w:val="none"/>
              </w:rPr>
              <w:t>厂界昼夜间噪声均满足《工业企业厂界环境噪声排放标准》（GB12348-2008）中的</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类标准，因此，本次</w:t>
            </w:r>
            <w:r>
              <w:rPr>
                <w:rFonts w:hint="default" w:ascii="Times New Roman" w:hAnsi="Times New Roman" w:eastAsia="宋体" w:cs="Times New Roman"/>
                <w:color w:val="auto"/>
                <w:sz w:val="24"/>
                <w:highlight w:val="none"/>
                <w:lang w:val="en-US" w:eastAsia="zh-CN"/>
              </w:rPr>
              <w:t>扩建项目</w:t>
            </w:r>
            <w:r>
              <w:rPr>
                <w:rFonts w:hint="default" w:ascii="Times New Roman" w:hAnsi="Times New Roman" w:eastAsia="宋体" w:cs="Times New Roman"/>
                <w:color w:val="auto"/>
                <w:sz w:val="24"/>
                <w:highlight w:val="none"/>
              </w:rPr>
              <w:t>噪声源强不考虑</w:t>
            </w:r>
            <w:r>
              <w:rPr>
                <w:rFonts w:hint="eastAsia" w:cs="Times New Roman"/>
                <w:color w:val="auto"/>
                <w:sz w:val="24"/>
                <w:highlight w:val="none"/>
                <w:lang w:val="en-US" w:eastAsia="zh-CN"/>
              </w:rPr>
              <w:t>现有</w:t>
            </w:r>
            <w:r>
              <w:rPr>
                <w:rFonts w:hint="default" w:ascii="Times New Roman" w:hAnsi="Times New Roman" w:eastAsia="宋体" w:cs="Times New Roman"/>
                <w:color w:val="auto"/>
                <w:sz w:val="24"/>
                <w:highlight w:val="none"/>
              </w:rPr>
              <w:t>项目设备，</w:t>
            </w:r>
            <w:r>
              <w:rPr>
                <w:rFonts w:hint="eastAsia" w:cs="Times New Roman"/>
                <w:color w:val="auto"/>
                <w:sz w:val="24"/>
                <w:highlight w:val="none"/>
                <w:lang w:val="en-US" w:eastAsia="zh-CN"/>
              </w:rPr>
              <w:t>只</w:t>
            </w:r>
            <w:r>
              <w:rPr>
                <w:rFonts w:hint="default" w:ascii="Times New Roman" w:hAnsi="Times New Roman" w:eastAsia="宋体" w:cs="Times New Roman"/>
                <w:color w:val="auto"/>
                <w:sz w:val="24"/>
                <w:highlight w:val="none"/>
              </w:rPr>
              <w:t>考虑本次改扩建新增设备噪声对周围环境</w:t>
            </w:r>
            <w:r>
              <w:rPr>
                <w:rFonts w:hint="eastAsia"/>
                <w:sz w:val="24"/>
                <w:szCs w:val="24"/>
                <w:lang w:val="en-US" w:eastAsia="zh-CN"/>
              </w:rPr>
              <w:t>的</w:t>
            </w:r>
            <w:r>
              <w:rPr>
                <w:rFonts w:hint="default" w:ascii="Times New Roman" w:hAnsi="Times New Roman" w:eastAsia="宋体" w:cs="Times New Roman"/>
                <w:color w:val="auto"/>
                <w:sz w:val="24"/>
                <w:highlight w:val="none"/>
              </w:rPr>
              <w:t>影响。</w:t>
            </w:r>
          </w:p>
          <w:p w14:paraId="0852F360">
            <w:pPr>
              <w:pStyle w:val="2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lang w:bidi="en-US"/>
              </w:rPr>
            </w:pPr>
            <w:r>
              <w:rPr>
                <w:rFonts w:hint="default" w:ascii="Times New Roman" w:hAnsi="Times New Roman" w:eastAsia="宋体" w:cs="Times New Roman"/>
                <w:b w:val="0"/>
                <w:bCs/>
                <w:color w:val="auto"/>
                <w:sz w:val="24"/>
                <w:highlight w:val="none"/>
                <w:lang w:eastAsia="zh-CN"/>
              </w:rPr>
              <w:t>本项目运营期间的噪声主要</w:t>
            </w:r>
            <w:r>
              <w:rPr>
                <w:rFonts w:hint="eastAsia" w:ascii="Times New Roman" w:hAnsi="Times New Roman" w:cs="Times New Roman"/>
                <w:b w:val="0"/>
                <w:bCs/>
                <w:color w:val="auto"/>
                <w:sz w:val="24"/>
                <w:highlight w:val="none"/>
                <w:lang w:val="en-US" w:eastAsia="zh-CN"/>
              </w:rPr>
              <w:t>来自</w:t>
            </w:r>
            <w:r>
              <w:rPr>
                <w:rFonts w:hint="default" w:ascii="Times New Roman" w:hAnsi="Times New Roman" w:eastAsia="宋体" w:cs="Times New Roman"/>
                <w:b w:val="0"/>
                <w:bCs/>
                <w:color w:val="auto"/>
                <w:sz w:val="24"/>
                <w:highlight w:val="none"/>
                <w:lang w:val="en-US" w:eastAsia="zh-CN"/>
              </w:rPr>
              <w:t>新增的</w:t>
            </w:r>
            <w:r>
              <w:rPr>
                <w:rFonts w:hint="eastAsia" w:ascii="Times New Roman" w:hAnsi="Times New Roman" w:cs="Times New Roman" w:eastAsiaTheme="minorEastAsia"/>
                <w:color w:val="auto"/>
                <w:sz w:val="24"/>
                <w:highlight w:val="none"/>
                <w:lang w:val="en-US" w:eastAsia="zh-CN"/>
              </w:rPr>
              <w:t>筛分机、搅拌机</w:t>
            </w:r>
            <w:r>
              <w:rPr>
                <w:rFonts w:hint="default" w:ascii="Times New Roman" w:hAnsi="Times New Roman" w:eastAsia="宋体" w:cs="Times New Roman"/>
                <w:b w:val="0"/>
                <w:bCs/>
                <w:color w:val="auto"/>
                <w:sz w:val="24"/>
                <w:highlight w:val="none"/>
                <w:lang w:eastAsia="zh-CN"/>
              </w:rPr>
              <w:t>等设备运行产生的噪声</w:t>
            </w:r>
            <w:r>
              <w:rPr>
                <w:rFonts w:hint="eastAsia" w:ascii="Times New Roman" w:hAnsi="Times New Roman" w:cs="Times New Roman"/>
                <w:b w:val="0"/>
                <w:bCs/>
                <w:color w:val="auto"/>
                <w:sz w:val="24"/>
                <w:highlight w:val="none"/>
                <w:lang w:eastAsia="zh-CN"/>
              </w:rPr>
              <w:t>，</w:t>
            </w:r>
            <w:r>
              <w:rPr>
                <w:rFonts w:ascii="Times New Roman" w:hAnsi="Times New Roman" w:cs="Times New Roman" w:eastAsiaTheme="minorEastAsia"/>
                <w:color w:val="auto"/>
                <w:sz w:val="24"/>
                <w:highlight w:val="none"/>
                <w:lang w:val="en-US"/>
              </w:rPr>
              <w:t>噪声源强约</w:t>
            </w:r>
            <w:r>
              <w:rPr>
                <w:rFonts w:hint="eastAsia" w:ascii="Times New Roman" w:hAnsi="Times New Roman" w:cs="Times New Roman" w:eastAsiaTheme="minorEastAsia"/>
                <w:color w:val="auto"/>
                <w:sz w:val="24"/>
                <w:highlight w:val="none"/>
                <w:lang w:val="en-US"/>
              </w:rPr>
              <w:t>6</w:t>
            </w:r>
            <w:r>
              <w:rPr>
                <w:rFonts w:hint="eastAsia" w:ascii="Times New Roman" w:hAnsi="Times New Roman" w:cs="Times New Roman" w:eastAsiaTheme="minorEastAsia"/>
                <w:color w:val="auto"/>
                <w:sz w:val="24"/>
                <w:highlight w:val="none"/>
                <w:lang w:val="en-US" w:eastAsia="zh-CN"/>
              </w:rPr>
              <w:t>0</w:t>
            </w:r>
            <w:r>
              <w:rPr>
                <w:rFonts w:ascii="Times New Roman" w:hAnsi="Times New Roman" w:cs="Times New Roman" w:eastAsiaTheme="minorEastAsia"/>
                <w:color w:val="auto"/>
                <w:sz w:val="24"/>
                <w:highlight w:val="none"/>
                <w:lang w:val="en-US"/>
              </w:rPr>
              <w:t>dB（A）</w:t>
            </w:r>
            <w:r>
              <w:rPr>
                <w:rFonts w:hint="eastAsia" w:ascii="Times New Roman" w:hAnsi="Times New Roman" w:cs="Times New Roman" w:eastAsiaTheme="minorEastAsia"/>
                <w:color w:val="auto"/>
                <w:sz w:val="24"/>
                <w:highlight w:val="none"/>
                <w:lang w:val="en-US" w:eastAsia="zh-CN"/>
              </w:rPr>
              <w:t>～90</w:t>
            </w:r>
            <w:r>
              <w:rPr>
                <w:rFonts w:ascii="Times New Roman" w:hAnsi="Times New Roman" w:cs="Times New Roman" w:eastAsiaTheme="minorEastAsia"/>
                <w:color w:val="auto"/>
                <w:sz w:val="24"/>
                <w:highlight w:val="none"/>
                <w:lang w:val="en-US"/>
              </w:rPr>
              <w:t>dB（A）之间</w:t>
            </w:r>
          </w:p>
          <w:p w14:paraId="12E4CEE4">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eastAsia" w:cs="Times New Roman"/>
                <w:b/>
                <w:color w:val="auto"/>
                <w:sz w:val="21"/>
                <w:szCs w:val="21"/>
                <w:highlight w:val="none"/>
                <w:lang w:val="en-US" w:eastAsia="zh-CN"/>
              </w:rPr>
              <w:t>4-11</w:t>
            </w:r>
            <w:r>
              <w:rPr>
                <w:rFonts w:hint="default" w:ascii="Times New Roman" w:hAnsi="Times New Roman" w:cs="Times New Roman"/>
                <w:b/>
                <w:color w:val="auto"/>
                <w:sz w:val="21"/>
                <w:szCs w:val="21"/>
                <w:highlight w:val="none"/>
              </w:rPr>
              <w:t xml:space="preserve">  主要噪声源强一览表（室内</w:t>
            </w:r>
            <w:r>
              <w:rPr>
                <w:rFonts w:hint="eastAsia" w:cs="Times New Roman"/>
                <w:b/>
                <w:color w:val="auto"/>
                <w:sz w:val="21"/>
                <w:szCs w:val="21"/>
                <w:highlight w:val="none"/>
                <w:lang w:val="en-US" w:eastAsia="zh-CN"/>
              </w:rPr>
              <w:t>噪</w:t>
            </w:r>
            <w:r>
              <w:rPr>
                <w:rFonts w:hint="default" w:ascii="Times New Roman" w:hAnsi="Times New Roman" w:cs="Times New Roman"/>
                <w:b/>
                <w:color w:val="auto"/>
                <w:sz w:val="21"/>
                <w:szCs w:val="21"/>
                <w:highlight w:val="none"/>
              </w:rPr>
              <w:t>声源）</w:t>
            </w:r>
          </w:p>
          <w:tbl>
            <w:tblPr>
              <w:tblStyle w:val="19"/>
              <w:tblW w:w="843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0"/>
              <w:gridCol w:w="644"/>
              <w:gridCol w:w="1071"/>
              <w:gridCol w:w="709"/>
              <w:gridCol w:w="608"/>
              <w:gridCol w:w="1023"/>
              <w:gridCol w:w="682"/>
              <w:gridCol w:w="832"/>
              <w:gridCol w:w="530"/>
              <w:gridCol w:w="634"/>
              <w:gridCol w:w="818"/>
              <w:gridCol w:w="453"/>
            </w:tblGrid>
            <w:tr w14:paraId="32086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30" w:type="dxa"/>
                  <w:vMerge w:val="restart"/>
                  <w:shd w:val="clear" w:color="auto" w:fill="auto"/>
                  <w:noWrap/>
                  <w:vAlign w:val="center"/>
                </w:tcPr>
                <w:p w14:paraId="47854540">
                  <w:pPr>
                    <w:keepNext w:val="0"/>
                    <w:keepLines w:val="0"/>
                    <w:pageBreakBefore w:val="0"/>
                    <w:widowControl/>
                    <w:kinsoku/>
                    <w:wordWrap/>
                    <w:overflowPunct/>
                    <w:topLinePunct w:val="0"/>
                    <w:autoSpaceDE/>
                    <w:autoSpaceDN/>
                    <w:bidi w:val="0"/>
                    <w:adjustRightInd/>
                    <w:snapToGrid w:val="0"/>
                    <w:jc w:val="center"/>
                    <w:rPr>
                      <w:b/>
                      <w:bCs/>
                      <w:color w:val="auto"/>
                      <w:kern w:val="0"/>
                      <w:sz w:val="18"/>
                      <w:szCs w:val="18"/>
                      <w:highlight w:val="none"/>
                    </w:rPr>
                  </w:pPr>
                  <w:r>
                    <w:rPr>
                      <w:b/>
                      <w:bCs/>
                      <w:color w:val="auto"/>
                      <w:kern w:val="0"/>
                      <w:sz w:val="18"/>
                      <w:szCs w:val="18"/>
                      <w:highlight w:val="none"/>
                    </w:rPr>
                    <w:t>序号</w:t>
                  </w:r>
                </w:p>
              </w:tc>
              <w:tc>
                <w:tcPr>
                  <w:tcW w:w="644" w:type="dxa"/>
                  <w:vMerge w:val="restart"/>
                  <w:shd w:val="clear" w:color="auto" w:fill="auto"/>
                  <w:noWrap/>
                  <w:vAlign w:val="center"/>
                </w:tcPr>
                <w:p w14:paraId="5E532ADE">
                  <w:pPr>
                    <w:keepNext w:val="0"/>
                    <w:keepLines w:val="0"/>
                    <w:pageBreakBefore w:val="0"/>
                    <w:widowControl/>
                    <w:kinsoku/>
                    <w:wordWrap/>
                    <w:overflowPunct/>
                    <w:topLinePunct w:val="0"/>
                    <w:autoSpaceDE/>
                    <w:autoSpaceDN/>
                    <w:bidi w:val="0"/>
                    <w:adjustRightInd/>
                    <w:snapToGrid w:val="0"/>
                    <w:jc w:val="center"/>
                    <w:rPr>
                      <w:b/>
                      <w:bCs/>
                      <w:color w:val="auto"/>
                      <w:kern w:val="0"/>
                      <w:sz w:val="18"/>
                      <w:szCs w:val="18"/>
                      <w:highlight w:val="none"/>
                    </w:rPr>
                  </w:pPr>
                  <w:r>
                    <w:rPr>
                      <w:b/>
                      <w:bCs/>
                      <w:color w:val="auto"/>
                      <w:kern w:val="0"/>
                      <w:sz w:val="18"/>
                      <w:szCs w:val="18"/>
                      <w:highlight w:val="none"/>
                    </w:rPr>
                    <w:t>建筑物名称</w:t>
                  </w:r>
                </w:p>
              </w:tc>
              <w:tc>
                <w:tcPr>
                  <w:tcW w:w="1071" w:type="dxa"/>
                  <w:vMerge w:val="restart"/>
                  <w:shd w:val="clear" w:color="auto" w:fill="auto"/>
                  <w:noWrap/>
                  <w:vAlign w:val="center"/>
                </w:tcPr>
                <w:p w14:paraId="7DC2D1F4">
                  <w:pPr>
                    <w:keepNext w:val="0"/>
                    <w:keepLines w:val="0"/>
                    <w:pageBreakBefore w:val="0"/>
                    <w:widowControl/>
                    <w:kinsoku/>
                    <w:wordWrap/>
                    <w:overflowPunct/>
                    <w:topLinePunct w:val="0"/>
                    <w:autoSpaceDE/>
                    <w:autoSpaceDN/>
                    <w:bidi w:val="0"/>
                    <w:adjustRightInd/>
                    <w:snapToGrid w:val="0"/>
                    <w:jc w:val="center"/>
                    <w:rPr>
                      <w:b/>
                      <w:bCs/>
                      <w:color w:val="auto"/>
                      <w:kern w:val="0"/>
                      <w:sz w:val="18"/>
                      <w:szCs w:val="18"/>
                      <w:highlight w:val="none"/>
                    </w:rPr>
                  </w:pPr>
                  <w:r>
                    <w:rPr>
                      <w:b/>
                      <w:bCs/>
                      <w:color w:val="auto"/>
                      <w:kern w:val="0"/>
                      <w:sz w:val="18"/>
                      <w:szCs w:val="18"/>
                      <w:highlight w:val="none"/>
                    </w:rPr>
                    <w:t>声源名称</w:t>
                  </w:r>
                </w:p>
              </w:tc>
              <w:tc>
                <w:tcPr>
                  <w:tcW w:w="709" w:type="dxa"/>
                  <w:vMerge w:val="restart"/>
                  <w:shd w:val="clear" w:color="auto" w:fill="auto"/>
                  <w:noWrap/>
                  <w:vAlign w:val="center"/>
                </w:tcPr>
                <w:p w14:paraId="5405E6E0">
                  <w:pPr>
                    <w:keepNext w:val="0"/>
                    <w:keepLines w:val="0"/>
                    <w:pageBreakBefore w:val="0"/>
                    <w:widowControl/>
                    <w:kinsoku/>
                    <w:wordWrap/>
                    <w:overflowPunct/>
                    <w:topLinePunct w:val="0"/>
                    <w:autoSpaceDE/>
                    <w:autoSpaceDN/>
                    <w:bidi w:val="0"/>
                    <w:adjustRightInd/>
                    <w:snapToGrid w:val="0"/>
                    <w:jc w:val="center"/>
                    <w:rPr>
                      <w:b/>
                      <w:bCs/>
                      <w:color w:val="auto"/>
                      <w:kern w:val="0"/>
                      <w:sz w:val="18"/>
                      <w:szCs w:val="18"/>
                      <w:highlight w:val="none"/>
                    </w:rPr>
                  </w:pPr>
                  <w:r>
                    <w:rPr>
                      <w:b/>
                      <w:bCs/>
                      <w:color w:val="auto"/>
                      <w:kern w:val="0"/>
                      <w:sz w:val="18"/>
                      <w:szCs w:val="18"/>
                      <w:highlight w:val="none"/>
                    </w:rPr>
                    <w:t>声功率级/dB(A)</w:t>
                  </w:r>
                </w:p>
              </w:tc>
              <w:tc>
                <w:tcPr>
                  <w:tcW w:w="608" w:type="dxa"/>
                  <w:vMerge w:val="restart"/>
                  <w:shd w:val="clear" w:color="auto" w:fill="auto"/>
                  <w:noWrap/>
                  <w:vAlign w:val="center"/>
                </w:tcPr>
                <w:p w14:paraId="1F576AC5">
                  <w:pPr>
                    <w:keepNext w:val="0"/>
                    <w:keepLines w:val="0"/>
                    <w:pageBreakBefore w:val="0"/>
                    <w:widowControl/>
                    <w:kinsoku/>
                    <w:wordWrap/>
                    <w:overflowPunct/>
                    <w:topLinePunct w:val="0"/>
                    <w:autoSpaceDE/>
                    <w:autoSpaceDN/>
                    <w:bidi w:val="0"/>
                    <w:adjustRightInd/>
                    <w:snapToGrid w:val="0"/>
                    <w:jc w:val="center"/>
                    <w:rPr>
                      <w:b/>
                      <w:bCs/>
                      <w:color w:val="auto"/>
                      <w:kern w:val="0"/>
                      <w:sz w:val="18"/>
                      <w:szCs w:val="18"/>
                      <w:highlight w:val="none"/>
                    </w:rPr>
                  </w:pPr>
                  <w:r>
                    <w:rPr>
                      <w:b/>
                      <w:bCs/>
                      <w:color w:val="auto"/>
                      <w:kern w:val="0"/>
                      <w:sz w:val="18"/>
                      <w:szCs w:val="18"/>
                      <w:highlight w:val="none"/>
                    </w:rPr>
                    <w:t>声源控制措施</w:t>
                  </w:r>
                </w:p>
              </w:tc>
              <w:tc>
                <w:tcPr>
                  <w:tcW w:w="1023" w:type="dxa"/>
                  <w:shd w:val="clear" w:color="auto" w:fill="auto"/>
                  <w:noWrap/>
                  <w:vAlign w:val="center"/>
                </w:tcPr>
                <w:p w14:paraId="1B71C7FC">
                  <w:pPr>
                    <w:keepNext w:val="0"/>
                    <w:keepLines w:val="0"/>
                    <w:pageBreakBefore w:val="0"/>
                    <w:widowControl/>
                    <w:kinsoku/>
                    <w:wordWrap/>
                    <w:overflowPunct/>
                    <w:topLinePunct w:val="0"/>
                    <w:autoSpaceDE/>
                    <w:autoSpaceDN/>
                    <w:bidi w:val="0"/>
                    <w:adjustRightInd/>
                    <w:snapToGrid w:val="0"/>
                    <w:jc w:val="center"/>
                    <w:rPr>
                      <w:b/>
                      <w:bCs/>
                      <w:color w:val="auto"/>
                      <w:kern w:val="0"/>
                      <w:sz w:val="18"/>
                      <w:szCs w:val="18"/>
                      <w:highlight w:val="none"/>
                    </w:rPr>
                  </w:pPr>
                  <w:r>
                    <w:rPr>
                      <w:b/>
                      <w:bCs/>
                      <w:color w:val="auto"/>
                      <w:kern w:val="0"/>
                      <w:sz w:val="18"/>
                      <w:szCs w:val="18"/>
                      <w:highlight w:val="none"/>
                    </w:rPr>
                    <w:t>空间相对位置/m</w:t>
                  </w:r>
                </w:p>
              </w:tc>
              <w:tc>
                <w:tcPr>
                  <w:tcW w:w="682" w:type="dxa"/>
                  <w:vMerge w:val="restart"/>
                  <w:shd w:val="clear" w:color="auto" w:fill="auto"/>
                  <w:noWrap/>
                  <w:vAlign w:val="center"/>
                </w:tcPr>
                <w:p w14:paraId="53DFEB38">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color w:val="auto"/>
                      <w:sz w:val="18"/>
                      <w:szCs w:val="18"/>
                      <w:highlight w:val="none"/>
                    </w:rPr>
                    <w:t>距室内边界最小距离/m</w:t>
                  </w:r>
                </w:p>
              </w:tc>
              <w:tc>
                <w:tcPr>
                  <w:tcW w:w="832" w:type="dxa"/>
                  <w:vMerge w:val="restart"/>
                  <w:shd w:val="clear" w:color="auto" w:fill="auto"/>
                  <w:noWrap/>
                  <w:vAlign w:val="center"/>
                </w:tcPr>
                <w:p w14:paraId="4A199810">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color w:val="auto"/>
                      <w:sz w:val="18"/>
                      <w:szCs w:val="18"/>
                      <w:highlight w:val="none"/>
                    </w:rPr>
                    <w:t>室内边界最大声级/dB(A)</w:t>
                  </w:r>
                </w:p>
              </w:tc>
              <w:tc>
                <w:tcPr>
                  <w:tcW w:w="530" w:type="dxa"/>
                  <w:vMerge w:val="restart"/>
                  <w:shd w:val="clear" w:color="auto" w:fill="auto"/>
                  <w:noWrap/>
                  <w:vAlign w:val="center"/>
                </w:tcPr>
                <w:p w14:paraId="505518F3">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color w:val="auto"/>
                      <w:sz w:val="18"/>
                      <w:szCs w:val="18"/>
                      <w:highlight w:val="none"/>
                    </w:rPr>
                    <w:t>运行时段</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h/d</w:t>
                  </w:r>
                  <w:r>
                    <w:rPr>
                      <w:rFonts w:hint="default" w:ascii="Times New Roman" w:hAnsi="Times New Roman" w:eastAsia="宋体" w:cs="Times New Roman"/>
                      <w:color w:val="auto"/>
                      <w:sz w:val="18"/>
                      <w:szCs w:val="18"/>
                      <w:highlight w:val="none"/>
                      <w:lang w:eastAsia="zh-CN"/>
                    </w:rPr>
                    <w:t>）</w:t>
                  </w:r>
                </w:p>
              </w:tc>
              <w:tc>
                <w:tcPr>
                  <w:tcW w:w="634" w:type="dxa"/>
                  <w:vMerge w:val="restart"/>
                  <w:shd w:val="clear" w:color="auto" w:fill="auto"/>
                  <w:noWrap/>
                  <w:vAlign w:val="center"/>
                </w:tcPr>
                <w:p w14:paraId="08949CE7">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color w:val="auto"/>
                      <w:sz w:val="18"/>
                      <w:szCs w:val="18"/>
                      <w:highlight w:val="none"/>
                    </w:rPr>
                    <w:t>建筑物插入损失/dB(A)</w:t>
                  </w:r>
                </w:p>
              </w:tc>
              <w:tc>
                <w:tcPr>
                  <w:tcW w:w="818" w:type="dxa"/>
                  <w:vMerge w:val="restart"/>
                  <w:shd w:val="clear" w:color="auto" w:fill="auto"/>
                  <w:noWrap/>
                  <w:vAlign w:val="center"/>
                </w:tcPr>
                <w:p w14:paraId="05B4479E">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color w:val="auto"/>
                      <w:sz w:val="18"/>
                      <w:szCs w:val="18"/>
                      <w:highlight w:val="none"/>
                    </w:rPr>
                    <w:t>建筑物外噪声最大声压级/dB(A)</w:t>
                  </w:r>
                </w:p>
              </w:tc>
              <w:tc>
                <w:tcPr>
                  <w:tcW w:w="453" w:type="dxa"/>
                  <w:vMerge w:val="restart"/>
                  <w:shd w:val="clear" w:color="auto" w:fill="auto"/>
                  <w:noWrap/>
                  <w:vAlign w:val="center"/>
                </w:tcPr>
                <w:p w14:paraId="3665A525">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color w:val="auto"/>
                      <w:sz w:val="18"/>
                      <w:szCs w:val="18"/>
                      <w:highlight w:val="none"/>
                    </w:rPr>
                    <w:t>建筑物外距离</w:t>
                  </w:r>
                </w:p>
              </w:tc>
            </w:tr>
            <w:tr w14:paraId="45C05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30" w:type="dxa"/>
                  <w:vMerge w:val="continue"/>
                  <w:vAlign w:val="center"/>
                </w:tcPr>
                <w:p w14:paraId="61708C11">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644" w:type="dxa"/>
                  <w:vMerge w:val="continue"/>
                  <w:vAlign w:val="center"/>
                </w:tcPr>
                <w:p w14:paraId="19378EFD">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71" w:type="dxa"/>
                  <w:vMerge w:val="continue"/>
                  <w:vAlign w:val="center"/>
                </w:tcPr>
                <w:p w14:paraId="535D0FFB">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709" w:type="dxa"/>
                  <w:vMerge w:val="continue"/>
                  <w:shd w:val="clear" w:color="auto" w:fill="auto"/>
                  <w:noWrap/>
                  <w:vAlign w:val="center"/>
                </w:tcPr>
                <w:p w14:paraId="3190F974">
                  <w:pPr>
                    <w:keepNext w:val="0"/>
                    <w:keepLines w:val="0"/>
                    <w:pageBreakBefore w:val="0"/>
                    <w:widowControl/>
                    <w:kinsoku/>
                    <w:wordWrap/>
                    <w:overflowPunct/>
                    <w:topLinePunct w:val="0"/>
                    <w:autoSpaceDE/>
                    <w:autoSpaceDN/>
                    <w:bidi w:val="0"/>
                    <w:adjustRightInd/>
                    <w:snapToGrid w:val="0"/>
                    <w:jc w:val="center"/>
                    <w:rPr>
                      <w:b/>
                      <w:bCs/>
                      <w:color w:val="auto"/>
                      <w:kern w:val="0"/>
                      <w:sz w:val="18"/>
                      <w:szCs w:val="18"/>
                      <w:highlight w:val="none"/>
                    </w:rPr>
                  </w:pPr>
                </w:p>
              </w:tc>
              <w:tc>
                <w:tcPr>
                  <w:tcW w:w="608" w:type="dxa"/>
                  <w:vMerge w:val="continue"/>
                  <w:vAlign w:val="center"/>
                </w:tcPr>
                <w:p w14:paraId="532DC5B4">
                  <w:pPr>
                    <w:keepNext w:val="0"/>
                    <w:keepLines w:val="0"/>
                    <w:pageBreakBefore w:val="0"/>
                    <w:widowControl/>
                    <w:kinsoku/>
                    <w:wordWrap/>
                    <w:overflowPunct/>
                    <w:topLinePunct w:val="0"/>
                    <w:autoSpaceDE/>
                    <w:autoSpaceDN/>
                    <w:bidi w:val="0"/>
                    <w:adjustRightInd/>
                    <w:snapToGrid w:val="0"/>
                    <w:jc w:val="center"/>
                    <w:rPr>
                      <w:b/>
                      <w:bCs/>
                      <w:color w:val="auto"/>
                      <w:kern w:val="0"/>
                      <w:sz w:val="18"/>
                      <w:szCs w:val="18"/>
                      <w:highlight w:val="none"/>
                    </w:rPr>
                  </w:pPr>
                </w:p>
              </w:tc>
              <w:tc>
                <w:tcPr>
                  <w:tcW w:w="1023" w:type="dxa"/>
                  <w:shd w:val="clear" w:color="auto" w:fill="auto"/>
                  <w:noWrap/>
                  <w:vAlign w:val="center"/>
                </w:tcPr>
                <w:p w14:paraId="67E4ABDD">
                  <w:pPr>
                    <w:keepNext w:val="0"/>
                    <w:keepLines w:val="0"/>
                    <w:pageBreakBefore w:val="0"/>
                    <w:widowControl/>
                    <w:kinsoku/>
                    <w:wordWrap/>
                    <w:overflowPunct/>
                    <w:topLinePunct w:val="0"/>
                    <w:autoSpaceDE/>
                    <w:autoSpaceDN/>
                    <w:bidi w:val="0"/>
                    <w:adjustRightInd/>
                    <w:snapToGrid w:val="0"/>
                    <w:jc w:val="center"/>
                    <w:rPr>
                      <w:b/>
                      <w:bCs/>
                      <w:color w:val="auto"/>
                      <w:kern w:val="0"/>
                      <w:sz w:val="18"/>
                      <w:szCs w:val="18"/>
                      <w:highlight w:val="none"/>
                    </w:rPr>
                  </w:pPr>
                  <w:r>
                    <w:rPr>
                      <w:b/>
                      <w:bCs/>
                      <w:color w:val="auto"/>
                      <w:kern w:val="0"/>
                      <w:sz w:val="18"/>
                      <w:szCs w:val="18"/>
                      <w:highlight w:val="none"/>
                    </w:rPr>
                    <w:t>{X,Y,Z}</w:t>
                  </w:r>
                </w:p>
              </w:tc>
              <w:tc>
                <w:tcPr>
                  <w:tcW w:w="682" w:type="dxa"/>
                  <w:vMerge w:val="continue"/>
                  <w:vAlign w:val="center"/>
                </w:tcPr>
                <w:p w14:paraId="17BA2AC1">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832" w:type="dxa"/>
                  <w:vMerge w:val="continue"/>
                  <w:vAlign w:val="center"/>
                </w:tcPr>
                <w:p w14:paraId="33EF85D8">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530" w:type="dxa"/>
                  <w:vMerge w:val="continue"/>
                  <w:vAlign w:val="center"/>
                </w:tcPr>
                <w:p w14:paraId="16692ADA">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634" w:type="dxa"/>
                  <w:vMerge w:val="continue"/>
                  <w:vAlign w:val="center"/>
                </w:tcPr>
                <w:p w14:paraId="1137739E">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818" w:type="dxa"/>
                  <w:vMerge w:val="continue"/>
                  <w:vAlign w:val="center"/>
                </w:tcPr>
                <w:p w14:paraId="38FF0062">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453" w:type="dxa"/>
                  <w:vMerge w:val="continue"/>
                  <w:vAlign w:val="center"/>
                </w:tcPr>
                <w:p w14:paraId="294ECB87">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r>
            <w:tr w14:paraId="50B653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30" w:type="dxa"/>
                  <w:shd w:val="clear" w:color="auto" w:fill="auto"/>
                  <w:noWrap/>
                  <w:vAlign w:val="center"/>
                </w:tcPr>
                <w:p w14:paraId="603CB99A">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cs="Times New Roman"/>
                      <w:color w:val="auto"/>
                      <w:kern w:val="0"/>
                      <w:sz w:val="18"/>
                      <w:szCs w:val="18"/>
                      <w:highlight w:val="none"/>
                      <w:lang w:val="en-US" w:eastAsia="zh-CN"/>
                    </w:rPr>
                  </w:pPr>
                  <w:bookmarkStart w:id="37" w:name="OLE_LINK151" w:colFirst="4" w:colLast="4"/>
                  <w:bookmarkStart w:id="38" w:name="OLE_LINK152" w:colFirst="4" w:colLast="4"/>
                  <w:r>
                    <w:rPr>
                      <w:rFonts w:hint="eastAsia" w:cs="Times New Roman"/>
                      <w:color w:val="auto"/>
                      <w:kern w:val="0"/>
                      <w:sz w:val="18"/>
                      <w:szCs w:val="18"/>
                      <w:highlight w:val="none"/>
                      <w:lang w:val="en-US" w:eastAsia="zh-CN"/>
                    </w:rPr>
                    <w:t>1</w:t>
                  </w:r>
                </w:p>
              </w:tc>
              <w:tc>
                <w:tcPr>
                  <w:tcW w:w="644" w:type="dxa"/>
                  <w:shd w:val="clear" w:color="auto" w:fill="auto"/>
                  <w:noWrap/>
                  <w:vAlign w:val="center"/>
                </w:tcPr>
                <w:p w14:paraId="3123B8C5">
                  <w:pPr>
                    <w:keepNext w:val="0"/>
                    <w:keepLines w:val="0"/>
                    <w:pageBreakBefore w:val="0"/>
                    <w:widowControl/>
                    <w:kinsoku/>
                    <w:wordWrap/>
                    <w:overflowPunct/>
                    <w:topLinePunct w:val="0"/>
                    <w:autoSpaceDE/>
                    <w:autoSpaceDN/>
                    <w:bidi w:val="0"/>
                    <w:adjustRightInd/>
                    <w:snapToGrid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筛分</w:t>
                  </w:r>
                </w:p>
              </w:tc>
              <w:tc>
                <w:tcPr>
                  <w:tcW w:w="1071" w:type="dxa"/>
                  <w:shd w:val="clear" w:color="auto" w:fill="auto"/>
                  <w:noWrap/>
                  <w:vAlign w:val="center"/>
                </w:tcPr>
                <w:p w14:paraId="5133B339">
                  <w:pPr>
                    <w:keepNext w:val="0"/>
                    <w:keepLines w:val="0"/>
                    <w:pageBreakBefore w:val="0"/>
                    <w:kinsoku/>
                    <w:wordWrap/>
                    <w:overflowPunct/>
                    <w:topLinePunct w:val="0"/>
                    <w:autoSpaceDE/>
                    <w:autoSpaceDN/>
                    <w:bidi w:val="0"/>
                    <w:adjustRightInd/>
                    <w:snapToGrid w:val="0"/>
                    <w:jc w:val="center"/>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概率筛</w:t>
                  </w:r>
                </w:p>
              </w:tc>
              <w:tc>
                <w:tcPr>
                  <w:tcW w:w="709" w:type="dxa"/>
                  <w:shd w:val="clear" w:color="auto" w:fill="auto"/>
                  <w:noWrap/>
                  <w:vAlign w:val="center"/>
                </w:tcPr>
                <w:p w14:paraId="51088DE3">
                  <w:pPr>
                    <w:keepNext w:val="0"/>
                    <w:keepLines w:val="0"/>
                    <w:pageBreakBefore w:val="0"/>
                    <w:widowControl/>
                    <w:kinsoku/>
                    <w:wordWrap/>
                    <w:overflowPunct/>
                    <w:topLinePunct w:val="0"/>
                    <w:autoSpaceDE/>
                    <w:autoSpaceDN/>
                    <w:bidi w:val="0"/>
                    <w:adjustRightInd/>
                    <w:snapToGrid w:val="0"/>
                    <w:jc w:val="center"/>
                    <w:rPr>
                      <w:rFonts w:hint="default"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75</w:t>
                  </w:r>
                </w:p>
              </w:tc>
              <w:tc>
                <w:tcPr>
                  <w:tcW w:w="608" w:type="dxa"/>
                  <w:vMerge w:val="restart"/>
                  <w:shd w:val="clear" w:color="auto" w:fill="auto"/>
                  <w:noWrap/>
                  <w:vAlign w:val="center"/>
                </w:tcPr>
                <w:p w14:paraId="1CC981F8">
                  <w:pPr>
                    <w:keepNext w:val="0"/>
                    <w:keepLines w:val="0"/>
                    <w:pageBreakBefore w:val="0"/>
                    <w:widowControl/>
                    <w:kinsoku/>
                    <w:wordWrap/>
                    <w:overflowPunct/>
                    <w:topLinePunct w:val="0"/>
                    <w:autoSpaceDE/>
                    <w:autoSpaceDN/>
                    <w:bidi w:val="0"/>
                    <w:adjustRightInd/>
                    <w:snapToGrid w:val="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基础减震、厂房隔声</w:t>
                  </w:r>
                </w:p>
              </w:tc>
              <w:tc>
                <w:tcPr>
                  <w:tcW w:w="1023" w:type="dxa"/>
                  <w:shd w:val="clear" w:color="auto" w:fill="auto"/>
                  <w:noWrap/>
                  <w:vAlign w:val="center"/>
                </w:tcPr>
                <w:p w14:paraId="137EE75A">
                  <w:pPr>
                    <w:keepNext w:val="0"/>
                    <w:keepLines w:val="0"/>
                    <w:pageBreakBefore w:val="0"/>
                    <w:widowControl/>
                    <w:kinsoku/>
                    <w:wordWrap/>
                    <w:overflowPunct/>
                    <w:topLinePunct w:val="0"/>
                    <w:autoSpaceDE/>
                    <w:autoSpaceDN/>
                    <w:bidi w:val="0"/>
                    <w:adjustRightInd/>
                    <w:snapToGrid w:val="0"/>
                    <w:jc w:val="center"/>
                    <w:rPr>
                      <w:b w:val="0"/>
                      <w:bCs w:val="0"/>
                      <w:color w:val="auto"/>
                      <w:kern w:val="0"/>
                      <w:sz w:val="18"/>
                      <w:szCs w:val="18"/>
                      <w:highlight w:val="none"/>
                    </w:rPr>
                  </w:pPr>
                  <w:r>
                    <w:rPr>
                      <w:b w:val="0"/>
                      <w:bCs w:val="0"/>
                      <w:color w:val="auto"/>
                      <w:kern w:val="0"/>
                      <w:sz w:val="18"/>
                      <w:szCs w:val="18"/>
                      <w:highlight w:val="none"/>
                    </w:rPr>
                    <w:t>{</w:t>
                  </w:r>
                  <w:r>
                    <w:rPr>
                      <w:rFonts w:hint="eastAsia"/>
                      <w:b w:val="0"/>
                      <w:bCs w:val="0"/>
                      <w:color w:val="auto"/>
                      <w:kern w:val="0"/>
                      <w:sz w:val="18"/>
                      <w:szCs w:val="18"/>
                      <w:highlight w:val="none"/>
                      <w:lang w:val="en-US" w:eastAsia="zh-CN"/>
                    </w:rPr>
                    <w:t>-242</w:t>
                  </w:r>
                  <w:r>
                    <w:rPr>
                      <w:b w:val="0"/>
                      <w:bCs w:val="0"/>
                      <w:color w:val="auto"/>
                      <w:kern w:val="0"/>
                      <w:sz w:val="18"/>
                      <w:szCs w:val="18"/>
                      <w:highlight w:val="none"/>
                    </w:rPr>
                    <w:t>,</w:t>
                  </w:r>
                  <w:r>
                    <w:rPr>
                      <w:rFonts w:hint="eastAsia"/>
                      <w:b w:val="0"/>
                      <w:bCs w:val="0"/>
                      <w:color w:val="auto"/>
                      <w:kern w:val="0"/>
                      <w:sz w:val="18"/>
                      <w:szCs w:val="18"/>
                      <w:highlight w:val="none"/>
                      <w:lang w:val="en-US" w:eastAsia="zh-CN"/>
                    </w:rPr>
                    <w:t>520</w:t>
                  </w:r>
                  <w:r>
                    <w:rPr>
                      <w:b w:val="0"/>
                      <w:bCs w:val="0"/>
                      <w:color w:val="auto"/>
                      <w:kern w:val="0"/>
                      <w:sz w:val="18"/>
                      <w:szCs w:val="18"/>
                      <w:highlight w:val="none"/>
                    </w:rPr>
                    <w:t>,</w:t>
                  </w:r>
                  <w:r>
                    <w:rPr>
                      <w:rFonts w:hint="eastAsia"/>
                      <w:b w:val="0"/>
                      <w:bCs w:val="0"/>
                      <w:color w:val="auto"/>
                      <w:kern w:val="0"/>
                      <w:sz w:val="18"/>
                      <w:szCs w:val="18"/>
                      <w:highlight w:val="none"/>
                      <w:lang w:val="en-US" w:eastAsia="zh-CN"/>
                    </w:rPr>
                    <w:t>1</w:t>
                  </w:r>
                  <w:r>
                    <w:rPr>
                      <w:b w:val="0"/>
                      <w:bCs w:val="0"/>
                      <w:color w:val="auto"/>
                      <w:kern w:val="0"/>
                      <w:sz w:val="18"/>
                      <w:szCs w:val="18"/>
                      <w:highlight w:val="none"/>
                    </w:rPr>
                    <w:t>}</w:t>
                  </w:r>
                </w:p>
              </w:tc>
              <w:tc>
                <w:tcPr>
                  <w:tcW w:w="682" w:type="dxa"/>
                  <w:shd w:val="clear" w:color="auto" w:fill="auto"/>
                  <w:noWrap/>
                  <w:vAlign w:val="center"/>
                </w:tcPr>
                <w:p w14:paraId="5311FC0E">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cs="Times New Roman"/>
                      <w:b w:val="0"/>
                      <w:bCs/>
                      <w:color w:val="auto"/>
                      <w:sz w:val="18"/>
                      <w:szCs w:val="18"/>
                      <w:highlight w:val="none"/>
                      <w:lang w:val="en-US" w:eastAsia="zh-CN"/>
                    </w:rPr>
                    <w:t>8</w:t>
                  </w:r>
                </w:p>
              </w:tc>
              <w:tc>
                <w:tcPr>
                  <w:tcW w:w="832" w:type="dxa"/>
                  <w:shd w:val="clear" w:color="auto" w:fill="auto"/>
                  <w:noWrap/>
                  <w:vAlign w:val="center"/>
                </w:tcPr>
                <w:p w14:paraId="44974D52">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52</w:t>
                  </w:r>
                </w:p>
              </w:tc>
              <w:tc>
                <w:tcPr>
                  <w:tcW w:w="530" w:type="dxa"/>
                  <w:shd w:val="clear" w:color="auto" w:fill="auto"/>
                  <w:noWrap/>
                  <w:vAlign w:val="center"/>
                </w:tcPr>
                <w:p w14:paraId="4E2A98DC">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color w:val="auto"/>
                      <w:kern w:val="0"/>
                      <w:sz w:val="18"/>
                      <w:szCs w:val="18"/>
                      <w:highlight w:val="none"/>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4DEADEA7">
                  <w:pPr>
                    <w:keepNext w:val="0"/>
                    <w:keepLines w:val="0"/>
                    <w:pageBreakBefore w:val="0"/>
                    <w:widowControl/>
                    <w:kinsoku/>
                    <w:wordWrap/>
                    <w:overflowPunct/>
                    <w:topLinePunct w:val="0"/>
                    <w:autoSpaceDE/>
                    <w:autoSpaceDN/>
                    <w:bidi w:val="0"/>
                    <w:adjustRightInd/>
                    <w:snapToGrid w:val="0"/>
                    <w:jc w:val="center"/>
                    <w:textAlignment w:val="auto"/>
                    <w:rPr>
                      <w:color w:val="auto"/>
                      <w:kern w:val="0"/>
                      <w:sz w:val="18"/>
                      <w:szCs w:val="18"/>
                      <w:highlight w:val="none"/>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3DFBD937">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32</w:t>
                  </w:r>
                </w:p>
              </w:tc>
              <w:tc>
                <w:tcPr>
                  <w:tcW w:w="453" w:type="dxa"/>
                  <w:shd w:val="clear" w:color="auto" w:fill="auto"/>
                  <w:noWrap/>
                  <w:vAlign w:val="center"/>
                </w:tcPr>
                <w:p w14:paraId="7BB33F58">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rPr>
                    <w:t>1</w:t>
                  </w:r>
                  <w:bookmarkEnd w:id="37"/>
                </w:p>
              </w:tc>
            </w:tr>
            <w:tr w14:paraId="1FA8B0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30" w:type="dxa"/>
                  <w:shd w:val="clear" w:color="auto" w:fill="auto"/>
                  <w:noWrap/>
                  <w:vAlign w:val="center"/>
                </w:tcPr>
                <w:p w14:paraId="019277AD">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2</w:t>
                  </w:r>
                </w:p>
              </w:tc>
              <w:tc>
                <w:tcPr>
                  <w:tcW w:w="644" w:type="dxa"/>
                  <w:vMerge w:val="restart"/>
                  <w:shd w:val="clear" w:color="auto" w:fill="auto"/>
                  <w:noWrap/>
                  <w:vAlign w:val="center"/>
                </w:tcPr>
                <w:p w14:paraId="1132DB05">
                  <w:pPr>
                    <w:keepNext w:val="0"/>
                    <w:keepLines w:val="0"/>
                    <w:pageBreakBefore w:val="0"/>
                    <w:widowControl/>
                    <w:kinsoku/>
                    <w:wordWrap/>
                    <w:overflowPunct/>
                    <w:topLinePunct w:val="0"/>
                    <w:autoSpaceDE/>
                    <w:autoSpaceDN/>
                    <w:bidi w:val="0"/>
                    <w:adjustRightInd/>
                    <w:snapToGrid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干混砂浆生产车间</w:t>
                  </w:r>
                </w:p>
              </w:tc>
              <w:tc>
                <w:tcPr>
                  <w:tcW w:w="1071" w:type="dxa"/>
                  <w:shd w:val="clear" w:color="auto" w:fill="auto"/>
                  <w:noWrap/>
                  <w:vAlign w:val="center"/>
                </w:tcPr>
                <w:p w14:paraId="259E43FD">
                  <w:pPr>
                    <w:keepNext w:val="0"/>
                    <w:keepLines w:val="0"/>
                    <w:pageBreakBefore w:val="0"/>
                    <w:kinsoku/>
                    <w:wordWrap/>
                    <w:overflowPunct/>
                    <w:topLinePunct w:val="0"/>
                    <w:autoSpaceDE/>
                    <w:autoSpaceDN/>
                    <w:bidi w:val="0"/>
                    <w:adjustRightInd/>
                    <w:snapToGrid w:val="0"/>
                    <w:jc w:val="center"/>
                    <w:rPr>
                      <w:rFonts w:hint="default"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rPr>
                    <w:t>原料螺旋输送机</w:t>
                  </w:r>
                  <w:r>
                    <w:rPr>
                      <w:rFonts w:hint="eastAsia" w:cs="Times New Roman"/>
                      <w:i w:val="0"/>
                      <w:iCs w:val="0"/>
                      <w:color w:val="auto"/>
                      <w:kern w:val="0"/>
                      <w:sz w:val="18"/>
                      <w:szCs w:val="18"/>
                      <w:highlight w:val="none"/>
                      <w:u w:val="none"/>
                      <w:lang w:val="en-US" w:eastAsia="zh-CN"/>
                    </w:rPr>
                    <w:t>1</w:t>
                  </w:r>
                </w:p>
              </w:tc>
              <w:tc>
                <w:tcPr>
                  <w:tcW w:w="709" w:type="dxa"/>
                  <w:shd w:val="clear" w:color="auto" w:fill="auto"/>
                  <w:noWrap/>
                  <w:vAlign w:val="center"/>
                </w:tcPr>
                <w:p w14:paraId="1C21B571">
                  <w:pPr>
                    <w:keepNext w:val="0"/>
                    <w:keepLines w:val="0"/>
                    <w:pageBreakBefore w:val="0"/>
                    <w:widowControl/>
                    <w:kinsoku/>
                    <w:wordWrap/>
                    <w:overflowPunct/>
                    <w:topLinePunct w:val="0"/>
                    <w:autoSpaceDE/>
                    <w:autoSpaceDN/>
                    <w:bidi w:val="0"/>
                    <w:adjustRightInd/>
                    <w:snapToGrid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65</w:t>
                  </w:r>
                </w:p>
              </w:tc>
              <w:tc>
                <w:tcPr>
                  <w:tcW w:w="608" w:type="dxa"/>
                  <w:vMerge w:val="continue"/>
                  <w:shd w:val="clear" w:color="auto" w:fill="auto"/>
                  <w:noWrap/>
                  <w:vAlign w:val="center"/>
                </w:tcPr>
                <w:p w14:paraId="7B5A7D25">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4E3D3E47">
                  <w:pPr>
                    <w:keepNext w:val="0"/>
                    <w:keepLines w:val="0"/>
                    <w:pageBreakBefore w:val="0"/>
                    <w:widowControl/>
                    <w:kinsoku/>
                    <w:wordWrap/>
                    <w:overflowPunct/>
                    <w:topLinePunct w:val="0"/>
                    <w:autoSpaceDE/>
                    <w:autoSpaceDN/>
                    <w:bidi w:val="0"/>
                    <w:adjustRightInd/>
                    <w:snapToGrid w:val="0"/>
                    <w:jc w:val="center"/>
                    <w:rPr>
                      <w:rFonts w:ascii="Times New Roman" w:hAnsi="Times New Roman" w:eastAsia="宋体" w:cs="Times New Roman"/>
                      <w:b w:val="0"/>
                      <w:bCs w:val="0"/>
                      <w:color w:val="auto"/>
                      <w:kern w:val="0"/>
                      <w:sz w:val="18"/>
                      <w:szCs w:val="18"/>
                      <w:highlight w:val="none"/>
                      <w:lang w:val="en-US" w:eastAsia="zh-CN" w:bidi="ar-SA"/>
                    </w:rPr>
                  </w:pPr>
                  <w:r>
                    <w:rPr>
                      <w:b w:val="0"/>
                      <w:bCs w:val="0"/>
                      <w:color w:val="auto"/>
                      <w:kern w:val="0"/>
                      <w:sz w:val="18"/>
                      <w:szCs w:val="18"/>
                      <w:highlight w:val="none"/>
                    </w:rPr>
                    <w:t>{</w:t>
                  </w:r>
                  <w:r>
                    <w:rPr>
                      <w:rFonts w:hint="eastAsia"/>
                      <w:b w:val="0"/>
                      <w:bCs w:val="0"/>
                      <w:color w:val="auto"/>
                      <w:kern w:val="0"/>
                      <w:sz w:val="18"/>
                      <w:szCs w:val="18"/>
                      <w:highlight w:val="none"/>
                      <w:lang w:val="en-US" w:eastAsia="zh-CN"/>
                    </w:rPr>
                    <w:t>-217</w:t>
                  </w:r>
                  <w:r>
                    <w:rPr>
                      <w:b w:val="0"/>
                      <w:bCs w:val="0"/>
                      <w:color w:val="auto"/>
                      <w:kern w:val="0"/>
                      <w:sz w:val="18"/>
                      <w:szCs w:val="18"/>
                      <w:highlight w:val="none"/>
                    </w:rPr>
                    <w:t>,</w:t>
                  </w:r>
                  <w:r>
                    <w:rPr>
                      <w:rFonts w:hint="eastAsia"/>
                      <w:b w:val="0"/>
                      <w:bCs w:val="0"/>
                      <w:color w:val="auto"/>
                      <w:kern w:val="0"/>
                      <w:sz w:val="18"/>
                      <w:szCs w:val="18"/>
                      <w:highlight w:val="none"/>
                      <w:lang w:val="en-US" w:eastAsia="zh-CN"/>
                    </w:rPr>
                    <w:t>433</w:t>
                  </w:r>
                  <w:r>
                    <w:rPr>
                      <w:b w:val="0"/>
                      <w:bCs w:val="0"/>
                      <w:color w:val="auto"/>
                      <w:kern w:val="0"/>
                      <w:sz w:val="18"/>
                      <w:szCs w:val="18"/>
                      <w:highlight w:val="none"/>
                    </w:rPr>
                    <w:t>,</w:t>
                  </w:r>
                  <w:r>
                    <w:rPr>
                      <w:rFonts w:hint="eastAsia"/>
                      <w:b w:val="0"/>
                      <w:bCs w:val="0"/>
                      <w:color w:val="auto"/>
                      <w:kern w:val="0"/>
                      <w:sz w:val="18"/>
                      <w:szCs w:val="18"/>
                      <w:highlight w:val="none"/>
                      <w:lang w:val="en-US" w:eastAsia="zh-CN"/>
                    </w:rPr>
                    <w:t>6</w:t>
                  </w:r>
                  <w:r>
                    <w:rPr>
                      <w:b w:val="0"/>
                      <w:bCs w:val="0"/>
                      <w:color w:val="auto"/>
                      <w:kern w:val="0"/>
                      <w:sz w:val="18"/>
                      <w:szCs w:val="18"/>
                      <w:highlight w:val="none"/>
                    </w:rPr>
                    <w:t>}</w:t>
                  </w:r>
                </w:p>
              </w:tc>
              <w:tc>
                <w:tcPr>
                  <w:tcW w:w="682" w:type="dxa"/>
                  <w:shd w:val="clear" w:color="auto" w:fill="auto"/>
                  <w:noWrap/>
                  <w:vAlign w:val="center"/>
                </w:tcPr>
                <w:p w14:paraId="79F0C676">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b w:val="0"/>
                      <w:bCs/>
                      <w:color w:val="auto"/>
                      <w:sz w:val="18"/>
                      <w:szCs w:val="18"/>
                      <w:highlight w:val="none"/>
                      <w:lang w:val="en-US" w:eastAsia="zh-CN"/>
                    </w:rPr>
                    <w:t>9</w:t>
                  </w:r>
                </w:p>
              </w:tc>
              <w:tc>
                <w:tcPr>
                  <w:tcW w:w="832" w:type="dxa"/>
                  <w:shd w:val="clear" w:color="auto" w:fill="auto"/>
                  <w:noWrap/>
                  <w:vAlign w:val="center"/>
                </w:tcPr>
                <w:p w14:paraId="6A5AD3E8">
                  <w:pPr>
                    <w:keepNext w:val="0"/>
                    <w:keepLines w:val="0"/>
                    <w:widowControl/>
                    <w:suppressLineNumbers w:val="0"/>
                    <w:jc w:val="center"/>
                    <w:textAlignment w:val="center"/>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rPr>
                    <w:t>51</w:t>
                  </w:r>
                </w:p>
              </w:tc>
              <w:tc>
                <w:tcPr>
                  <w:tcW w:w="530" w:type="dxa"/>
                  <w:shd w:val="clear" w:color="auto" w:fill="auto"/>
                  <w:noWrap/>
                  <w:vAlign w:val="center"/>
                </w:tcPr>
                <w:p w14:paraId="4F178CA0">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rFonts w:hint="eastAsia" w:ascii="Times New Roman" w:hAnsi="Times New Roman" w:eastAsia="宋体" w:cs="Times New Roman"/>
                      <w:color w:val="auto"/>
                      <w:kern w:val="0"/>
                      <w:sz w:val="18"/>
                      <w:szCs w:val="18"/>
                      <w:highlight w:val="none"/>
                      <w:lang w:val="en-US" w:eastAsia="zh-CN" w:bidi="ar-SA"/>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4871F55B">
                  <w:pPr>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02856D0E">
                  <w:pPr>
                    <w:keepNext w:val="0"/>
                    <w:keepLines w:val="0"/>
                    <w:widowControl/>
                    <w:suppressLineNumbers w:val="0"/>
                    <w:jc w:val="center"/>
                    <w:textAlignment w:val="center"/>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rPr>
                    <w:t>31</w:t>
                  </w:r>
                </w:p>
              </w:tc>
              <w:tc>
                <w:tcPr>
                  <w:tcW w:w="453" w:type="dxa"/>
                  <w:shd w:val="clear" w:color="auto" w:fill="auto"/>
                  <w:noWrap/>
                  <w:vAlign w:val="center"/>
                </w:tcPr>
                <w:p w14:paraId="3970EC6C">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1</w:t>
                  </w:r>
                </w:p>
              </w:tc>
            </w:tr>
            <w:tr w14:paraId="2FA21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30" w:type="dxa"/>
                  <w:shd w:val="clear" w:color="auto" w:fill="auto"/>
                  <w:noWrap/>
                  <w:vAlign w:val="center"/>
                </w:tcPr>
                <w:p w14:paraId="35C34CC7">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3</w:t>
                  </w:r>
                </w:p>
              </w:tc>
              <w:tc>
                <w:tcPr>
                  <w:tcW w:w="644" w:type="dxa"/>
                  <w:vMerge w:val="continue"/>
                  <w:shd w:val="clear" w:color="auto" w:fill="auto"/>
                  <w:noWrap/>
                  <w:vAlign w:val="center"/>
                </w:tcPr>
                <w:p w14:paraId="72587C67">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31B8B851">
                  <w:pPr>
                    <w:keepNext w:val="0"/>
                    <w:keepLines w:val="0"/>
                    <w:pageBreakBefore w:val="0"/>
                    <w:kinsoku/>
                    <w:wordWrap/>
                    <w:overflowPunct/>
                    <w:topLinePunct w:val="0"/>
                    <w:autoSpaceDE/>
                    <w:autoSpaceDN/>
                    <w:bidi w:val="0"/>
                    <w:adjustRightInd/>
                    <w:snapToGrid w:val="0"/>
                    <w:jc w:val="center"/>
                    <w:rPr>
                      <w:rFonts w:hint="default"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rPr>
                    <w:t>原料螺旋输送</w:t>
                  </w:r>
                  <w:r>
                    <w:rPr>
                      <w:rFonts w:hint="eastAsia" w:cs="Times New Roman"/>
                      <w:i w:val="0"/>
                      <w:iCs w:val="0"/>
                      <w:color w:val="auto"/>
                      <w:kern w:val="0"/>
                      <w:sz w:val="18"/>
                      <w:szCs w:val="18"/>
                      <w:highlight w:val="none"/>
                      <w:u w:val="none"/>
                      <w:lang w:val="en-US" w:eastAsia="zh-CN"/>
                    </w:rPr>
                    <w:t>机2</w:t>
                  </w:r>
                </w:p>
              </w:tc>
              <w:tc>
                <w:tcPr>
                  <w:tcW w:w="709" w:type="dxa"/>
                  <w:shd w:val="clear" w:color="auto" w:fill="auto"/>
                  <w:noWrap/>
                  <w:vAlign w:val="center"/>
                </w:tcPr>
                <w:p w14:paraId="5602274C">
                  <w:pPr>
                    <w:keepNext w:val="0"/>
                    <w:keepLines w:val="0"/>
                    <w:pageBreakBefore w:val="0"/>
                    <w:widowControl/>
                    <w:kinsoku/>
                    <w:wordWrap/>
                    <w:overflowPunct/>
                    <w:topLinePunct w:val="0"/>
                    <w:autoSpaceDE/>
                    <w:autoSpaceDN/>
                    <w:bidi w:val="0"/>
                    <w:adjustRightInd/>
                    <w:snapToGrid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65</w:t>
                  </w:r>
                </w:p>
              </w:tc>
              <w:tc>
                <w:tcPr>
                  <w:tcW w:w="608" w:type="dxa"/>
                  <w:vMerge w:val="continue"/>
                  <w:shd w:val="clear" w:color="auto" w:fill="auto"/>
                  <w:noWrap/>
                  <w:vAlign w:val="center"/>
                </w:tcPr>
                <w:p w14:paraId="53281E32">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7558D00B">
                  <w:pPr>
                    <w:keepNext w:val="0"/>
                    <w:keepLines w:val="0"/>
                    <w:pageBreakBefore w:val="0"/>
                    <w:widowControl/>
                    <w:kinsoku/>
                    <w:wordWrap/>
                    <w:overflowPunct/>
                    <w:topLinePunct w:val="0"/>
                    <w:autoSpaceDE/>
                    <w:autoSpaceDN/>
                    <w:bidi w:val="0"/>
                    <w:adjustRightInd/>
                    <w:snapToGrid w:val="0"/>
                    <w:jc w:val="center"/>
                    <w:rPr>
                      <w:rFonts w:ascii="Times New Roman" w:hAnsi="Times New Roman" w:eastAsia="宋体" w:cs="Times New Roman"/>
                      <w:b w:val="0"/>
                      <w:bCs w:val="0"/>
                      <w:color w:val="auto"/>
                      <w:kern w:val="0"/>
                      <w:sz w:val="18"/>
                      <w:szCs w:val="18"/>
                      <w:highlight w:val="none"/>
                      <w:lang w:val="en-US" w:eastAsia="zh-CN" w:bidi="ar-SA"/>
                    </w:rPr>
                  </w:pPr>
                  <w:r>
                    <w:rPr>
                      <w:b w:val="0"/>
                      <w:bCs w:val="0"/>
                      <w:color w:val="auto"/>
                      <w:kern w:val="0"/>
                      <w:sz w:val="18"/>
                      <w:szCs w:val="18"/>
                      <w:highlight w:val="none"/>
                    </w:rPr>
                    <w:t>{</w:t>
                  </w:r>
                  <w:r>
                    <w:rPr>
                      <w:rFonts w:hint="eastAsia"/>
                      <w:b w:val="0"/>
                      <w:bCs w:val="0"/>
                      <w:color w:val="auto"/>
                      <w:kern w:val="0"/>
                      <w:sz w:val="18"/>
                      <w:szCs w:val="18"/>
                      <w:highlight w:val="none"/>
                      <w:lang w:val="en-US" w:eastAsia="zh-CN"/>
                    </w:rPr>
                    <w:t>-220</w:t>
                  </w:r>
                  <w:r>
                    <w:rPr>
                      <w:b w:val="0"/>
                      <w:bCs w:val="0"/>
                      <w:color w:val="auto"/>
                      <w:kern w:val="0"/>
                      <w:sz w:val="18"/>
                      <w:szCs w:val="18"/>
                      <w:highlight w:val="none"/>
                    </w:rPr>
                    <w:t>,</w:t>
                  </w:r>
                  <w:r>
                    <w:rPr>
                      <w:rFonts w:hint="eastAsia"/>
                      <w:b w:val="0"/>
                      <w:bCs w:val="0"/>
                      <w:color w:val="auto"/>
                      <w:kern w:val="0"/>
                      <w:sz w:val="18"/>
                      <w:szCs w:val="18"/>
                      <w:highlight w:val="none"/>
                      <w:lang w:val="en-US" w:eastAsia="zh-CN"/>
                    </w:rPr>
                    <w:t>432</w:t>
                  </w:r>
                  <w:r>
                    <w:rPr>
                      <w:b w:val="0"/>
                      <w:bCs w:val="0"/>
                      <w:color w:val="auto"/>
                      <w:kern w:val="0"/>
                      <w:sz w:val="18"/>
                      <w:szCs w:val="18"/>
                      <w:highlight w:val="none"/>
                    </w:rPr>
                    <w:t>,</w:t>
                  </w:r>
                  <w:r>
                    <w:rPr>
                      <w:rFonts w:hint="eastAsia"/>
                      <w:b w:val="0"/>
                      <w:bCs w:val="0"/>
                      <w:color w:val="auto"/>
                      <w:kern w:val="0"/>
                      <w:sz w:val="18"/>
                      <w:szCs w:val="18"/>
                      <w:highlight w:val="none"/>
                      <w:lang w:val="en-US" w:eastAsia="zh-CN"/>
                    </w:rPr>
                    <w:t>6</w:t>
                  </w:r>
                  <w:r>
                    <w:rPr>
                      <w:b w:val="0"/>
                      <w:bCs w:val="0"/>
                      <w:color w:val="auto"/>
                      <w:kern w:val="0"/>
                      <w:sz w:val="18"/>
                      <w:szCs w:val="18"/>
                      <w:highlight w:val="none"/>
                    </w:rPr>
                    <w:t>}</w:t>
                  </w:r>
                </w:p>
              </w:tc>
              <w:tc>
                <w:tcPr>
                  <w:tcW w:w="682" w:type="dxa"/>
                  <w:shd w:val="clear" w:color="auto" w:fill="auto"/>
                  <w:noWrap/>
                  <w:vAlign w:val="center"/>
                </w:tcPr>
                <w:p w14:paraId="0C8B5B96">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b w:val="0"/>
                      <w:bCs/>
                      <w:color w:val="auto"/>
                      <w:sz w:val="18"/>
                      <w:szCs w:val="18"/>
                      <w:highlight w:val="none"/>
                      <w:lang w:val="en-US" w:eastAsia="zh-CN"/>
                    </w:rPr>
                    <w:t>8</w:t>
                  </w:r>
                </w:p>
              </w:tc>
              <w:tc>
                <w:tcPr>
                  <w:tcW w:w="832" w:type="dxa"/>
                  <w:shd w:val="clear" w:color="auto" w:fill="auto"/>
                  <w:noWrap/>
                  <w:vAlign w:val="center"/>
                </w:tcPr>
                <w:p w14:paraId="4B839CDD">
                  <w:pPr>
                    <w:keepNext w:val="0"/>
                    <w:keepLines w:val="0"/>
                    <w:widowControl/>
                    <w:suppressLineNumbers w:val="0"/>
                    <w:jc w:val="center"/>
                    <w:textAlignment w:val="center"/>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rPr>
                    <w:t>57</w:t>
                  </w:r>
                </w:p>
              </w:tc>
              <w:tc>
                <w:tcPr>
                  <w:tcW w:w="530" w:type="dxa"/>
                  <w:shd w:val="clear" w:color="auto" w:fill="auto"/>
                  <w:noWrap/>
                  <w:vAlign w:val="center"/>
                </w:tcPr>
                <w:p w14:paraId="3E72E587">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rFonts w:hint="eastAsia" w:ascii="Times New Roman" w:hAnsi="Times New Roman" w:eastAsia="宋体" w:cs="Times New Roman"/>
                      <w:color w:val="auto"/>
                      <w:kern w:val="0"/>
                      <w:sz w:val="18"/>
                      <w:szCs w:val="18"/>
                      <w:highlight w:val="none"/>
                      <w:lang w:val="en-US" w:eastAsia="zh-CN" w:bidi="ar-SA"/>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779093BD">
                  <w:pPr>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428AA6B2">
                  <w:pPr>
                    <w:keepNext w:val="0"/>
                    <w:keepLines w:val="0"/>
                    <w:widowControl/>
                    <w:suppressLineNumbers w:val="0"/>
                    <w:jc w:val="center"/>
                    <w:textAlignment w:val="center"/>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rPr>
                    <w:t>37</w:t>
                  </w:r>
                </w:p>
              </w:tc>
              <w:tc>
                <w:tcPr>
                  <w:tcW w:w="453" w:type="dxa"/>
                  <w:shd w:val="clear" w:color="auto" w:fill="auto"/>
                  <w:noWrap/>
                  <w:vAlign w:val="center"/>
                </w:tcPr>
                <w:p w14:paraId="543FCACD">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1</w:t>
                  </w:r>
                </w:p>
              </w:tc>
            </w:tr>
            <w:tr w14:paraId="676E70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30" w:type="dxa"/>
                  <w:shd w:val="clear" w:color="auto" w:fill="auto"/>
                  <w:noWrap/>
                  <w:vAlign w:val="center"/>
                </w:tcPr>
                <w:p w14:paraId="7E77A9A2">
                  <w:pPr>
                    <w:keepNext w:val="0"/>
                    <w:keepLines w:val="0"/>
                    <w:pageBreakBefore w:val="0"/>
                    <w:widowControl/>
                    <w:kinsoku/>
                    <w:wordWrap/>
                    <w:overflowPunct/>
                    <w:topLinePunct w:val="0"/>
                    <w:autoSpaceDE/>
                    <w:autoSpaceDN/>
                    <w:bidi w:val="0"/>
                    <w:adjustRightInd/>
                    <w:snapToGrid w:val="0"/>
                    <w:jc w:val="center"/>
                    <w:rPr>
                      <w:rFonts w:hint="default"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4</w:t>
                  </w:r>
                </w:p>
              </w:tc>
              <w:tc>
                <w:tcPr>
                  <w:tcW w:w="644" w:type="dxa"/>
                  <w:vMerge w:val="continue"/>
                  <w:shd w:val="clear" w:color="auto" w:fill="auto"/>
                  <w:noWrap/>
                  <w:vAlign w:val="center"/>
                </w:tcPr>
                <w:p w14:paraId="292FA28C">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4812EE5E">
                  <w:pPr>
                    <w:keepNext w:val="0"/>
                    <w:keepLines w:val="0"/>
                    <w:pageBreakBefore w:val="0"/>
                    <w:kinsoku/>
                    <w:wordWrap/>
                    <w:overflowPunct/>
                    <w:topLinePunct w:val="0"/>
                    <w:autoSpaceDE/>
                    <w:autoSpaceDN/>
                    <w:bidi w:val="0"/>
                    <w:adjustRightInd/>
                    <w:snapToGrid w:val="0"/>
                    <w:jc w:val="center"/>
                    <w:rPr>
                      <w:rFonts w:hint="default"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rPr>
                    <w:t>原料螺旋输送机</w:t>
                  </w:r>
                  <w:r>
                    <w:rPr>
                      <w:rFonts w:hint="eastAsia" w:cs="Times New Roman"/>
                      <w:i w:val="0"/>
                      <w:iCs w:val="0"/>
                      <w:color w:val="auto"/>
                      <w:kern w:val="0"/>
                      <w:sz w:val="18"/>
                      <w:szCs w:val="18"/>
                      <w:highlight w:val="none"/>
                      <w:u w:val="none"/>
                      <w:lang w:val="en-US" w:eastAsia="zh-CN"/>
                    </w:rPr>
                    <w:t>3</w:t>
                  </w:r>
                </w:p>
              </w:tc>
              <w:tc>
                <w:tcPr>
                  <w:tcW w:w="709" w:type="dxa"/>
                  <w:shd w:val="clear" w:color="auto" w:fill="auto"/>
                  <w:noWrap/>
                  <w:vAlign w:val="center"/>
                </w:tcPr>
                <w:p w14:paraId="20CFB640">
                  <w:pPr>
                    <w:keepNext w:val="0"/>
                    <w:keepLines w:val="0"/>
                    <w:pageBreakBefore w:val="0"/>
                    <w:widowControl/>
                    <w:kinsoku/>
                    <w:wordWrap/>
                    <w:overflowPunct/>
                    <w:topLinePunct w:val="0"/>
                    <w:autoSpaceDE/>
                    <w:autoSpaceDN/>
                    <w:bidi w:val="0"/>
                    <w:adjustRightInd/>
                    <w:snapToGrid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65</w:t>
                  </w:r>
                </w:p>
              </w:tc>
              <w:tc>
                <w:tcPr>
                  <w:tcW w:w="608" w:type="dxa"/>
                  <w:vMerge w:val="continue"/>
                  <w:shd w:val="clear" w:color="auto" w:fill="auto"/>
                  <w:noWrap/>
                  <w:vAlign w:val="center"/>
                </w:tcPr>
                <w:p w14:paraId="4E7DC083">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52585060">
                  <w:pPr>
                    <w:keepNext w:val="0"/>
                    <w:keepLines w:val="0"/>
                    <w:pageBreakBefore w:val="0"/>
                    <w:widowControl/>
                    <w:kinsoku/>
                    <w:wordWrap/>
                    <w:overflowPunct/>
                    <w:topLinePunct w:val="0"/>
                    <w:autoSpaceDE/>
                    <w:autoSpaceDN/>
                    <w:bidi w:val="0"/>
                    <w:adjustRightInd/>
                    <w:snapToGrid w:val="0"/>
                    <w:jc w:val="center"/>
                    <w:rPr>
                      <w:rFonts w:ascii="Times New Roman" w:hAnsi="Times New Roman" w:eastAsia="宋体" w:cs="Times New Roman"/>
                      <w:b w:val="0"/>
                      <w:bCs w:val="0"/>
                      <w:color w:val="auto"/>
                      <w:kern w:val="0"/>
                      <w:sz w:val="18"/>
                      <w:szCs w:val="18"/>
                      <w:highlight w:val="none"/>
                      <w:lang w:val="en-US" w:eastAsia="zh-CN" w:bidi="ar-SA"/>
                    </w:rPr>
                  </w:pPr>
                  <w:r>
                    <w:rPr>
                      <w:b w:val="0"/>
                      <w:bCs w:val="0"/>
                      <w:color w:val="auto"/>
                      <w:kern w:val="0"/>
                      <w:sz w:val="18"/>
                      <w:szCs w:val="18"/>
                      <w:highlight w:val="none"/>
                    </w:rPr>
                    <w:t>{</w:t>
                  </w:r>
                  <w:r>
                    <w:rPr>
                      <w:rFonts w:hint="eastAsia"/>
                      <w:b w:val="0"/>
                      <w:bCs w:val="0"/>
                      <w:color w:val="auto"/>
                      <w:kern w:val="0"/>
                      <w:sz w:val="18"/>
                      <w:szCs w:val="18"/>
                      <w:highlight w:val="none"/>
                    </w:rPr>
                    <w:t>-223</w:t>
                  </w:r>
                  <w:r>
                    <w:rPr>
                      <w:b w:val="0"/>
                      <w:bCs w:val="0"/>
                      <w:color w:val="auto"/>
                      <w:kern w:val="0"/>
                      <w:sz w:val="18"/>
                      <w:szCs w:val="18"/>
                      <w:highlight w:val="none"/>
                    </w:rPr>
                    <w:t>,</w:t>
                  </w:r>
                  <w:r>
                    <w:rPr>
                      <w:rFonts w:hint="eastAsia"/>
                      <w:b w:val="0"/>
                      <w:bCs w:val="0"/>
                      <w:color w:val="auto"/>
                      <w:kern w:val="0"/>
                      <w:sz w:val="18"/>
                      <w:szCs w:val="18"/>
                      <w:highlight w:val="none"/>
                    </w:rPr>
                    <w:t>430</w:t>
                  </w:r>
                  <w:r>
                    <w:rPr>
                      <w:b w:val="0"/>
                      <w:bCs w:val="0"/>
                      <w:color w:val="auto"/>
                      <w:kern w:val="0"/>
                      <w:sz w:val="18"/>
                      <w:szCs w:val="18"/>
                      <w:highlight w:val="none"/>
                    </w:rPr>
                    <w:t>,</w:t>
                  </w:r>
                  <w:r>
                    <w:rPr>
                      <w:rFonts w:hint="eastAsia"/>
                      <w:b w:val="0"/>
                      <w:bCs w:val="0"/>
                      <w:color w:val="auto"/>
                      <w:kern w:val="0"/>
                      <w:sz w:val="18"/>
                      <w:szCs w:val="18"/>
                      <w:highlight w:val="none"/>
                    </w:rPr>
                    <w:t>6</w:t>
                  </w:r>
                  <w:r>
                    <w:rPr>
                      <w:b w:val="0"/>
                      <w:bCs w:val="0"/>
                      <w:color w:val="auto"/>
                      <w:kern w:val="0"/>
                      <w:sz w:val="18"/>
                      <w:szCs w:val="18"/>
                      <w:highlight w:val="none"/>
                    </w:rPr>
                    <w:t>}</w:t>
                  </w:r>
                </w:p>
              </w:tc>
              <w:tc>
                <w:tcPr>
                  <w:tcW w:w="682" w:type="dxa"/>
                  <w:shd w:val="clear" w:color="auto" w:fill="auto"/>
                  <w:noWrap/>
                  <w:vAlign w:val="center"/>
                </w:tcPr>
                <w:p w14:paraId="74AE1B5D">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b w:val="0"/>
                      <w:bCs/>
                      <w:color w:val="auto"/>
                      <w:sz w:val="18"/>
                      <w:szCs w:val="18"/>
                      <w:highlight w:val="none"/>
                      <w:lang w:val="en-US" w:eastAsia="zh-CN"/>
                    </w:rPr>
                    <w:t>10</w:t>
                  </w:r>
                </w:p>
              </w:tc>
              <w:tc>
                <w:tcPr>
                  <w:tcW w:w="832" w:type="dxa"/>
                  <w:shd w:val="clear" w:color="auto" w:fill="auto"/>
                  <w:noWrap/>
                  <w:vAlign w:val="center"/>
                </w:tcPr>
                <w:p w14:paraId="729E5D52">
                  <w:pPr>
                    <w:keepNext w:val="0"/>
                    <w:keepLines w:val="0"/>
                    <w:widowControl/>
                    <w:suppressLineNumbers w:val="0"/>
                    <w:jc w:val="center"/>
                    <w:textAlignment w:val="center"/>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rPr>
                    <w:t>50</w:t>
                  </w:r>
                </w:p>
              </w:tc>
              <w:tc>
                <w:tcPr>
                  <w:tcW w:w="530" w:type="dxa"/>
                  <w:shd w:val="clear" w:color="auto" w:fill="auto"/>
                  <w:noWrap/>
                  <w:vAlign w:val="center"/>
                </w:tcPr>
                <w:p w14:paraId="66F070B2">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rFonts w:hint="eastAsia" w:ascii="Times New Roman" w:hAnsi="Times New Roman" w:eastAsia="宋体" w:cs="Times New Roman"/>
                      <w:color w:val="auto"/>
                      <w:kern w:val="0"/>
                      <w:sz w:val="18"/>
                      <w:szCs w:val="18"/>
                      <w:highlight w:val="none"/>
                      <w:lang w:val="en-US" w:eastAsia="zh-CN" w:bidi="ar-SA"/>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50968397">
                  <w:pPr>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67D81C8E">
                  <w:pPr>
                    <w:keepNext w:val="0"/>
                    <w:keepLines w:val="0"/>
                    <w:widowControl/>
                    <w:suppressLineNumbers w:val="0"/>
                    <w:jc w:val="center"/>
                    <w:textAlignment w:val="center"/>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rPr>
                    <w:t>30</w:t>
                  </w:r>
                </w:p>
              </w:tc>
              <w:tc>
                <w:tcPr>
                  <w:tcW w:w="453" w:type="dxa"/>
                  <w:shd w:val="clear" w:color="auto" w:fill="auto"/>
                  <w:noWrap/>
                  <w:vAlign w:val="center"/>
                </w:tcPr>
                <w:p w14:paraId="56E70A52">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1</w:t>
                  </w:r>
                </w:p>
              </w:tc>
            </w:tr>
            <w:tr w14:paraId="1633E2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30" w:type="dxa"/>
                  <w:shd w:val="clear" w:color="auto" w:fill="auto"/>
                  <w:noWrap/>
                  <w:vAlign w:val="center"/>
                </w:tcPr>
                <w:p w14:paraId="4568D0F9">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5</w:t>
                  </w:r>
                </w:p>
              </w:tc>
              <w:tc>
                <w:tcPr>
                  <w:tcW w:w="644" w:type="dxa"/>
                  <w:vMerge w:val="continue"/>
                  <w:shd w:val="clear" w:color="auto" w:fill="auto"/>
                  <w:noWrap/>
                  <w:vAlign w:val="center"/>
                </w:tcPr>
                <w:p w14:paraId="1D622E66">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7E39CDC6">
                  <w:pPr>
                    <w:keepNext w:val="0"/>
                    <w:keepLines w:val="0"/>
                    <w:pageBreakBefore w:val="0"/>
                    <w:kinsoku/>
                    <w:wordWrap/>
                    <w:overflowPunct/>
                    <w:topLinePunct w:val="0"/>
                    <w:autoSpaceDE/>
                    <w:autoSpaceDN/>
                    <w:bidi w:val="0"/>
                    <w:adjustRightInd/>
                    <w:snapToGrid w:val="0"/>
                    <w:jc w:val="center"/>
                    <w:rPr>
                      <w:rFonts w:hint="default"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rPr>
                    <w:t>原料螺旋输送机</w:t>
                  </w:r>
                  <w:r>
                    <w:rPr>
                      <w:rFonts w:hint="eastAsia" w:cs="Times New Roman"/>
                      <w:i w:val="0"/>
                      <w:iCs w:val="0"/>
                      <w:color w:val="auto"/>
                      <w:kern w:val="0"/>
                      <w:sz w:val="18"/>
                      <w:szCs w:val="18"/>
                      <w:highlight w:val="none"/>
                      <w:u w:val="none"/>
                      <w:lang w:val="en-US" w:eastAsia="zh-CN"/>
                    </w:rPr>
                    <w:t>4</w:t>
                  </w:r>
                </w:p>
              </w:tc>
              <w:tc>
                <w:tcPr>
                  <w:tcW w:w="709" w:type="dxa"/>
                  <w:shd w:val="clear" w:color="auto" w:fill="auto"/>
                  <w:noWrap/>
                  <w:vAlign w:val="center"/>
                </w:tcPr>
                <w:p w14:paraId="6CD36E64">
                  <w:pPr>
                    <w:keepNext w:val="0"/>
                    <w:keepLines w:val="0"/>
                    <w:pageBreakBefore w:val="0"/>
                    <w:widowControl/>
                    <w:kinsoku/>
                    <w:wordWrap/>
                    <w:overflowPunct/>
                    <w:topLinePunct w:val="0"/>
                    <w:autoSpaceDE/>
                    <w:autoSpaceDN/>
                    <w:bidi w:val="0"/>
                    <w:adjustRightInd/>
                    <w:snapToGrid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65</w:t>
                  </w:r>
                </w:p>
              </w:tc>
              <w:tc>
                <w:tcPr>
                  <w:tcW w:w="608" w:type="dxa"/>
                  <w:vMerge w:val="continue"/>
                  <w:shd w:val="clear" w:color="auto" w:fill="auto"/>
                  <w:noWrap/>
                  <w:vAlign w:val="center"/>
                </w:tcPr>
                <w:p w14:paraId="50B94BDE">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43FC698D">
                  <w:pPr>
                    <w:keepNext w:val="0"/>
                    <w:keepLines w:val="0"/>
                    <w:pageBreakBefore w:val="0"/>
                    <w:widowControl/>
                    <w:kinsoku/>
                    <w:wordWrap/>
                    <w:overflowPunct/>
                    <w:topLinePunct w:val="0"/>
                    <w:autoSpaceDE/>
                    <w:autoSpaceDN/>
                    <w:bidi w:val="0"/>
                    <w:adjustRightInd/>
                    <w:snapToGrid w:val="0"/>
                    <w:jc w:val="center"/>
                    <w:rPr>
                      <w:rFonts w:ascii="Times New Roman" w:hAnsi="Times New Roman" w:eastAsia="宋体" w:cs="Times New Roman"/>
                      <w:b w:val="0"/>
                      <w:bCs w:val="0"/>
                      <w:color w:val="auto"/>
                      <w:kern w:val="0"/>
                      <w:sz w:val="18"/>
                      <w:szCs w:val="18"/>
                      <w:highlight w:val="none"/>
                      <w:lang w:val="en-US" w:eastAsia="zh-CN" w:bidi="ar-SA"/>
                    </w:rPr>
                  </w:pPr>
                  <w:r>
                    <w:rPr>
                      <w:b w:val="0"/>
                      <w:bCs w:val="0"/>
                      <w:color w:val="auto"/>
                      <w:kern w:val="0"/>
                      <w:sz w:val="18"/>
                      <w:szCs w:val="18"/>
                      <w:highlight w:val="none"/>
                    </w:rPr>
                    <w:t>{</w:t>
                  </w:r>
                  <w:r>
                    <w:rPr>
                      <w:rFonts w:hint="eastAsia"/>
                      <w:b w:val="0"/>
                      <w:bCs w:val="0"/>
                      <w:color w:val="auto"/>
                      <w:kern w:val="0"/>
                      <w:sz w:val="18"/>
                      <w:szCs w:val="18"/>
                      <w:highlight w:val="none"/>
                    </w:rPr>
                    <w:t>-226</w:t>
                  </w:r>
                  <w:r>
                    <w:rPr>
                      <w:b w:val="0"/>
                      <w:bCs w:val="0"/>
                      <w:color w:val="auto"/>
                      <w:kern w:val="0"/>
                      <w:sz w:val="18"/>
                      <w:szCs w:val="18"/>
                      <w:highlight w:val="none"/>
                    </w:rPr>
                    <w:t>,</w:t>
                  </w:r>
                  <w:r>
                    <w:rPr>
                      <w:rFonts w:hint="eastAsia"/>
                      <w:b w:val="0"/>
                      <w:bCs w:val="0"/>
                      <w:color w:val="auto"/>
                      <w:kern w:val="0"/>
                      <w:sz w:val="18"/>
                      <w:szCs w:val="18"/>
                      <w:highlight w:val="none"/>
                      <w:lang w:val="en-US" w:eastAsia="zh-CN"/>
                    </w:rPr>
                    <w:t>428</w:t>
                  </w:r>
                  <w:r>
                    <w:rPr>
                      <w:b w:val="0"/>
                      <w:bCs w:val="0"/>
                      <w:color w:val="auto"/>
                      <w:kern w:val="0"/>
                      <w:sz w:val="18"/>
                      <w:szCs w:val="18"/>
                      <w:highlight w:val="none"/>
                    </w:rPr>
                    <w:t>,</w:t>
                  </w:r>
                  <w:r>
                    <w:rPr>
                      <w:rFonts w:hint="eastAsia"/>
                      <w:b w:val="0"/>
                      <w:bCs w:val="0"/>
                      <w:color w:val="auto"/>
                      <w:kern w:val="0"/>
                      <w:sz w:val="18"/>
                      <w:szCs w:val="18"/>
                      <w:highlight w:val="none"/>
                      <w:lang w:val="en-US" w:eastAsia="zh-CN"/>
                    </w:rPr>
                    <w:t>6</w:t>
                  </w:r>
                  <w:r>
                    <w:rPr>
                      <w:b w:val="0"/>
                      <w:bCs w:val="0"/>
                      <w:color w:val="auto"/>
                      <w:kern w:val="0"/>
                      <w:sz w:val="18"/>
                      <w:szCs w:val="18"/>
                      <w:highlight w:val="none"/>
                    </w:rPr>
                    <w:t>}</w:t>
                  </w:r>
                </w:p>
              </w:tc>
              <w:tc>
                <w:tcPr>
                  <w:tcW w:w="682" w:type="dxa"/>
                  <w:shd w:val="clear" w:color="auto" w:fill="auto"/>
                  <w:noWrap/>
                  <w:vAlign w:val="center"/>
                </w:tcPr>
                <w:p w14:paraId="6D9B3771">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b w:val="0"/>
                      <w:bCs/>
                      <w:color w:val="auto"/>
                      <w:sz w:val="18"/>
                      <w:szCs w:val="18"/>
                      <w:highlight w:val="none"/>
                      <w:lang w:val="en-US" w:eastAsia="zh-CN"/>
                    </w:rPr>
                    <w:t>11</w:t>
                  </w:r>
                </w:p>
              </w:tc>
              <w:tc>
                <w:tcPr>
                  <w:tcW w:w="832" w:type="dxa"/>
                  <w:shd w:val="clear" w:color="auto" w:fill="auto"/>
                  <w:noWrap/>
                  <w:vAlign w:val="center"/>
                </w:tcPr>
                <w:p w14:paraId="0D8B7F49">
                  <w:pPr>
                    <w:keepNext w:val="0"/>
                    <w:keepLines w:val="0"/>
                    <w:widowControl/>
                    <w:suppressLineNumbers w:val="0"/>
                    <w:jc w:val="center"/>
                    <w:textAlignment w:val="center"/>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rPr>
                    <w:t>49</w:t>
                  </w:r>
                </w:p>
              </w:tc>
              <w:tc>
                <w:tcPr>
                  <w:tcW w:w="530" w:type="dxa"/>
                  <w:shd w:val="clear" w:color="auto" w:fill="auto"/>
                  <w:noWrap/>
                  <w:vAlign w:val="center"/>
                </w:tcPr>
                <w:p w14:paraId="50DAD433">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rFonts w:hint="eastAsia" w:ascii="Times New Roman" w:hAnsi="Times New Roman" w:eastAsia="宋体" w:cs="Times New Roman"/>
                      <w:color w:val="auto"/>
                      <w:kern w:val="0"/>
                      <w:sz w:val="18"/>
                      <w:szCs w:val="18"/>
                      <w:highlight w:val="none"/>
                      <w:lang w:val="en-US" w:eastAsia="zh-CN" w:bidi="ar-SA"/>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3E82BC34">
                  <w:pPr>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44847A92">
                  <w:pPr>
                    <w:keepNext w:val="0"/>
                    <w:keepLines w:val="0"/>
                    <w:widowControl/>
                    <w:suppressLineNumbers w:val="0"/>
                    <w:jc w:val="center"/>
                    <w:textAlignment w:val="center"/>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rPr>
                    <w:t>29</w:t>
                  </w:r>
                </w:p>
              </w:tc>
              <w:tc>
                <w:tcPr>
                  <w:tcW w:w="453" w:type="dxa"/>
                  <w:shd w:val="clear" w:color="auto" w:fill="auto"/>
                  <w:noWrap/>
                  <w:vAlign w:val="center"/>
                </w:tcPr>
                <w:p w14:paraId="60D4359E">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1</w:t>
                  </w:r>
                </w:p>
              </w:tc>
            </w:tr>
            <w:tr w14:paraId="3A652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30" w:type="dxa"/>
                  <w:shd w:val="clear" w:color="auto" w:fill="auto"/>
                  <w:noWrap/>
                  <w:vAlign w:val="center"/>
                </w:tcPr>
                <w:p w14:paraId="4DD97E07">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6</w:t>
                  </w:r>
                </w:p>
              </w:tc>
              <w:tc>
                <w:tcPr>
                  <w:tcW w:w="644" w:type="dxa"/>
                  <w:vMerge w:val="continue"/>
                  <w:shd w:val="clear" w:color="auto" w:fill="auto"/>
                  <w:noWrap/>
                  <w:vAlign w:val="center"/>
                </w:tcPr>
                <w:p w14:paraId="65FF13A9">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3A7E787A">
                  <w:pPr>
                    <w:keepNext w:val="0"/>
                    <w:keepLines w:val="0"/>
                    <w:pageBreakBefore w:val="0"/>
                    <w:kinsoku/>
                    <w:wordWrap/>
                    <w:overflowPunct/>
                    <w:topLinePunct w:val="0"/>
                    <w:autoSpaceDE/>
                    <w:autoSpaceDN/>
                    <w:bidi w:val="0"/>
                    <w:adjustRightInd/>
                    <w:snapToGrid w:val="0"/>
                    <w:jc w:val="center"/>
                    <w:rPr>
                      <w:rFonts w:hint="default"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rPr>
                    <w:t>原料螺旋输送机</w:t>
                  </w:r>
                  <w:r>
                    <w:rPr>
                      <w:rFonts w:hint="eastAsia" w:cs="Times New Roman"/>
                      <w:i w:val="0"/>
                      <w:iCs w:val="0"/>
                      <w:color w:val="auto"/>
                      <w:kern w:val="0"/>
                      <w:sz w:val="18"/>
                      <w:szCs w:val="18"/>
                      <w:highlight w:val="none"/>
                      <w:u w:val="none"/>
                      <w:lang w:val="en-US" w:eastAsia="zh-CN"/>
                    </w:rPr>
                    <w:t>5</w:t>
                  </w:r>
                </w:p>
              </w:tc>
              <w:tc>
                <w:tcPr>
                  <w:tcW w:w="709" w:type="dxa"/>
                  <w:shd w:val="clear" w:color="auto" w:fill="auto"/>
                  <w:noWrap/>
                  <w:vAlign w:val="center"/>
                </w:tcPr>
                <w:p w14:paraId="3926843D">
                  <w:pPr>
                    <w:keepNext w:val="0"/>
                    <w:keepLines w:val="0"/>
                    <w:pageBreakBefore w:val="0"/>
                    <w:widowControl/>
                    <w:kinsoku/>
                    <w:wordWrap/>
                    <w:overflowPunct/>
                    <w:topLinePunct w:val="0"/>
                    <w:autoSpaceDE/>
                    <w:autoSpaceDN/>
                    <w:bidi w:val="0"/>
                    <w:adjustRightInd/>
                    <w:snapToGrid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65</w:t>
                  </w:r>
                </w:p>
              </w:tc>
              <w:tc>
                <w:tcPr>
                  <w:tcW w:w="608" w:type="dxa"/>
                  <w:vMerge w:val="continue"/>
                  <w:shd w:val="clear" w:color="auto" w:fill="auto"/>
                  <w:noWrap/>
                  <w:vAlign w:val="center"/>
                </w:tcPr>
                <w:p w14:paraId="31709298">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035C3590">
                  <w:pPr>
                    <w:keepNext w:val="0"/>
                    <w:keepLines w:val="0"/>
                    <w:pageBreakBefore w:val="0"/>
                    <w:widowControl/>
                    <w:kinsoku/>
                    <w:wordWrap/>
                    <w:overflowPunct/>
                    <w:topLinePunct w:val="0"/>
                    <w:autoSpaceDE/>
                    <w:autoSpaceDN/>
                    <w:bidi w:val="0"/>
                    <w:adjustRightInd/>
                    <w:snapToGrid w:val="0"/>
                    <w:jc w:val="center"/>
                    <w:rPr>
                      <w:rFonts w:ascii="Times New Roman" w:hAnsi="Times New Roman" w:eastAsia="宋体" w:cs="Times New Roman"/>
                      <w:b w:val="0"/>
                      <w:bCs w:val="0"/>
                      <w:color w:val="auto"/>
                      <w:kern w:val="0"/>
                      <w:sz w:val="18"/>
                      <w:szCs w:val="18"/>
                      <w:highlight w:val="none"/>
                      <w:lang w:val="en-US" w:eastAsia="zh-CN" w:bidi="ar-SA"/>
                    </w:rPr>
                  </w:pPr>
                  <w:r>
                    <w:rPr>
                      <w:b w:val="0"/>
                      <w:bCs w:val="0"/>
                      <w:color w:val="auto"/>
                      <w:kern w:val="0"/>
                      <w:sz w:val="18"/>
                      <w:szCs w:val="18"/>
                      <w:highlight w:val="none"/>
                    </w:rPr>
                    <w:t>{</w:t>
                  </w:r>
                  <w:r>
                    <w:rPr>
                      <w:rFonts w:hint="eastAsia"/>
                      <w:b w:val="0"/>
                      <w:bCs w:val="0"/>
                      <w:color w:val="auto"/>
                      <w:kern w:val="0"/>
                      <w:sz w:val="18"/>
                      <w:szCs w:val="18"/>
                      <w:highlight w:val="none"/>
                    </w:rPr>
                    <w:t>-227</w:t>
                  </w:r>
                  <w:r>
                    <w:rPr>
                      <w:b w:val="0"/>
                      <w:bCs w:val="0"/>
                      <w:color w:val="auto"/>
                      <w:kern w:val="0"/>
                      <w:sz w:val="18"/>
                      <w:szCs w:val="18"/>
                      <w:highlight w:val="none"/>
                    </w:rPr>
                    <w:t>,</w:t>
                  </w:r>
                  <w:r>
                    <w:rPr>
                      <w:rFonts w:hint="eastAsia"/>
                      <w:b w:val="0"/>
                      <w:bCs w:val="0"/>
                      <w:color w:val="auto"/>
                      <w:kern w:val="0"/>
                      <w:sz w:val="18"/>
                      <w:szCs w:val="18"/>
                      <w:highlight w:val="none"/>
                      <w:lang w:val="en-US" w:eastAsia="zh-CN"/>
                    </w:rPr>
                    <w:t>427,6</w:t>
                  </w:r>
                  <w:r>
                    <w:rPr>
                      <w:b w:val="0"/>
                      <w:bCs w:val="0"/>
                      <w:color w:val="auto"/>
                      <w:kern w:val="0"/>
                      <w:sz w:val="18"/>
                      <w:szCs w:val="18"/>
                      <w:highlight w:val="none"/>
                    </w:rPr>
                    <w:t>}</w:t>
                  </w:r>
                </w:p>
              </w:tc>
              <w:tc>
                <w:tcPr>
                  <w:tcW w:w="682" w:type="dxa"/>
                  <w:shd w:val="clear" w:color="auto" w:fill="auto"/>
                  <w:noWrap/>
                  <w:vAlign w:val="center"/>
                </w:tcPr>
                <w:p w14:paraId="33D75EB7">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b w:val="0"/>
                      <w:bCs/>
                      <w:color w:val="auto"/>
                      <w:sz w:val="18"/>
                      <w:szCs w:val="18"/>
                      <w:highlight w:val="none"/>
                      <w:lang w:val="en-US" w:eastAsia="zh-CN"/>
                    </w:rPr>
                    <w:t>12</w:t>
                  </w:r>
                </w:p>
              </w:tc>
              <w:tc>
                <w:tcPr>
                  <w:tcW w:w="832" w:type="dxa"/>
                  <w:shd w:val="clear" w:color="auto" w:fill="auto"/>
                  <w:noWrap/>
                  <w:vAlign w:val="center"/>
                </w:tcPr>
                <w:p w14:paraId="3A2E1D65">
                  <w:pPr>
                    <w:keepNext w:val="0"/>
                    <w:keepLines w:val="0"/>
                    <w:widowControl/>
                    <w:suppressLineNumbers w:val="0"/>
                    <w:jc w:val="center"/>
                    <w:textAlignment w:val="center"/>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rPr>
                    <w:t>53</w:t>
                  </w:r>
                </w:p>
              </w:tc>
              <w:tc>
                <w:tcPr>
                  <w:tcW w:w="530" w:type="dxa"/>
                  <w:shd w:val="clear" w:color="auto" w:fill="auto"/>
                  <w:noWrap/>
                  <w:vAlign w:val="center"/>
                </w:tcPr>
                <w:p w14:paraId="6C19F252">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rFonts w:hint="eastAsia" w:ascii="Times New Roman" w:hAnsi="Times New Roman" w:eastAsia="宋体" w:cs="Times New Roman"/>
                      <w:color w:val="auto"/>
                      <w:kern w:val="0"/>
                      <w:sz w:val="18"/>
                      <w:szCs w:val="18"/>
                      <w:highlight w:val="none"/>
                      <w:lang w:val="en-US" w:eastAsia="zh-CN" w:bidi="ar-SA"/>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35EF4CA0">
                  <w:pPr>
                    <w:keepNext w:val="0"/>
                    <w:keepLines w:val="0"/>
                    <w:pageBreakBefore w:val="0"/>
                    <w:widowControl/>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7469EB84">
                  <w:pPr>
                    <w:keepNext w:val="0"/>
                    <w:keepLines w:val="0"/>
                    <w:widowControl/>
                    <w:suppressLineNumbers w:val="0"/>
                    <w:jc w:val="center"/>
                    <w:textAlignment w:val="center"/>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rPr>
                    <w:t>33</w:t>
                  </w:r>
                </w:p>
              </w:tc>
              <w:tc>
                <w:tcPr>
                  <w:tcW w:w="453" w:type="dxa"/>
                  <w:shd w:val="clear" w:color="auto" w:fill="auto"/>
                  <w:noWrap/>
                  <w:vAlign w:val="center"/>
                </w:tcPr>
                <w:p w14:paraId="284F33E8">
                  <w:pPr>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b w:val="0"/>
                      <w:bCs/>
                      <w:color w:val="auto"/>
                      <w:sz w:val="18"/>
                      <w:szCs w:val="18"/>
                      <w:highlight w:val="none"/>
                    </w:rPr>
                    <w:t>1</w:t>
                  </w:r>
                </w:p>
              </w:tc>
            </w:tr>
            <w:tr w14:paraId="25F99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30" w:type="dxa"/>
                  <w:shd w:val="clear" w:color="auto" w:fill="auto"/>
                  <w:noWrap/>
                  <w:vAlign w:val="center"/>
                </w:tcPr>
                <w:p w14:paraId="78B944C3">
                  <w:pPr>
                    <w:keepNext w:val="0"/>
                    <w:keepLines w:val="0"/>
                    <w:pageBreakBefore w:val="0"/>
                    <w:widowControl/>
                    <w:kinsoku/>
                    <w:wordWrap/>
                    <w:overflowPunct/>
                    <w:topLinePunct w:val="0"/>
                    <w:autoSpaceDE/>
                    <w:autoSpaceDN/>
                    <w:bidi w:val="0"/>
                    <w:adjustRightInd/>
                    <w:snapToGrid w:val="0"/>
                    <w:jc w:val="center"/>
                    <w:rPr>
                      <w:rFonts w:hint="default"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7</w:t>
                  </w:r>
                </w:p>
              </w:tc>
              <w:tc>
                <w:tcPr>
                  <w:tcW w:w="644" w:type="dxa"/>
                  <w:vMerge w:val="continue"/>
                  <w:shd w:val="clear" w:color="auto" w:fill="auto"/>
                  <w:noWrap/>
                  <w:vAlign w:val="center"/>
                </w:tcPr>
                <w:p w14:paraId="433B24FC">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47289BED">
                  <w:pPr>
                    <w:keepNext w:val="0"/>
                    <w:keepLines w:val="0"/>
                    <w:pageBreakBefore w:val="0"/>
                    <w:kinsoku/>
                    <w:wordWrap/>
                    <w:overflowPunct/>
                    <w:topLinePunct w:val="0"/>
                    <w:autoSpaceDE/>
                    <w:autoSpaceDN/>
                    <w:bidi w:val="0"/>
                    <w:adjustRightInd/>
                    <w:snapToGrid w:val="0"/>
                    <w:jc w:val="center"/>
                    <w:rPr>
                      <w:rFonts w:hint="default"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rPr>
                    <w:t>原料螺旋输送机</w:t>
                  </w:r>
                  <w:r>
                    <w:rPr>
                      <w:rFonts w:hint="eastAsia" w:cs="Times New Roman"/>
                      <w:i w:val="0"/>
                      <w:iCs w:val="0"/>
                      <w:color w:val="auto"/>
                      <w:kern w:val="0"/>
                      <w:sz w:val="18"/>
                      <w:szCs w:val="18"/>
                      <w:highlight w:val="none"/>
                      <w:u w:val="none"/>
                      <w:lang w:val="en-US" w:eastAsia="zh-CN"/>
                    </w:rPr>
                    <w:t>6</w:t>
                  </w:r>
                </w:p>
              </w:tc>
              <w:tc>
                <w:tcPr>
                  <w:tcW w:w="709" w:type="dxa"/>
                  <w:shd w:val="clear" w:color="auto" w:fill="auto"/>
                  <w:noWrap/>
                  <w:vAlign w:val="center"/>
                </w:tcPr>
                <w:p w14:paraId="46D70DE7">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r>
                    <w:rPr>
                      <w:rFonts w:hint="eastAsia"/>
                      <w:color w:val="auto"/>
                      <w:kern w:val="0"/>
                      <w:sz w:val="18"/>
                      <w:szCs w:val="18"/>
                      <w:highlight w:val="none"/>
                      <w:lang w:val="en-US" w:eastAsia="zh-CN"/>
                    </w:rPr>
                    <w:t>65</w:t>
                  </w:r>
                </w:p>
              </w:tc>
              <w:tc>
                <w:tcPr>
                  <w:tcW w:w="608" w:type="dxa"/>
                  <w:vMerge w:val="continue"/>
                  <w:shd w:val="clear" w:color="auto" w:fill="auto"/>
                  <w:noWrap/>
                  <w:vAlign w:val="center"/>
                </w:tcPr>
                <w:p w14:paraId="07E641EF">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002EFD5F">
                  <w:pPr>
                    <w:keepNext w:val="0"/>
                    <w:keepLines w:val="0"/>
                    <w:pageBreakBefore w:val="0"/>
                    <w:widowControl/>
                    <w:kinsoku/>
                    <w:wordWrap/>
                    <w:overflowPunct/>
                    <w:topLinePunct w:val="0"/>
                    <w:autoSpaceDE/>
                    <w:autoSpaceDN/>
                    <w:bidi w:val="0"/>
                    <w:adjustRightInd/>
                    <w:snapToGrid w:val="0"/>
                    <w:jc w:val="center"/>
                    <w:rPr>
                      <w:b w:val="0"/>
                      <w:bCs w:val="0"/>
                      <w:color w:val="auto"/>
                      <w:kern w:val="0"/>
                      <w:sz w:val="18"/>
                      <w:szCs w:val="18"/>
                      <w:highlight w:val="none"/>
                    </w:rPr>
                  </w:pPr>
                  <w:r>
                    <w:rPr>
                      <w:rFonts w:hint="eastAsia"/>
                      <w:b w:val="0"/>
                      <w:bCs w:val="0"/>
                      <w:color w:val="auto"/>
                      <w:kern w:val="0"/>
                      <w:sz w:val="18"/>
                      <w:szCs w:val="18"/>
                      <w:highlight w:val="none"/>
                      <w:lang w:val="en-US" w:eastAsia="zh-CN"/>
                    </w:rPr>
                    <w:t>{-221,430,6}</w:t>
                  </w:r>
                </w:p>
              </w:tc>
              <w:tc>
                <w:tcPr>
                  <w:tcW w:w="682" w:type="dxa"/>
                  <w:shd w:val="clear" w:color="auto" w:fill="auto"/>
                  <w:noWrap/>
                  <w:vAlign w:val="center"/>
                </w:tcPr>
                <w:p w14:paraId="7260D9D1">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cs="Times New Roman"/>
                      <w:b w:val="0"/>
                      <w:bCs/>
                      <w:color w:val="auto"/>
                      <w:sz w:val="18"/>
                      <w:szCs w:val="18"/>
                      <w:highlight w:val="none"/>
                      <w:lang w:val="en-US" w:eastAsia="zh-CN"/>
                    </w:rPr>
                    <w:t>9</w:t>
                  </w:r>
                </w:p>
              </w:tc>
              <w:tc>
                <w:tcPr>
                  <w:tcW w:w="832" w:type="dxa"/>
                  <w:shd w:val="clear" w:color="auto" w:fill="auto"/>
                  <w:noWrap/>
                  <w:vAlign w:val="center"/>
                </w:tcPr>
                <w:p w14:paraId="52E25621">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51</w:t>
                  </w:r>
                </w:p>
              </w:tc>
              <w:tc>
                <w:tcPr>
                  <w:tcW w:w="530" w:type="dxa"/>
                  <w:shd w:val="clear" w:color="auto" w:fill="auto"/>
                  <w:noWrap/>
                  <w:vAlign w:val="center"/>
                </w:tcPr>
                <w:p w14:paraId="7D4A4DD0">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color w:val="auto"/>
                      <w:kern w:val="0"/>
                      <w:sz w:val="18"/>
                      <w:szCs w:val="18"/>
                      <w:highlight w:val="none"/>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6ED12510">
                  <w:pPr>
                    <w:keepNext w:val="0"/>
                    <w:keepLines w:val="0"/>
                    <w:pageBreakBefore w:val="0"/>
                    <w:widowControl/>
                    <w:kinsoku/>
                    <w:wordWrap/>
                    <w:overflowPunct/>
                    <w:topLinePunct w:val="0"/>
                    <w:autoSpaceDE/>
                    <w:autoSpaceDN/>
                    <w:bidi w:val="0"/>
                    <w:adjustRightInd/>
                    <w:snapToGrid w:val="0"/>
                    <w:jc w:val="center"/>
                    <w:textAlignment w:val="auto"/>
                    <w:rPr>
                      <w:color w:val="auto"/>
                      <w:kern w:val="0"/>
                      <w:sz w:val="18"/>
                      <w:szCs w:val="18"/>
                      <w:highlight w:val="none"/>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0276EE6C">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31</w:t>
                  </w:r>
                </w:p>
              </w:tc>
              <w:tc>
                <w:tcPr>
                  <w:tcW w:w="453" w:type="dxa"/>
                  <w:shd w:val="clear" w:color="auto" w:fill="auto"/>
                  <w:noWrap/>
                  <w:vAlign w:val="center"/>
                </w:tcPr>
                <w:p w14:paraId="35EDCA59">
                  <w:pPr>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rPr>
                    <w:t>1</w:t>
                  </w:r>
                </w:p>
              </w:tc>
            </w:tr>
            <w:tr w14:paraId="07FBE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30" w:type="dxa"/>
                  <w:shd w:val="clear" w:color="auto" w:fill="auto"/>
                  <w:noWrap/>
                  <w:vAlign w:val="center"/>
                </w:tcPr>
                <w:p w14:paraId="6EFECD94">
                  <w:pPr>
                    <w:keepNext w:val="0"/>
                    <w:keepLines w:val="0"/>
                    <w:pageBreakBefore w:val="0"/>
                    <w:widowControl/>
                    <w:kinsoku/>
                    <w:wordWrap/>
                    <w:overflowPunct/>
                    <w:topLinePunct w:val="0"/>
                    <w:autoSpaceDE/>
                    <w:autoSpaceDN/>
                    <w:bidi w:val="0"/>
                    <w:adjustRightInd/>
                    <w:snapToGrid w:val="0"/>
                    <w:jc w:val="center"/>
                    <w:rPr>
                      <w:rFonts w:hint="default"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8</w:t>
                  </w:r>
                </w:p>
              </w:tc>
              <w:tc>
                <w:tcPr>
                  <w:tcW w:w="644" w:type="dxa"/>
                  <w:vMerge w:val="continue"/>
                  <w:shd w:val="clear" w:color="auto" w:fill="auto"/>
                  <w:noWrap/>
                  <w:vAlign w:val="center"/>
                </w:tcPr>
                <w:p w14:paraId="24B7B0A5">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670FB267">
                  <w:pPr>
                    <w:keepNext w:val="0"/>
                    <w:keepLines w:val="0"/>
                    <w:pageBreakBefore w:val="0"/>
                    <w:kinsoku/>
                    <w:wordWrap/>
                    <w:overflowPunct/>
                    <w:topLinePunct w:val="0"/>
                    <w:autoSpaceDE/>
                    <w:autoSpaceDN/>
                    <w:bidi w:val="0"/>
                    <w:adjustRightInd/>
                    <w:snapToGrid w:val="0"/>
                    <w:jc w:val="center"/>
                    <w:rPr>
                      <w:rFonts w:hint="default"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rPr>
                    <w:t>原料螺旋输送机</w:t>
                  </w:r>
                  <w:r>
                    <w:rPr>
                      <w:rFonts w:hint="eastAsia" w:cs="Times New Roman"/>
                      <w:i w:val="0"/>
                      <w:iCs w:val="0"/>
                      <w:color w:val="auto"/>
                      <w:kern w:val="0"/>
                      <w:sz w:val="18"/>
                      <w:szCs w:val="18"/>
                      <w:highlight w:val="none"/>
                      <w:u w:val="none"/>
                      <w:lang w:val="en-US" w:eastAsia="zh-CN"/>
                    </w:rPr>
                    <w:t>7</w:t>
                  </w:r>
                </w:p>
              </w:tc>
              <w:tc>
                <w:tcPr>
                  <w:tcW w:w="709" w:type="dxa"/>
                  <w:shd w:val="clear" w:color="auto" w:fill="auto"/>
                  <w:noWrap/>
                  <w:vAlign w:val="center"/>
                </w:tcPr>
                <w:p w14:paraId="7051854A">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r>
                    <w:rPr>
                      <w:rFonts w:hint="eastAsia"/>
                      <w:color w:val="auto"/>
                      <w:kern w:val="0"/>
                      <w:sz w:val="18"/>
                      <w:szCs w:val="18"/>
                      <w:highlight w:val="none"/>
                      <w:lang w:val="en-US" w:eastAsia="zh-CN"/>
                    </w:rPr>
                    <w:t>65</w:t>
                  </w:r>
                </w:p>
              </w:tc>
              <w:tc>
                <w:tcPr>
                  <w:tcW w:w="608" w:type="dxa"/>
                  <w:vMerge w:val="continue"/>
                  <w:shd w:val="clear" w:color="auto" w:fill="auto"/>
                  <w:noWrap/>
                  <w:vAlign w:val="center"/>
                </w:tcPr>
                <w:p w14:paraId="11ECB48E">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095A1416">
                  <w:pPr>
                    <w:keepNext w:val="0"/>
                    <w:keepLines w:val="0"/>
                    <w:pageBreakBefore w:val="0"/>
                    <w:widowControl/>
                    <w:kinsoku/>
                    <w:wordWrap/>
                    <w:overflowPunct/>
                    <w:topLinePunct w:val="0"/>
                    <w:autoSpaceDE/>
                    <w:autoSpaceDN/>
                    <w:bidi w:val="0"/>
                    <w:adjustRightInd/>
                    <w:snapToGrid w:val="0"/>
                    <w:jc w:val="center"/>
                    <w:rPr>
                      <w:b w:val="0"/>
                      <w:bCs w:val="0"/>
                      <w:color w:val="auto"/>
                      <w:kern w:val="0"/>
                      <w:sz w:val="18"/>
                      <w:szCs w:val="18"/>
                      <w:highlight w:val="none"/>
                    </w:rPr>
                  </w:pPr>
                  <w:r>
                    <w:rPr>
                      <w:rFonts w:hint="eastAsia"/>
                      <w:b w:val="0"/>
                      <w:bCs w:val="0"/>
                      <w:color w:val="auto"/>
                      <w:kern w:val="0"/>
                      <w:sz w:val="18"/>
                      <w:szCs w:val="18"/>
                      <w:highlight w:val="none"/>
                      <w:lang w:val="en-US" w:eastAsia="zh-CN"/>
                    </w:rPr>
                    <w:t>{-224,427,6}</w:t>
                  </w:r>
                </w:p>
              </w:tc>
              <w:tc>
                <w:tcPr>
                  <w:tcW w:w="682" w:type="dxa"/>
                  <w:shd w:val="clear" w:color="auto" w:fill="auto"/>
                  <w:noWrap/>
                  <w:vAlign w:val="center"/>
                </w:tcPr>
                <w:p w14:paraId="00A719DE">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cs="Times New Roman"/>
                      <w:b w:val="0"/>
                      <w:bCs/>
                      <w:color w:val="auto"/>
                      <w:sz w:val="18"/>
                      <w:szCs w:val="18"/>
                      <w:highlight w:val="none"/>
                      <w:lang w:val="en-US" w:eastAsia="zh-CN"/>
                    </w:rPr>
                    <w:t>8</w:t>
                  </w:r>
                </w:p>
              </w:tc>
              <w:tc>
                <w:tcPr>
                  <w:tcW w:w="832" w:type="dxa"/>
                  <w:shd w:val="clear" w:color="auto" w:fill="auto"/>
                  <w:noWrap/>
                  <w:vAlign w:val="center"/>
                </w:tcPr>
                <w:p w14:paraId="0BC84C02">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52</w:t>
                  </w:r>
                </w:p>
              </w:tc>
              <w:tc>
                <w:tcPr>
                  <w:tcW w:w="530" w:type="dxa"/>
                  <w:shd w:val="clear" w:color="auto" w:fill="auto"/>
                  <w:noWrap/>
                  <w:vAlign w:val="center"/>
                </w:tcPr>
                <w:p w14:paraId="1D7ACAC2">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color w:val="auto"/>
                      <w:kern w:val="0"/>
                      <w:sz w:val="18"/>
                      <w:szCs w:val="18"/>
                      <w:highlight w:val="none"/>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5E2D7224">
                  <w:pPr>
                    <w:keepNext w:val="0"/>
                    <w:keepLines w:val="0"/>
                    <w:pageBreakBefore w:val="0"/>
                    <w:widowControl/>
                    <w:kinsoku/>
                    <w:wordWrap/>
                    <w:overflowPunct/>
                    <w:topLinePunct w:val="0"/>
                    <w:autoSpaceDE/>
                    <w:autoSpaceDN/>
                    <w:bidi w:val="0"/>
                    <w:adjustRightInd/>
                    <w:snapToGrid w:val="0"/>
                    <w:jc w:val="center"/>
                    <w:textAlignment w:val="auto"/>
                    <w:rPr>
                      <w:color w:val="auto"/>
                      <w:kern w:val="0"/>
                      <w:sz w:val="18"/>
                      <w:szCs w:val="18"/>
                      <w:highlight w:val="none"/>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5295E651">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32</w:t>
                  </w:r>
                </w:p>
              </w:tc>
              <w:tc>
                <w:tcPr>
                  <w:tcW w:w="453" w:type="dxa"/>
                  <w:shd w:val="clear" w:color="auto" w:fill="auto"/>
                  <w:noWrap/>
                  <w:vAlign w:val="center"/>
                </w:tcPr>
                <w:p w14:paraId="56275AF1">
                  <w:pPr>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rPr>
                    <w:t>1</w:t>
                  </w:r>
                </w:p>
              </w:tc>
            </w:tr>
            <w:tr w14:paraId="6E23A2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30" w:type="dxa"/>
                  <w:shd w:val="clear" w:color="auto" w:fill="auto"/>
                  <w:noWrap/>
                  <w:vAlign w:val="center"/>
                </w:tcPr>
                <w:p w14:paraId="3C60C51B">
                  <w:pPr>
                    <w:keepNext w:val="0"/>
                    <w:keepLines w:val="0"/>
                    <w:pageBreakBefore w:val="0"/>
                    <w:widowControl/>
                    <w:kinsoku/>
                    <w:wordWrap/>
                    <w:overflowPunct/>
                    <w:topLinePunct w:val="0"/>
                    <w:autoSpaceDE/>
                    <w:autoSpaceDN/>
                    <w:bidi w:val="0"/>
                    <w:adjustRightInd/>
                    <w:snapToGrid w:val="0"/>
                    <w:jc w:val="center"/>
                    <w:rPr>
                      <w:rFonts w:hint="default"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9</w:t>
                  </w:r>
                </w:p>
              </w:tc>
              <w:tc>
                <w:tcPr>
                  <w:tcW w:w="644" w:type="dxa"/>
                  <w:vMerge w:val="continue"/>
                  <w:shd w:val="clear" w:color="auto" w:fill="auto"/>
                  <w:noWrap/>
                  <w:vAlign w:val="center"/>
                </w:tcPr>
                <w:p w14:paraId="62E0C2F4">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147E3FA8">
                  <w:pPr>
                    <w:keepNext w:val="0"/>
                    <w:keepLines w:val="0"/>
                    <w:pageBreakBefore w:val="0"/>
                    <w:kinsoku/>
                    <w:wordWrap/>
                    <w:overflowPunct/>
                    <w:topLinePunct w:val="0"/>
                    <w:autoSpaceDE/>
                    <w:autoSpaceDN/>
                    <w:bidi w:val="0"/>
                    <w:adjustRightInd/>
                    <w:snapToGrid w:val="0"/>
                    <w:jc w:val="center"/>
                    <w:rPr>
                      <w:rFonts w:hint="default"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rPr>
                    <w:t>原料螺旋输送机</w:t>
                  </w:r>
                  <w:r>
                    <w:rPr>
                      <w:rFonts w:hint="eastAsia" w:cs="Times New Roman"/>
                      <w:i w:val="0"/>
                      <w:iCs w:val="0"/>
                      <w:color w:val="auto"/>
                      <w:kern w:val="0"/>
                      <w:sz w:val="18"/>
                      <w:szCs w:val="18"/>
                      <w:highlight w:val="none"/>
                      <w:u w:val="none"/>
                      <w:lang w:val="en-US" w:eastAsia="zh-CN"/>
                    </w:rPr>
                    <w:t>8</w:t>
                  </w:r>
                </w:p>
              </w:tc>
              <w:tc>
                <w:tcPr>
                  <w:tcW w:w="709" w:type="dxa"/>
                  <w:shd w:val="clear" w:color="auto" w:fill="auto"/>
                  <w:noWrap/>
                  <w:vAlign w:val="center"/>
                </w:tcPr>
                <w:p w14:paraId="4971CB0E">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r>
                    <w:rPr>
                      <w:rFonts w:hint="eastAsia"/>
                      <w:color w:val="auto"/>
                      <w:kern w:val="0"/>
                      <w:sz w:val="18"/>
                      <w:szCs w:val="18"/>
                      <w:highlight w:val="none"/>
                      <w:lang w:val="en-US" w:eastAsia="zh-CN"/>
                    </w:rPr>
                    <w:t>65</w:t>
                  </w:r>
                </w:p>
              </w:tc>
              <w:tc>
                <w:tcPr>
                  <w:tcW w:w="608" w:type="dxa"/>
                  <w:vMerge w:val="continue"/>
                  <w:shd w:val="clear" w:color="auto" w:fill="auto"/>
                  <w:noWrap/>
                  <w:vAlign w:val="center"/>
                </w:tcPr>
                <w:p w14:paraId="5647CC01">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58C811D0">
                  <w:pPr>
                    <w:keepNext w:val="0"/>
                    <w:keepLines w:val="0"/>
                    <w:pageBreakBefore w:val="0"/>
                    <w:widowControl/>
                    <w:kinsoku/>
                    <w:wordWrap/>
                    <w:overflowPunct/>
                    <w:topLinePunct w:val="0"/>
                    <w:autoSpaceDE/>
                    <w:autoSpaceDN/>
                    <w:bidi w:val="0"/>
                    <w:adjustRightInd/>
                    <w:snapToGrid w:val="0"/>
                    <w:jc w:val="center"/>
                    <w:rPr>
                      <w:b w:val="0"/>
                      <w:bCs w:val="0"/>
                      <w:color w:val="auto"/>
                      <w:kern w:val="0"/>
                      <w:sz w:val="18"/>
                      <w:szCs w:val="18"/>
                      <w:highlight w:val="none"/>
                    </w:rPr>
                  </w:pPr>
                  <w:r>
                    <w:rPr>
                      <w:rFonts w:hint="eastAsia"/>
                      <w:b w:val="0"/>
                      <w:bCs w:val="0"/>
                      <w:color w:val="auto"/>
                      <w:kern w:val="0"/>
                      <w:sz w:val="18"/>
                      <w:szCs w:val="18"/>
                      <w:highlight w:val="none"/>
                      <w:lang w:val="en-US" w:eastAsia="zh-CN"/>
                    </w:rPr>
                    <w:t>{-225,427,6}</w:t>
                  </w:r>
                </w:p>
              </w:tc>
              <w:tc>
                <w:tcPr>
                  <w:tcW w:w="682" w:type="dxa"/>
                  <w:shd w:val="clear" w:color="auto" w:fill="auto"/>
                  <w:noWrap/>
                  <w:vAlign w:val="center"/>
                </w:tcPr>
                <w:p w14:paraId="6E2BA726">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cs="Times New Roman"/>
                      <w:b w:val="0"/>
                      <w:bCs/>
                      <w:color w:val="auto"/>
                      <w:sz w:val="18"/>
                      <w:szCs w:val="18"/>
                      <w:highlight w:val="none"/>
                      <w:lang w:val="en-US" w:eastAsia="zh-CN"/>
                    </w:rPr>
                    <w:t>9</w:t>
                  </w:r>
                </w:p>
              </w:tc>
              <w:tc>
                <w:tcPr>
                  <w:tcW w:w="832" w:type="dxa"/>
                  <w:shd w:val="clear" w:color="auto" w:fill="auto"/>
                  <w:noWrap/>
                  <w:vAlign w:val="center"/>
                </w:tcPr>
                <w:p w14:paraId="14FFD048">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51</w:t>
                  </w:r>
                </w:p>
              </w:tc>
              <w:tc>
                <w:tcPr>
                  <w:tcW w:w="530" w:type="dxa"/>
                  <w:shd w:val="clear" w:color="auto" w:fill="auto"/>
                  <w:noWrap/>
                  <w:vAlign w:val="center"/>
                </w:tcPr>
                <w:p w14:paraId="2AABBD57">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color w:val="auto"/>
                      <w:kern w:val="0"/>
                      <w:sz w:val="18"/>
                      <w:szCs w:val="18"/>
                      <w:highlight w:val="none"/>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4272990B">
                  <w:pPr>
                    <w:keepNext w:val="0"/>
                    <w:keepLines w:val="0"/>
                    <w:pageBreakBefore w:val="0"/>
                    <w:widowControl/>
                    <w:kinsoku/>
                    <w:wordWrap/>
                    <w:overflowPunct/>
                    <w:topLinePunct w:val="0"/>
                    <w:autoSpaceDE/>
                    <w:autoSpaceDN/>
                    <w:bidi w:val="0"/>
                    <w:adjustRightInd/>
                    <w:snapToGrid w:val="0"/>
                    <w:jc w:val="center"/>
                    <w:textAlignment w:val="auto"/>
                    <w:rPr>
                      <w:color w:val="auto"/>
                      <w:kern w:val="0"/>
                      <w:sz w:val="18"/>
                      <w:szCs w:val="18"/>
                      <w:highlight w:val="none"/>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045A4035">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31</w:t>
                  </w:r>
                </w:p>
              </w:tc>
              <w:tc>
                <w:tcPr>
                  <w:tcW w:w="453" w:type="dxa"/>
                  <w:shd w:val="clear" w:color="auto" w:fill="auto"/>
                  <w:noWrap/>
                  <w:vAlign w:val="center"/>
                </w:tcPr>
                <w:p w14:paraId="7A408D42">
                  <w:pPr>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rPr>
                    <w:t>1</w:t>
                  </w:r>
                </w:p>
              </w:tc>
            </w:tr>
            <w:tr w14:paraId="11E01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30" w:type="dxa"/>
                  <w:shd w:val="clear" w:color="auto" w:fill="auto"/>
                  <w:noWrap/>
                  <w:vAlign w:val="center"/>
                </w:tcPr>
                <w:p w14:paraId="4BAF6238">
                  <w:pPr>
                    <w:keepNext w:val="0"/>
                    <w:keepLines w:val="0"/>
                    <w:pageBreakBefore w:val="0"/>
                    <w:widowControl/>
                    <w:kinsoku/>
                    <w:wordWrap/>
                    <w:overflowPunct/>
                    <w:topLinePunct w:val="0"/>
                    <w:autoSpaceDE/>
                    <w:autoSpaceDN/>
                    <w:bidi w:val="0"/>
                    <w:adjustRightInd/>
                    <w:snapToGrid w:val="0"/>
                    <w:jc w:val="center"/>
                    <w:rPr>
                      <w:rFonts w:hint="default"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10</w:t>
                  </w:r>
                </w:p>
              </w:tc>
              <w:tc>
                <w:tcPr>
                  <w:tcW w:w="644" w:type="dxa"/>
                  <w:vMerge w:val="continue"/>
                  <w:shd w:val="clear" w:color="auto" w:fill="auto"/>
                  <w:noWrap/>
                  <w:vAlign w:val="center"/>
                </w:tcPr>
                <w:p w14:paraId="347A4DA4">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5B95B528">
                  <w:pPr>
                    <w:keepNext w:val="0"/>
                    <w:keepLines w:val="0"/>
                    <w:pageBreakBefore w:val="0"/>
                    <w:kinsoku/>
                    <w:wordWrap/>
                    <w:overflowPunct/>
                    <w:topLinePunct w:val="0"/>
                    <w:autoSpaceDE/>
                    <w:autoSpaceDN/>
                    <w:bidi w:val="0"/>
                    <w:adjustRightInd/>
                    <w:snapToGrid w:val="0"/>
                    <w:jc w:val="center"/>
                    <w:rPr>
                      <w:rFonts w:hint="default"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rPr>
                    <w:t>电动吊篮</w:t>
                  </w:r>
                  <w:r>
                    <w:rPr>
                      <w:rFonts w:hint="eastAsia" w:cs="Times New Roman"/>
                      <w:i w:val="0"/>
                      <w:iCs w:val="0"/>
                      <w:color w:val="auto"/>
                      <w:kern w:val="0"/>
                      <w:sz w:val="18"/>
                      <w:szCs w:val="18"/>
                      <w:highlight w:val="none"/>
                      <w:u w:val="none"/>
                      <w:lang w:val="en-US" w:eastAsia="zh-CN"/>
                    </w:rPr>
                    <w:t>1</w:t>
                  </w:r>
                </w:p>
              </w:tc>
              <w:tc>
                <w:tcPr>
                  <w:tcW w:w="709" w:type="dxa"/>
                  <w:shd w:val="clear" w:color="auto" w:fill="auto"/>
                  <w:noWrap/>
                  <w:vAlign w:val="center"/>
                </w:tcPr>
                <w:p w14:paraId="47DD28AC">
                  <w:pPr>
                    <w:keepNext w:val="0"/>
                    <w:keepLines w:val="0"/>
                    <w:pageBreakBefore w:val="0"/>
                    <w:widowControl/>
                    <w:kinsoku/>
                    <w:wordWrap/>
                    <w:overflowPunct/>
                    <w:topLinePunct w:val="0"/>
                    <w:autoSpaceDE/>
                    <w:autoSpaceDN/>
                    <w:bidi w:val="0"/>
                    <w:adjustRightInd/>
                    <w:snapToGrid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70</w:t>
                  </w:r>
                </w:p>
              </w:tc>
              <w:tc>
                <w:tcPr>
                  <w:tcW w:w="608" w:type="dxa"/>
                  <w:vMerge w:val="continue"/>
                  <w:shd w:val="clear" w:color="auto" w:fill="auto"/>
                  <w:noWrap/>
                  <w:vAlign w:val="center"/>
                </w:tcPr>
                <w:p w14:paraId="34128FF7">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7C7491A1">
                  <w:pPr>
                    <w:keepNext w:val="0"/>
                    <w:keepLines w:val="0"/>
                    <w:pageBreakBefore w:val="0"/>
                    <w:widowControl/>
                    <w:kinsoku/>
                    <w:wordWrap/>
                    <w:overflowPunct/>
                    <w:topLinePunct w:val="0"/>
                    <w:autoSpaceDE/>
                    <w:autoSpaceDN/>
                    <w:bidi w:val="0"/>
                    <w:adjustRightInd/>
                    <w:snapToGrid w:val="0"/>
                    <w:jc w:val="center"/>
                    <w:rPr>
                      <w:b w:val="0"/>
                      <w:bCs w:val="0"/>
                      <w:color w:val="auto"/>
                      <w:kern w:val="0"/>
                      <w:sz w:val="18"/>
                      <w:szCs w:val="18"/>
                      <w:highlight w:val="none"/>
                    </w:rPr>
                  </w:pPr>
                  <w:r>
                    <w:rPr>
                      <w:rFonts w:hint="eastAsia"/>
                      <w:b w:val="0"/>
                      <w:bCs w:val="0"/>
                      <w:color w:val="auto"/>
                      <w:kern w:val="0"/>
                      <w:sz w:val="18"/>
                      <w:szCs w:val="18"/>
                      <w:highlight w:val="none"/>
                      <w:lang w:val="en-US" w:eastAsia="zh-CN"/>
                    </w:rPr>
                    <w:t>{-216,428,6}</w:t>
                  </w:r>
                </w:p>
              </w:tc>
              <w:tc>
                <w:tcPr>
                  <w:tcW w:w="682" w:type="dxa"/>
                  <w:shd w:val="clear" w:color="auto" w:fill="auto"/>
                  <w:noWrap/>
                  <w:vAlign w:val="center"/>
                </w:tcPr>
                <w:p w14:paraId="6CD90932">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cs="Times New Roman"/>
                      <w:b w:val="0"/>
                      <w:bCs/>
                      <w:color w:val="auto"/>
                      <w:sz w:val="18"/>
                      <w:szCs w:val="18"/>
                      <w:highlight w:val="none"/>
                      <w:lang w:val="en-US" w:eastAsia="zh-CN"/>
                    </w:rPr>
                    <w:t>10</w:t>
                  </w:r>
                </w:p>
              </w:tc>
              <w:tc>
                <w:tcPr>
                  <w:tcW w:w="832" w:type="dxa"/>
                  <w:shd w:val="clear" w:color="auto" w:fill="auto"/>
                  <w:noWrap/>
                  <w:vAlign w:val="center"/>
                </w:tcPr>
                <w:p w14:paraId="4DFE9ED3">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55</w:t>
                  </w:r>
                </w:p>
              </w:tc>
              <w:tc>
                <w:tcPr>
                  <w:tcW w:w="530" w:type="dxa"/>
                  <w:shd w:val="clear" w:color="auto" w:fill="auto"/>
                  <w:noWrap/>
                  <w:vAlign w:val="center"/>
                </w:tcPr>
                <w:p w14:paraId="548E9731">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color w:val="auto"/>
                      <w:kern w:val="0"/>
                      <w:sz w:val="18"/>
                      <w:szCs w:val="18"/>
                      <w:highlight w:val="none"/>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0FAE1DD2">
                  <w:pPr>
                    <w:keepNext w:val="0"/>
                    <w:keepLines w:val="0"/>
                    <w:pageBreakBefore w:val="0"/>
                    <w:widowControl/>
                    <w:kinsoku/>
                    <w:wordWrap/>
                    <w:overflowPunct/>
                    <w:topLinePunct w:val="0"/>
                    <w:autoSpaceDE/>
                    <w:autoSpaceDN/>
                    <w:bidi w:val="0"/>
                    <w:adjustRightInd/>
                    <w:snapToGrid w:val="0"/>
                    <w:jc w:val="center"/>
                    <w:textAlignment w:val="auto"/>
                    <w:rPr>
                      <w:color w:val="auto"/>
                      <w:kern w:val="0"/>
                      <w:sz w:val="18"/>
                      <w:szCs w:val="18"/>
                      <w:highlight w:val="none"/>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55EF0668">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35</w:t>
                  </w:r>
                </w:p>
              </w:tc>
              <w:tc>
                <w:tcPr>
                  <w:tcW w:w="453" w:type="dxa"/>
                  <w:shd w:val="clear" w:color="auto" w:fill="auto"/>
                  <w:noWrap/>
                  <w:vAlign w:val="center"/>
                </w:tcPr>
                <w:p w14:paraId="16BD8DE2">
                  <w:pPr>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rPr>
                    <w:t>1</w:t>
                  </w:r>
                </w:p>
              </w:tc>
            </w:tr>
            <w:tr w14:paraId="3E361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30" w:type="dxa"/>
                  <w:shd w:val="clear" w:color="auto" w:fill="auto"/>
                  <w:noWrap/>
                  <w:vAlign w:val="center"/>
                </w:tcPr>
                <w:p w14:paraId="5D184149">
                  <w:pPr>
                    <w:keepNext w:val="0"/>
                    <w:keepLines w:val="0"/>
                    <w:pageBreakBefore w:val="0"/>
                    <w:widowControl/>
                    <w:kinsoku/>
                    <w:wordWrap/>
                    <w:overflowPunct/>
                    <w:topLinePunct w:val="0"/>
                    <w:autoSpaceDE/>
                    <w:autoSpaceDN/>
                    <w:bidi w:val="0"/>
                    <w:adjustRightInd/>
                    <w:snapToGrid w:val="0"/>
                    <w:jc w:val="center"/>
                    <w:rPr>
                      <w:rFonts w:hint="default"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11</w:t>
                  </w:r>
                </w:p>
              </w:tc>
              <w:tc>
                <w:tcPr>
                  <w:tcW w:w="644" w:type="dxa"/>
                  <w:vMerge w:val="continue"/>
                  <w:shd w:val="clear" w:color="auto" w:fill="auto"/>
                  <w:noWrap/>
                  <w:vAlign w:val="center"/>
                </w:tcPr>
                <w:p w14:paraId="7C4CD194">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4334DB7C">
                  <w:pPr>
                    <w:keepNext w:val="0"/>
                    <w:keepLines w:val="0"/>
                    <w:pageBreakBefore w:val="0"/>
                    <w:kinsoku/>
                    <w:wordWrap/>
                    <w:overflowPunct/>
                    <w:topLinePunct w:val="0"/>
                    <w:autoSpaceDE/>
                    <w:autoSpaceDN/>
                    <w:bidi w:val="0"/>
                    <w:adjustRightInd/>
                    <w:snapToGrid w:val="0"/>
                    <w:jc w:val="center"/>
                    <w:rPr>
                      <w:rFonts w:hint="eastAsia"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sz w:val="18"/>
                      <w:szCs w:val="18"/>
                      <w:highlight w:val="none"/>
                      <w:u w:val="none"/>
                    </w:rPr>
                    <w:t>小料螺旋输送机</w:t>
                  </w:r>
                  <w:r>
                    <w:rPr>
                      <w:rFonts w:hint="eastAsia" w:cs="Times New Roman"/>
                      <w:i w:val="0"/>
                      <w:iCs w:val="0"/>
                      <w:color w:val="auto"/>
                      <w:sz w:val="18"/>
                      <w:szCs w:val="18"/>
                      <w:highlight w:val="none"/>
                      <w:u w:val="none"/>
                      <w:lang w:val="en-US" w:eastAsia="zh-CN"/>
                    </w:rPr>
                    <w:t>1</w:t>
                  </w:r>
                </w:p>
              </w:tc>
              <w:tc>
                <w:tcPr>
                  <w:tcW w:w="709" w:type="dxa"/>
                  <w:shd w:val="clear" w:color="auto" w:fill="auto"/>
                  <w:noWrap/>
                  <w:vAlign w:val="center"/>
                </w:tcPr>
                <w:p w14:paraId="483042FD">
                  <w:pPr>
                    <w:keepNext w:val="0"/>
                    <w:keepLines w:val="0"/>
                    <w:pageBreakBefore w:val="0"/>
                    <w:widowControl/>
                    <w:kinsoku/>
                    <w:wordWrap/>
                    <w:overflowPunct/>
                    <w:topLinePunct w:val="0"/>
                    <w:autoSpaceDE/>
                    <w:autoSpaceDN/>
                    <w:bidi w:val="0"/>
                    <w:adjustRightInd/>
                    <w:snapToGrid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65</w:t>
                  </w:r>
                </w:p>
              </w:tc>
              <w:tc>
                <w:tcPr>
                  <w:tcW w:w="608" w:type="dxa"/>
                  <w:vMerge w:val="continue"/>
                  <w:shd w:val="clear" w:color="auto" w:fill="auto"/>
                  <w:noWrap/>
                  <w:vAlign w:val="center"/>
                </w:tcPr>
                <w:p w14:paraId="1503CE5F">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4AA613EB">
                  <w:pPr>
                    <w:keepNext w:val="0"/>
                    <w:keepLines w:val="0"/>
                    <w:pageBreakBefore w:val="0"/>
                    <w:widowControl/>
                    <w:kinsoku/>
                    <w:wordWrap/>
                    <w:overflowPunct/>
                    <w:topLinePunct w:val="0"/>
                    <w:autoSpaceDE/>
                    <w:autoSpaceDN/>
                    <w:bidi w:val="0"/>
                    <w:adjustRightInd/>
                    <w:snapToGrid w:val="0"/>
                    <w:jc w:val="center"/>
                    <w:rPr>
                      <w:b w:val="0"/>
                      <w:bCs w:val="0"/>
                      <w:color w:val="auto"/>
                      <w:kern w:val="0"/>
                      <w:sz w:val="18"/>
                      <w:szCs w:val="18"/>
                      <w:highlight w:val="none"/>
                    </w:rPr>
                  </w:pPr>
                  <w:r>
                    <w:rPr>
                      <w:rFonts w:hint="eastAsia"/>
                      <w:b w:val="0"/>
                      <w:bCs w:val="0"/>
                      <w:color w:val="auto"/>
                      <w:kern w:val="0"/>
                      <w:sz w:val="18"/>
                      <w:szCs w:val="18"/>
                      <w:highlight w:val="none"/>
                      <w:lang w:val="en-US" w:eastAsia="zh-CN"/>
                    </w:rPr>
                    <w:t>{-222,427,6}</w:t>
                  </w:r>
                </w:p>
              </w:tc>
              <w:tc>
                <w:tcPr>
                  <w:tcW w:w="682" w:type="dxa"/>
                  <w:shd w:val="clear" w:color="auto" w:fill="auto"/>
                  <w:noWrap/>
                  <w:vAlign w:val="center"/>
                </w:tcPr>
                <w:p w14:paraId="79EB000E">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cs="Times New Roman"/>
                      <w:b w:val="0"/>
                      <w:bCs/>
                      <w:color w:val="auto"/>
                      <w:sz w:val="18"/>
                      <w:szCs w:val="18"/>
                      <w:highlight w:val="none"/>
                      <w:lang w:val="en-US" w:eastAsia="zh-CN"/>
                    </w:rPr>
                    <w:t>10</w:t>
                  </w:r>
                </w:p>
              </w:tc>
              <w:tc>
                <w:tcPr>
                  <w:tcW w:w="832" w:type="dxa"/>
                  <w:shd w:val="clear" w:color="auto" w:fill="auto"/>
                  <w:noWrap/>
                  <w:vAlign w:val="center"/>
                </w:tcPr>
                <w:p w14:paraId="481A020F">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55</w:t>
                  </w:r>
                </w:p>
              </w:tc>
              <w:tc>
                <w:tcPr>
                  <w:tcW w:w="530" w:type="dxa"/>
                  <w:shd w:val="clear" w:color="auto" w:fill="auto"/>
                  <w:noWrap/>
                  <w:vAlign w:val="center"/>
                </w:tcPr>
                <w:p w14:paraId="1A8640F4">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color w:val="auto"/>
                      <w:kern w:val="0"/>
                      <w:sz w:val="18"/>
                      <w:szCs w:val="18"/>
                      <w:highlight w:val="none"/>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64CA5F13">
                  <w:pPr>
                    <w:keepNext w:val="0"/>
                    <w:keepLines w:val="0"/>
                    <w:pageBreakBefore w:val="0"/>
                    <w:widowControl/>
                    <w:kinsoku/>
                    <w:wordWrap/>
                    <w:overflowPunct/>
                    <w:topLinePunct w:val="0"/>
                    <w:autoSpaceDE/>
                    <w:autoSpaceDN/>
                    <w:bidi w:val="0"/>
                    <w:adjustRightInd/>
                    <w:snapToGrid w:val="0"/>
                    <w:jc w:val="center"/>
                    <w:textAlignment w:val="auto"/>
                    <w:rPr>
                      <w:color w:val="auto"/>
                      <w:kern w:val="0"/>
                      <w:sz w:val="18"/>
                      <w:szCs w:val="18"/>
                      <w:highlight w:val="none"/>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0D511B80">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35</w:t>
                  </w:r>
                </w:p>
              </w:tc>
              <w:tc>
                <w:tcPr>
                  <w:tcW w:w="453" w:type="dxa"/>
                  <w:shd w:val="clear" w:color="auto" w:fill="auto"/>
                  <w:noWrap/>
                  <w:vAlign w:val="center"/>
                </w:tcPr>
                <w:p w14:paraId="662D86C0">
                  <w:pPr>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rPr>
                    <w:t>1</w:t>
                  </w:r>
                </w:p>
              </w:tc>
            </w:tr>
            <w:tr w14:paraId="70E28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30" w:type="dxa"/>
                  <w:shd w:val="clear" w:color="auto" w:fill="auto"/>
                  <w:noWrap/>
                  <w:vAlign w:val="center"/>
                </w:tcPr>
                <w:p w14:paraId="253304B0">
                  <w:pPr>
                    <w:keepNext w:val="0"/>
                    <w:keepLines w:val="0"/>
                    <w:pageBreakBefore w:val="0"/>
                    <w:widowControl/>
                    <w:kinsoku/>
                    <w:wordWrap/>
                    <w:overflowPunct/>
                    <w:topLinePunct w:val="0"/>
                    <w:autoSpaceDE/>
                    <w:autoSpaceDN/>
                    <w:bidi w:val="0"/>
                    <w:adjustRightInd/>
                    <w:snapToGrid w:val="0"/>
                    <w:jc w:val="center"/>
                    <w:rPr>
                      <w:rFonts w:hint="default"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12</w:t>
                  </w:r>
                </w:p>
              </w:tc>
              <w:tc>
                <w:tcPr>
                  <w:tcW w:w="644" w:type="dxa"/>
                  <w:vMerge w:val="continue"/>
                  <w:shd w:val="clear" w:color="auto" w:fill="auto"/>
                  <w:noWrap/>
                  <w:vAlign w:val="center"/>
                </w:tcPr>
                <w:p w14:paraId="745CD251">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04F97D47">
                  <w:pPr>
                    <w:keepNext w:val="0"/>
                    <w:keepLines w:val="0"/>
                    <w:pageBreakBefore w:val="0"/>
                    <w:kinsoku/>
                    <w:wordWrap/>
                    <w:overflowPunct/>
                    <w:topLinePunct w:val="0"/>
                    <w:autoSpaceDE/>
                    <w:autoSpaceDN/>
                    <w:bidi w:val="0"/>
                    <w:adjustRightInd/>
                    <w:snapToGrid w:val="0"/>
                    <w:jc w:val="center"/>
                    <w:rPr>
                      <w:rFonts w:hint="eastAsia"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sz w:val="18"/>
                      <w:szCs w:val="18"/>
                      <w:highlight w:val="none"/>
                      <w:u w:val="none"/>
                    </w:rPr>
                    <w:t>小料螺旋输送机</w:t>
                  </w:r>
                  <w:r>
                    <w:rPr>
                      <w:rFonts w:hint="eastAsia" w:cs="Times New Roman"/>
                      <w:i w:val="0"/>
                      <w:iCs w:val="0"/>
                      <w:color w:val="auto"/>
                      <w:sz w:val="18"/>
                      <w:szCs w:val="18"/>
                      <w:highlight w:val="none"/>
                      <w:u w:val="none"/>
                      <w:lang w:val="en-US" w:eastAsia="zh-CN"/>
                    </w:rPr>
                    <w:t>2</w:t>
                  </w:r>
                </w:p>
              </w:tc>
              <w:tc>
                <w:tcPr>
                  <w:tcW w:w="709" w:type="dxa"/>
                  <w:shd w:val="clear" w:color="auto" w:fill="auto"/>
                  <w:noWrap/>
                  <w:vAlign w:val="center"/>
                </w:tcPr>
                <w:p w14:paraId="56A96D4E">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r>
                    <w:rPr>
                      <w:rFonts w:hint="eastAsia"/>
                      <w:color w:val="auto"/>
                      <w:kern w:val="0"/>
                      <w:sz w:val="18"/>
                      <w:szCs w:val="18"/>
                      <w:highlight w:val="none"/>
                      <w:lang w:val="en-US" w:eastAsia="zh-CN"/>
                    </w:rPr>
                    <w:t>65</w:t>
                  </w:r>
                </w:p>
              </w:tc>
              <w:tc>
                <w:tcPr>
                  <w:tcW w:w="608" w:type="dxa"/>
                  <w:vMerge w:val="continue"/>
                  <w:shd w:val="clear" w:color="auto" w:fill="auto"/>
                  <w:noWrap/>
                  <w:vAlign w:val="center"/>
                </w:tcPr>
                <w:p w14:paraId="6644AB38">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7A2085BD">
                  <w:pPr>
                    <w:keepNext w:val="0"/>
                    <w:keepLines w:val="0"/>
                    <w:pageBreakBefore w:val="0"/>
                    <w:widowControl/>
                    <w:kinsoku/>
                    <w:wordWrap/>
                    <w:overflowPunct/>
                    <w:topLinePunct w:val="0"/>
                    <w:autoSpaceDE/>
                    <w:autoSpaceDN/>
                    <w:bidi w:val="0"/>
                    <w:adjustRightInd/>
                    <w:snapToGrid w:val="0"/>
                    <w:jc w:val="center"/>
                    <w:rPr>
                      <w:b w:val="0"/>
                      <w:bCs w:val="0"/>
                      <w:color w:val="auto"/>
                      <w:kern w:val="0"/>
                      <w:sz w:val="18"/>
                      <w:szCs w:val="18"/>
                      <w:highlight w:val="none"/>
                    </w:rPr>
                  </w:pPr>
                  <w:r>
                    <w:rPr>
                      <w:rFonts w:hint="eastAsia"/>
                      <w:b w:val="0"/>
                      <w:bCs w:val="0"/>
                      <w:color w:val="auto"/>
                      <w:kern w:val="0"/>
                      <w:sz w:val="18"/>
                      <w:szCs w:val="18"/>
                      <w:highlight w:val="none"/>
                      <w:lang w:val="en-US" w:eastAsia="zh-CN"/>
                    </w:rPr>
                    <w:t>{-224,426,6}</w:t>
                  </w:r>
                </w:p>
              </w:tc>
              <w:tc>
                <w:tcPr>
                  <w:tcW w:w="682" w:type="dxa"/>
                  <w:shd w:val="clear" w:color="auto" w:fill="auto"/>
                  <w:noWrap/>
                  <w:vAlign w:val="center"/>
                </w:tcPr>
                <w:p w14:paraId="10D73660">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cs="Times New Roman"/>
                      <w:b w:val="0"/>
                      <w:bCs/>
                      <w:color w:val="auto"/>
                      <w:sz w:val="18"/>
                      <w:szCs w:val="18"/>
                      <w:highlight w:val="none"/>
                      <w:lang w:val="en-US" w:eastAsia="zh-CN"/>
                    </w:rPr>
                    <w:t>10</w:t>
                  </w:r>
                </w:p>
              </w:tc>
              <w:tc>
                <w:tcPr>
                  <w:tcW w:w="832" w:type="dxa"/>
                  <w:shd w:val="clear" w:color="auto" w:fill="auto"/>
                  <w:noWrap/>
                  <w:vAlign w:val="center"/>
                </w:tcPr>
                <w:p w14:paraId="4C1B659F">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55</w:t>
                  </w:r>
                </w:p>
              </w:tc>
              <w:tc>
                <w:tcPr>
                  <w:tcW w:w="530" w:type="dxa"/>
                  <w:shd w:val="clear" w:color="auto" w:fill="auto"/>
                  <w:noWrap/>
                  <w:vAlign w:val="center"/>
                </w:tcPr>
                <w:p w14:paraId="2CDC7024">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color w:val="auto"/>
                      <w:kern w:val="0"/>
                      <w:sz w:val="18"/>
                      <w:szCs w:val="18"/>
                      <w:highlight w:val="none"/>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7A91B340">
                  <w:pPr>
                    <w:keepNext w:val="0"/>
                    <w:keepLines w:val="0"/>
                    <w:pageBreakBefore w:val="0"/>
                    <w:widowControl/>
                    <w:kinsoku/>
                    <w:wordWrap/>
                    <w:overflowPunct/>
                    <w:topLinePunct w:val="0"/>
                    <w:autoSpaceDE/>
                    <w:autoSpaceDN/>
                    <w:bidi w:val="0"/>
                    <w:adjustRightInd/>
                    <w:snapToGrid w:val="0"/>
                    <w:jc w:val="center"/>
                    <w:textAlignment w:val="auto"/>
                    <w:rPr>
                      <w:color w:val="auto"/>
                      <w:kern w:val="0"/>
                      <w:sz w:val="18"/>
                      <w:szCs w:val="18"/>
                      <w:highlight w:val="none"/>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1BEAE88E">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35</w:t>
                  </w:r>
                </w:p>
              </w:tc>
              <w:tc>
                <w:tcPr>
                  <w:tcW w:w="453" w:type="dxa"/>
                  <w:shd w:val="clear" w:color="auto" w:fill="auto"/>
                  <w:noWrap/>
                  <w:vAlign w:val="center"/>
                </w:tcPr>
                <w:p w14:paraId="66D6CA4F">
                  <w:pPr>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rPr>
                    <w:t>1</w:t>
                  </w:r>
                </w:p>
              </w:tc>
            </w:tr>
            <w:tr w14:paraId="02677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30" w:type="dxa"/>
                  <w:shd w:val="clear" w:color="auto" w:fill="auto"/>
                  <w:noWrap/>
                  <w:vAlign w:val="center"/>
                </w:tcPr>
                <w:p w14:paraId="3E4D3F50">
                  <w:pPr>
                    <w:keepNext w:val="0"/>
                    <w:keepLines w:val="0"/>
                    <w:pageBreakBefore w:val="0"/>
                    <w:widowControl/>
                    <w:kinsoku/>
                    <w:wordWrap/>
                    <w:overflowPunct/>
                    <w:topLinePunct w:val="0"/>
                    <w:autoSpaceDE/>
                    <w:autoSpaceDN/>
                    <w:bidi w:val="0"/>
                    <w:adjustRightInd/>
                    <w:snapToGrid w:val="0"/>
                    <w:jc w:val="center"/>
                    <w:rPr>
                      <w:rFonts w:hint="default"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13</w:t>
                  </w:r>
                </w:p>
              </w:tc>
              <w:tc>
                <w:tcPr>
                  <w:tcW w:w="644" w:type="dxa"/>
                  <w:vMerge w:val="continue"/>
                  <w:shd w:val="clear" w:color="auto" w:fill="auto"/>
                  <w:noWrap/>
                  <w:vAlign w:val="center"/>
                </w:tcPr>
                <w:p w14:paraId="65676A89">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769D5AF4">
                  <w:pPr>
                    <w:keepNext w:val="0"/>
                    <w:keepLines w:val="0"/>
                    <w:pageBreakBefore w:val="0"/>
                    <w:kinsoku/>
                    <w:wordWrap/>
                    <w:overflowPunct/>
                    <w:topLinePunct w:val="0"/>
                    <w:autoSpaceDE/>
                    <w:autoSpaceDN/>
                    <w:bidi w:val="0"/>
                    <w:adjustRightInd/>
                    <w:snapToGrid w:val="0"/>
                    <w:jc w:val="center"/>
                    <w:rPr>
                      <w:rFonts w:hint="eastAsia"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sz w:val="18"/>
                      <w:szCs w:val="18"/>
                      <w:highlight w:val="none"/>
                      <w:u w:val="none"/>
                    </w:rPr>
                    <w:t>小料螺旋输送机</w:t>
                  </w:r>
                  <w:r>
                    <w:rPr>
                      <w:rFonts w:hint="eastAsia" w:cs="Times New Roman"/>
                      <w:i w:val="0"/>
                      <w:iCs w:val="0"/>
                      <w:color w:val="auto"/>
                      <w:sz w:val="18"/>
                      <w:szCs w:val="18"/>
                      <w:highlight w:val="none"/>
                      <w:u w:val="none"/>
                      <w:lang w:val="en-US" w:eastAsia="zh-CN"/>
                    </w:rPr>
                    <w:t>3</w:t>
                  </w:r>
                </w:p>
              </w:tc>
              <w:tc>
                <w:tcPr>
                  <w:tcW w:w="709" w:type="dxa"/>
                  <w:shd w:val="clear" w:color="auto" w:fill="auto"/>
                  <w:noWrap/>
                  <w:vAlign w:val="center"/>
                </w:tcPr>
                <w:p w14:paraId="2B7A5BE6">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r>
                    <w:rPr>
                      <w:rFonts w:hint="eastAsia"/>
                      <w:color w:val="auto"/>
                      <w:kern w:val="0"/>
                      <w:sz w:val="18"/>
                      <w:szCs w:val="18"/>
                      <w:highlight w:val="none"/>
                      <w:lang w:val="en-US" w:eastAsia="zh-CN"/>
                    </w:rPr>
                    <w:t>65</w:t>
                  </w:r>
                </w:p>
              </w:tc>
              <w:tc>
                <w:tcPr>
                  <w:tcW w:w="608" w:type="dxa"/>
                  <w:vMerge w:val="continue"/>
                  <w:shd w:val="clear" w:color="auto" w:fill="auto"/>
                  <w:noWrap/>
                  <w:vAlign w:val="center"/>
                </w:tcPr>
                <w:p w14:paraId="4F3647EF">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1DDC4EE5">
                  <w:pPr>
                    <w:keepNext w:val="0"/>
                    <w:keepLines w:val="0"/>
                    <w:pageBreakBefore w:val="0"/>
                    <w:widowControl/>
                    <w:kinsoku/>
                    <w:wordWrap/>
                    <w:overflowPunct/>
                    <w:topLinePunct w:val="0"/>
                    <w:autoSpaceDE/>
                    <w:autoSpaceDN/>
                    <w:bidi w:val="0"/>
                    <w:adjustRightInd/>
                    <w:snapToGrid w:val="0"/>
                    <w:jc w:val="center"/>
                    <w:rPr>
                      <w:b w:val="0"/>
                      <w:bCs w:val="0"/>
                      <w:color w:val="auto"/>
                      <w:kern w:val="0"/>
                      <w:sz w:val="18"/>
                      <w:szCs w:val="18"/>
                      <w:highlight w:val="none"/>
                    </w:rPr>
                  </w:pPr>
                  <w:r>
                    <w:rPr>
                      <w:rFonts w:hint="eastAsia"/>
                      <w:b w:val="0"/>
                      <w:bCs w:val="0"/>
                      <w:color w:val="auto"/>
                      <w:kern w:val="0"/>
                      <w:sz w:val="18"/>
                      <w:szCs w:val="18"/>
                      <w:highlight w:val="none"/>
                      <w:lang w:val="en-US" w:eastAsia="zh-CN"/>
                    </w:rPr>
                    <w:t>{-226,425,6}</w:t>
                  </w:r>
                </w:p>
              </w:tc>
              <w:tc>
                <w:tcPr>
                  <w:tcW w:w="682" w:type="dxa"/>
                  <w:shd w:val="clear" w:color="auto" w:fill="auto"/>
                  <w:noWrap/>
                  <w:vAlign w:val="center"/>
                </w:tcPr>
                <w:p w14:paraId="7A30CCFF">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cs="Times New Roman"/>
                      <w:b w:val="0"/>
                      <w:bCs/>
                      <w:color w:val="auto"/>
                      <w:sz w:val="18"/>
                      <w:szCs w:val="18"/>
                      <w:highlight w:val="none"/>
                      <w:lang w:val="en-US" w:eastAsia="zh-CN"/>
                    </w:rPr>
                    <w:t>8</w:t>
                  </w:r>
                </w:p>
              </w:tc>
              <w:tc>
                <w:tcPr>
                  <w:tcW w:w="832" w:type="dxa"/>
                  <w:shd w:val="clear" w:color="auto" w:fill="auto"/>
                  <w:noWrap/>
                  <w:vAlign w:val="center"/>
                </w:tcPr>
                <w:p w14:paraId="0CFB0B2D">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67</w:t>
                  </w:r>
                </w:p>
              </w:tc>
              <w:tc>
                <w:tcPr>
                  <w:tcW w:w="530" w:type="dxa"/>
                  <w:shd w:val="clear" w:color="auto" w:fill="auto"/>
                  <w:noWrap/>
                  <w:vAlign w:val="center"/>
                </w:tcPr>
                <w:p w14:paraId="3CA6AF53">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color w:val="auto"/>
                      <w:kern w:val="0"/>
                      <w:sz w:val="18"/>
                      <w:szCs w:val="18"/>
                      <w:highlight w:val="none"/>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75978411">
                  <w:pPr>
                    <w:keepNext w:val="0"/>
                    <w:keepLines w:val="0"/>
                    <w:pageBreakBefore w:val="0"/>
                    <w:widowControl/>
                    <w:kinsoku/>
                    <w:wordWrap/>
                    <w:overflowPunct/>
                    <w:topLinePunct w:val="0"/>
                    <w:autoSpaceDE/>
                    <w:autoSpaceDN/>
                    <w:bidi w:val="0"/>
                    <w:adjustRightInd/>
                    <w:snapToGrid w:val="0"/>
                    <w:jc w:val="center"/>
                    <w:textAlignment w:val="auto"/>
                    <w:rPr>
                      <w:color w:val="auto"/>
                      <w:kern w:val="0"/>
                      <w:sz w:val="18"/>
                      <w:szCs w:val="18"/>
                      <w:highlight w:val="none"/>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35E0650F">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47</w:t>
                  </w:r>
                </w:p>
              </w:tc>
              <w:tc>
                <w:tcPr>
                  <w:tcW w:w="453" w:type="dxa"/>
                  <w:shd w:val="clear" w:color="auto" w:fill="auto"/>
                  <w:noWrap/>
                  <w:vAlign w:val="center"/>
                </w:tcPr>
                <w:p w14:paraId="4F5A1AEF">
                  <w:pPr>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rPr>
                    <w:t>1</w:t>
                  </w:r>
                </w:p>
              </w:tc>
            </w:tr>
            <w:tr w14:paraId="59C2E0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30" w:type="dxa"/>
                  <w:shd w:val="clear" w:color="auto" w:fill="auto"/>
                  <w:noWrap/>
                  <w:vAlign w:val="center"/>
                </w:tcPr>
                <w:p w14:paraId="0143CF44">
                  <w:pPr>
                    <w:keepNext w:val="0"/>
                    <w:keepLines w:val="0"/>
                    <w:pageBreakBefore w:val="0"/>
                    <w:widowControl/>
                    <w:kinsoku/>
                    <w:wordWrap/>
                    <w:overflowPunct/>
                    <w:topLinePunct w:val="0"/>
                    <w:autoSpaceDE/>
                    <w:autoSpaceDN/>
                    <w:bidi w:val="0"/>
                    <w:adjustRightInd/>
                    <w:snapToGrid w:val="0"/>
                    <w:jc w:val="center"/>
                    <w:rPr>
                      <w:rFonts w:hint="default"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14</w:t>
                  </w:r>
                </w:p>
              </w:tc>
              <w:tc>
                <w:tcPr>
                  <w:tcW w:w="644" w:type="dxa"/>
                  <w:vMerge w:val="continue"/>
                  <w:shd w:val="clear" w:color="auto" w:fill="auto"/>
                  <w:noWrap/>
                  <w:vAlign w:val="center"/>
                </w:tcPr>
                <w:p w14:paraId="0711C962">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6229EB15">
                  <w:pPr>
                    <w:keepNext w:val="0"/>
                    <w:keepLines w:val="0"/>
                    <w:pageBreakBefore w:val="0"/>
                    <w:kinsoku/>
                    <w:wordWrap/>
                    <w:overflowPunct/>
                    <w:topLinePunct w:val="0"/>
                    <w:autoSpaceDE/>
                    <w:autoSpaceDN/>
                    <w:bidi w:val="0"/>
                    <w:adjustRightInd/>
                    <w:snapToGrid w:val="0"/>
                    <w:jc w:val="center"/>
                    <w:rPr>
                      <w:rFonts w:hint="eastAsia"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sz w:val="18"/>
                      <w:szCs w:val="18"/>
                      <w:highlight w:val="none"/>
                      <w:u w:val="none"/>
                    </w:rPr>
                    <w:t>小料螺旋输送机</w:t>
                  </w:r>
                  <w:r>
                    <w:rPr>
                      <w:rFonts w:hint="eastAsia" w:cs="Times New Roman"/>
                      <w:i w:val="0"/>
                      <w:iCs w:val="0"/>
                      <w:color w:val="auto"/>
                      <w:sz w:val="18"/>
                      <w:szCs w:val="18"/>
                      <w:highlight w:val="none"/>
                      <w:u w:val="none"/>
                      <w:lang w:val="en-US" w:eastAsia="zh-CN"/>
                    </w:rPr>
                    <w:t>4</w:t>
                  </w:r>
                </w:p>
              </w:tc>
              <w:tc>
                <w:tcPr>
                  <w:tcW w:w="709" w:type="dxa"/>
                  <w:shd w:val="clear" w:color="auto" w:fill="auto"/>
                  <w:noWrap/>
                  <w:vAlign w:val="center"/>
                </w:tcPr>
                <w:p w14:paraId="41B7552C">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r>
                    <w:rPr>
                      <w:rFonts w:hint="eastAsia"/>
                      <w:color w:val="auto"/>
                      <w:kern w:val="0"/>
                      <w:sz w:val="18"/>
                      <w:szCs w:val="18"/>
                      <w:highlight w:val="none"/>
                      <w:lang w:val="en-US" w:eastAsia="zh-CN"/>
                    </w:rPr>
                    <w:t>65</w:t>
                  </w:r>
                </w:p>
              </w:tc>
              <w:tc>
                <w:tcPr>
                  <w:tcW w:w="608" w:type="dxa"/>
                  <w:vMerge w:val="continue"/>
                  <w:shd w:val="clear" w:color="auto" w:fill="auto"/>
                  <w:noWrap/>
                  <w:vAlign w:val="center"/>
                </w:tcPr>
                <w:p w14:paraId="523916A7">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392A5898">
                  <w:pPr>
                    <w:keepNext w:val="0"/>
                    <w:keepLines w:val="0"/>
                    <w:pageBreakBefore w:val="0"/>
                    <w:widowControl/>
                    <w:kinsoku/>
                    <w:wordWrap/>
                    <w:overflowPunct/>
                    <w:topLinePunct w:val="0"/>
                    <w:autoSpaceDE/>
                    <w:autoSpaceDN/>
                    <w:bidi w:val="0"/>
                    <w:adjustRightInd/>
                    <w:snapToGrid w:val="0"/>
                    <w:jc w:val="center"/>
                    <w:rPr>
                      <w:b w:val="0"/>
                      <w:bCs w:val="0"/>
                      <w:color w:val="auto"/>
                      <w:kern w:val="0"/>
                      <w:sz w:val="18"/>
                      <w:szCs w:val="18"/>
                      <w:highlight w:val="none"/>
                    </w:rPr>
                  </w:pPr>
                  <w:r>
                    <w:rPr>
                      <w:rFonts w:hint="eastAsia"/>
                      <w:b w:val="0"/>
                      <w:bCs w:val="0"/>
                      <w:color w:val="auto"/>
                      <w:kern w:val="0"/>
                      <w:sz w:val="18"/>
                      <w:szCs w:val="18"/>
                      <w:highlight w:val="none"/>
                      <w:lang w:val="en-US" w:eastAsia="zh-CN"/>
                    </w:rPr>
                    <w:t>{-228,425,6}</w:t>
                  </w:r>
                </w:p>
              </w:tc>
              <w:tc>
                <w:tcPr>
                  <w:tcW w:w="682" w:type="dxa"/>
                  <w:shd w:val="clear" w:color="auto" w:fill="auto"/>
                  <w:noWrap/>
                  <w:vAlign w:val="center"/>
                </w:tcPr>
                <w:p w14:paraId="41E739E1">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lang w:val="en-US" w:eastAsia="zh-CN"/>
                    </w:rPr>
                    <w:t>12</w:t>
                  </w:r>
                </w:p>
              </w:tc>
              <w:tc>
                <w:tcPr>
                  <w:tcW w:w="832" w:type="dxa"/>
                  <w:shd w:val="clear" w:color="auto" w:fill="auto"/>
                  <w:noWrap/>
                  <w:vAlign w:val="center"/>
                </w:tcPr>
                <w:p w14:paraId="62BB359B">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48</w:t>
                  </w:r>
                </w:p>
              </w:tc>
              <w:tc>
                <w:tcPr>
                  <w:tcW w:w="530" w:type="dxa"/>
                  <w:shd w:val="clear" w:color="auto" w:fill="auto"/>
                  <w:noWrap/>
                  <w:vAlign w:val="center"/>
                </w:tcPr>
                <w:p w14:paraId="791C6286">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color w:val="auto"/>
                      <w:kern w:val="0"/>
                      <w:sz w:val="18"/>
                      <w:szCs w:val="18"/>
                      <w:highlight w:val="none"/>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4AE01394">
                  <w:pPr>
                    <w:keepNext w:val="0"/>
                    <w:keepLines w:val="0"/>
                    <w:pageBreakBefore w:val="0"/>
                    <w:widowControl/>
                    <w:kinsoku/>
                    <w:wordWrap/>
                    <w:overflowPunct/>
                    <w:topLinePunct w:val="0"/>
                    <w:autoSpaceDE/>
                    <w:autoSpaceDN/>
                    <w:bidi w:val="0"/>
                    <w:adjustRightInd/>
                    <w:snapToGrid w:val="0"/>
                    <w:jc w:val="center"/>
                    <w:textAlignment w:val="auto"/>
                    <w:rPr>
                      <w:color w:val="auto"/>
                      <w:kern w:val="0"/>
                      <w:sz w:val="18"/>
                      <w:szCs w:val="18"/>
                      <w:highlight w:val="none"/>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41F7B412">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28</w:t>
                  </w:r>
                </w:p>
              </w:tc>
              <w:tc>
                <w:tcPr>
                  <w:tcW w:w="453" w:type="dxa"/>
                  <w:shd w:val="clear" w:color="auto" w:fill="auto"/>
                  <w:noWrap/>
                  <w:vAlign w:val="center"/>
                </w:tcPr>
                <w:p w14:paraId="10BD8C06">
                  <w:pPr>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rPr>
                    <w:t>1</w:t>
                  </w:r>
                </w:p>
              </w:tc>
            </w:tr>
            <w:tr w14:paraId="797538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30" w:type="dxa"/>
                  <w:shd w:val="clear" w:color="auto" w:fill="auto"/>
                  <w:noWrap/>
                  <w:vAlign w:val="center"/>
                </w:tcPr>
                <w:p w14:paraId="10FB90F9">
                  <w:pPr>
                    <w:keepNext w:val="0"/>
                    <w:keepLines w:val="0"/>
                    <w:pageBreakBefore w:val="0"/>
                    <w:widowControl/>
                    <w:kinsoku/>
                    <w:wordWrap/>
                    <w:overflowPunct/>
                    <w:topLinePunct w:val="0"/>
                    <w:autoSpaceDE/>
                    <w:autoSpaceDN/>
                    <w:bidi w:val="0"/>
                    <w:adjustRightInd/>
                    <w:snapToGrid w:val="0"/>
                    <w:jc w:val="center"/>
                    <w:rPr>
                      <w:rFonts w:hint="default"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15</w:t>
                  </w:r>
                </w:p>
              </w:tc>
              <w:tc>
                <w:tcPr>
                  <w:tcW w:w="644" w:type="dxa"/>
                  <w:vMerge w:val="continue"/>
                  <w:shd w:val="clear" w:color="auto" w:fill="auto"/>
                  <w:noWrap/>
                  <w:vAlign w:val="center"/>
                </w:tcPr>
                <w:p w14:paraId="178BF9DF">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77CC589E">
                  <w:pPr>
                    <w:keepNext w:val="0"/>
                    <w:keepLines w:val="0"/>
                    <w:pageBreakBefore w:val="0"/>
                    <w:kinsoku/>
                    <w:wordWrap/>
                    <w:overflowPunct/>
                    <w:topLinePunct w:val="0"/>
                    <w:autoSpaceDE/>
                    <w:autoSpaceDN/>
                    <w:bidi w:val="0"/>
                    <w:adjustRightInd/>
                    <w:snapToGrid w:val="0"/>
                    <w:jc w:val="center"/>
                    <w:rPr>
                      <w:rFonts w:hint="eastAsia"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sz w:val="18"/>
                      <w:szCs w:val="18"/>
                      <w:highlight w:val="none"/>
                      <w:u w:val="none"/>
                    </w:rPr>
                    <w:t>双轴混合机</w:t>
                  </w:r>
                  <w:r>
                    <w:rPr>
                      <w:rFonts w:hint="eastAsia" w:cs="Times New Roman"/>
                      <w:i w:val="0"/>
                      <w:iCs w:val="0"/>
                      <w:color w:val="auto"/>
                      <w:sz w:val="18"/>
                      <w:szCs w:val="18"/>
                      <w:highlight w:val="none"/>
                      <w:u w:val="none"/>
                      <w:lang w:val="en-US" w:eastAsia="zh-CN"/>
                    </w:rPr>
                    <w:t>1</w:t>
                  </w:r>
                </w:p>
              </w:tc>
              <w:tc>
                <w:tcPr>
                  <w:tcW w:w="709" w:type="dxa"/>
                  <w:shd w:val="clear" w:color="auto" w:fill="auto"/>
                  <w:noWrap/>
                  <w:vAlign w:val="center"/>
                </w:tcPr>
                <w:p w14:paraId="05DF129F">
                  <w:pPr>
                    <w:keepNext w:val="0"/>
                    <w:keepLines w:val="0"/>
                    <w:pageBreakBefore w:val="0"/>
                    <w:widowControl/>
                    <w:kinsoku/>
                    <w:wordWrap/>
                    <w:overflowPunct/>
                    <w:topLinePunct w:val="0"/>
                    <w:autoSpaceDE/>
                    <w:autoSpaceDN/>
                    <w:bidi w:val="0"/>
                    <w:adjustRightInd/>
                    <w:snapToGrid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70</w:t>
                  </w:r>
                </w:p>
              </w:tc>
              <w:tc>
                <w:tcPr>
                  <w:tcW w:w="608" w:type="dxa"/>
                  <w:vMerge w:val="continue"/>
                  <w:shd w:val="clear" w:color="auto" w:fill="auto"/>
                  <w:noWrap/>
                  <w:vAlign w:val="center"/>
                </w:tcPr>
                <w:p w14:paraId="73F47816">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2DF61267">
                  <w:pPr>
                    <w:keepNext w:val="0"/>
                    <w:keepLines w:val="0"/>
                    <w:pageBreakBefore w:val="0"/>
                    <w:widowControl/>
                    <w:kinsoku/>
                    <w:wordWrap/>
                    <w:overflowPunct/>
                    <w:topLinePunct w:val="0"/>
                    <w:autoSpaceDE/>
                    <w:autoSpaceDN/>
                    <w:bidi w:val="0"/>
                    <w:adjustRightInd/>
                    <w:snapToGrid w:val="0"/>
                    <w:jc w:val="center"/>
                    <w:rPr>
                      <w:b w:val="0"/>
                      <w:bCs w:val="0"/>
                      <w:color w:val="auto"/>
                      <w:kern w:val="0"/>
                      <w:sz w:val="18"/>
                      <w:szCs w:val="18"/>
                      <w:highlight w:val="none"/>
                    </w:rPr>
                  </w:pPr>
                  <w:r>
                    <w:rPr>
                      <w:rFonts w:hint="eastAsia"/>
                      <w:b w:val="0"/>
                      <w:bCs w:val="0"/>
                      <w:color w:val="auto"/>
                      <w:kern w:val="0"/>
                      <w:sz w:val="18"/>
                      <w:szCs w:val="18"/>
                      <w:highlight w:val="none"/>
                      <w:lang w:val="en-US" w:eastAsia="zh-CN"/>
                    </w:rPr>
                    <w:t>{-228,423,6}</w:t>
                  </w:r>
                </w:p>
              </w:tc>
              <w:tc>
                <w:tcPr>
                  <w:tcW w:w="682" w:type="dxa"/>
                  <w:shd w:val="clear" w:color="auto" w:fill="auto"/>
                  <w:noWrap/>
                  <w:vAlign w:val="center"/>
                </w:tcPr>
                <w:p w14:paraId="232AFFAA">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lang w:val="en-US" w:eastAsia="zh-CN"/>
                    </w:rPr>
                    <w:t>16</w:t>
                  </w:r>
                </w:p>
              </w:tc>
              <w:tc>
                <w:tcPr>
                  <w:tcW w:w="832" w:type="dxa"/>
                  <w:shd w:val="clear" w:color="auto" w:fill="auto"/>
                  <w:noWrap/>
                  <w:vAlign w:val="center"/>
                </w:tcPr>
                <w:p w14:paraId="002A23F6">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46</w:t>
                  </w:r>
                </w:p>
              </w:tc>
              <w:tc>
                <w:tcPr>
                  <w:tcW w:w="530" w:type="dxa"/>
                  <w:shd w:val="clear" w:color="auto" w:fill="auto"/>
                  <w:noWrap/>
                  <w:vAlign w:val="center"/>
                </w:tcPr>
                <w:p w14:paraId="7E7D160F">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color w:val="auto"/>
                      <w:kern w:val="0"/>
                      <w:sz w:val="18"/>
                      <w:szCs w:val="18"/>
                      <w:highlight w:val="none"/>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20C63834">
                  <w:pPr>
                    <w:keepNext w:val="0"/>
                    <w:keepLines w:val="0"/>
                    <w:pageBreakBefore w:val="0"/>
                    <w:widowControl/>
                    <w:kinsoku/>
                    <w:wordWrap/>
                    <w:overflowPunct/>
                    <w:topLinePunct w:val="0"/>
                    <w:autoSpaceDE/>
                    <w:autoSpaceDN/>
                    <w:bidi w:val="0"/>
                    <w:adjustRightInd/>
                    <w:snapToGrid w:val="0"/>
                    <w:jc w:val="center"/>
                    <w:textAlignment w:val="auto"/>
                    <w:rPr>
                      <w:color w:val="auto"/>
                      <w:kern w:val="0"/>
                      <w:sz w:val="18"/>
                      <w:szCs w:val="18"/>
                      <w:highlight w:val="none"/>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6AB5A55E">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26</w:t>
                  </w:r>
                </w:p>
              </w:tc>
              <w:tc>
                <w:tcPr>
                  <w:tcW w:w="453" w:type="dxa"/>
                  <w:shd w:val="clear" w:color="auto" w:fill="auto"/>
                  <w:noWrap/>
                  <w:vAlign w:val="center"/>
                </w:tcPr>
                <w:p w14:paraId="598A2EF6">
                  <w:pPr>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rPr>
                    <w:t>1</w:t>
                  </w:r>
                </w:p>
              </w:tc>
            </w:tr>
            <w:tr w14:paraId="67D4C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30" w:type="dxa"/>
                  <w:shd w:val="clear" w:color="auto" w:fill="auto"/>
                  <w:noWrap/>
                  <w:vAlign w:val="center"/>
                </w:tcPr>
                <w:p w14:paraId="7D64BA60">
                  <w:pPr>
                    <w:keepNext w:val="0"/>
                    <w:keepLines w:val="0"/>
                    <w:pageBreakBefore w:val="0"/>
                    <w:widowControl/>
                    <w:kinsoku/>
                    <w:wordWrap/>
                    <w:overflowPunct/>
                    <w:topLinePunct w:val="0"/>
                    <w:autoSpaceDE/>
                    <w:autoSpaceDN/>
                    <w:bidi w:val="0"/>
                    <w:adjustRightInd/>
                    <w:snapToGrid w:val="0"/>
                    <w:jc w:val="center"/>
                    <w:rPr>
                      <w:rFonts w:hint="default"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16</w:t>
                  </w:r>
                </w:p>
              </w:tc>
              <w:tc>
                <w:tcPr>
                  <w:tcW w:w="644" w:type="dxa"/>
                  <w:vMerge w:val="continue"/>
                  <w:shd w:val="clear" w:color="auto" w:fill="auto"/>
                  <w:noWrap/>
                  <w:vAlign w:val="center"/>
                </w:tcPr>
                <w:p w14:paraId="538E2F1D">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2640CB68">
                  <w:pPr>
                    <w:keepNext w:val="0"/>
                    <w:keepLines w:val="0"/>
                    <w:pageBreakBefore w:val="0"/>
                    <w:kinsoku/>
                    <w:wordWrap/>
                    <w:overflowPunct/>
                    <w:topLinePunct w:val="0"/>
                    <w:autoSpaceDE/>
                    <w:autoSpaceDN/>
                    <w:bidi w:val="0"/>
                    <w:adjustRightInd/>
                    <w:snapToGrid w:val="0"/>
                    <w:jc w:val="center"/>
                    <w:rPr>
                      <w:rFonts w:hint="eastAsia"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sz w:val="18"/>
                      <w:szCs w:val="18"/>
                      <w:highlight w:val="none"/>
                      <w:u w:val="none"/>
                    </w:rPr>
                    <w:t>双轴混合机</w:t>
                  </w:r>
                  <w:r>
                    <w:rPr>
                      <w:rFonts w:hint="eastAsia" w:cs="Times New Roman"/>
                      <w:i w:val="0"/>
                      <w:iCs w:val="0"/>
                      <w:color w:val="auto"/>
                      <w:sz w:val="18"/>
                      <w:szCs w:val="18"/>
                      <w:highlight w:val="none"/>
                      <w:u w:val="none"/>
                      <w:lang w:val="en-US" w:eastAsia="zh-CN"/>
                    </w:rPr>
                    <w:t>2</w:t>
                  </w:r>
                </w:p>
              </w:tc>
              <w:tc>
                <w:tcPr>
                  <w:tcW w:w="709" w:type="dxa"/>
                  <w:shd w:val="clear" w:color="auto" w:fill="auto"/>
                  <w:noWrap/>
                  <w:vAlign w:val="center"/>
                </w:tcPr>
                <w:p w14:paraId="332FC640">
                  <w:pPr>
                    <w:keepNext w:val="0"/>
                    <w:keepLines w:val="0"/>
                    <w:pageBreakBefore w:val="0"/>
                    <w:widowControl/>
                    <w:kinsoku/>
                    <w:wordWrap/>
                    <w:overflowPunct/>
                    <w:topLinePunct w:val="0"/>
                    <w:autoSpaceDE/>
                    <w:autoSpaceDN/>
                    <w:bidi w:val="0"/>
                    <w:adjustRightInd/>
                    <w:snapToGrid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70</w:t>
                  </w:r>
                </w:p>
              </w:tc>
              <w:tc>
                <w:tcPr>
                  <w:tcW w:w="608" w:type="dxa"/>
                  <w:vMerge w:val="continue"/>
                  <w:shd w:val="clear" w:color="auto" w:fill="auto"/>
                  <w:noWrap/>
                  <w:vAlign w:val="center"/>
                </w:tcPr>
                <w:p w14:paraId="097401A8">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6BA476C1">
                  <w:pPr>
                    <w:keepNext w:val="0"/>
                    <w:keepLines w:val="0"/>
                    <w:pageBreakBefore w:val="0"/>
                    <w:widowControl/>
                    <w:kinsoku/>
                    <w:wordWrap/>
                    <w:overflowPunct/>
                    <w:topLinePunct w:val="0"/>
                    <w:autoSpaceDE/>
                    <w:autoSpaceDN/>
                    <w:bidi w:val="0"/>
                    <w:adjustRightInd/>
                    <w:snapToGrid w:val="0"/>
                    <w:jc w:val="center"/>
                    <w:rPr>
                      <w:b w:val="0"/>
                      <w:bCs w:val="0"/>
                      <w:color w:val="auto"/>
                      <w:kern w:val="0"/>
                      <w:sz w:val="18"/>
                      <w:szCs w:val="18"/>
                      <w:highlight w:val="none"/>
                    </w:rPr>
                  </w:pPr>
                  <w:r>
                    <w:rPr>
                      <w:rFonts w:hint="eastAsia"/>
                      <w:b w:val="0"/>
                      <w:bCs w:val="0"/>
                      <w:color w:val="auto"/>
                      <w:kern w:val="0"/>
                      <w:sz w:val="18"/>
                      <w:szCs w:val="18"/>
                      <w:highlight w:val="none"/>
                      <w:lang w:val="en-US" w:eastAsia="zh-CN"/>
                    </w:rPr>
                    <w:t>{-231,424,6}</w:t>
                  </w:r>
                </w:p>
              </w:tc>
              <w:tc>
                <w:tcPr>
                  <w:tcW w:w="682" w:type="dxa"/>
                  <w:shd w:val="clear" w:color="auto" w:fill="auto"/>
                  <w:noWrap/>
                  <w:vAlign w:val="center"/>
                </w:tcPr>
                <w:p w14:paraId="37A004BD">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lang w:val="en-US" w:eastAsia="zh-CN"/>
                    </w:rPr>
                    <w:t>12</w:t>
                  </w:r>
                </w:p>
              </w:tc>
              <w:tc>
                <w:tcPr>
                  <w:tcW w:w="832" w:type="dxa"/>
                  <w:shd w:val="clear" w:color="auto" w:fill="auto"/>
                  <w:noWrap/>
                  <w:vAlign w:val="center"/>
                </w:tcPr>
                <w:p w14:paraId="642442F3">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58</w:t>
                  </w:r>
                </w:p>
              </w:tc>
              <w:tc>
                <w:tcPr>
                  <w:tcW w:w="530" w:type="dxa"/>
                  <w:shd w:val="clear" w:color="auto" w:fill="auto"/>
                  <w:noWrap/>
                  <w:vAlign w:val="center"/>
                </w:tcPr>
                <w:p w14:paraId="5DE0760C">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color w:val="auto"/>
                      <w:kern w:val="0"/>
                      <w:sz w:val="18"/>
                      <w:szCs w:val="18"/>
                      <w:highlight w:val="none"/>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4C24D794">
                  <w:pPr>
                    <w:keepNext w:val="0"/>
                    <w:keepLines w:val="0"/>
                    <w:pageBreakBefore w:val="0"/>
                    <w:widowControl/>
                    <w:kinsoku/>
                    <w:wordWrap/>
                    <w:overflowPunct/>
                    <w:topLinePunct w:val="0"/>
                    <w:autoSpaceDE/>
                    <w:autoSpaceDN/>
                    <w:bidi w:val="0"/>
                    <w:adjustRightInd/>
                    <w:snapToGrid w:val="0"/>
                    <w:jc w:val="center"/>
                    <w:textAlignment w:val="auto"/>
                    <w:rPr>
                      <w:color w:val="auto"/>
                      <w:kern w:val="0"/>
                      <w:sz w:val="18"/>
                      <w:szCs w:val="18"/>
                      <w:highlight w:val="none"/>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43A20347">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38</w:t>
                  </w:r>
                </w:p>
              </w:tc>
              <w:tc>
                <w:tcPr>
                  <w:tcW w:w="453" w:type="dxa"/>
                  <w:shd w:val="clear" w:color="auto" w:fill="auto"/>
                  <w:noWrap/>
                  <w:vAlign w:val="center"/>
                </w:tcPr>
                <w:p w14:paraId="1BAEDAD4">
                  <w:pPr>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rPr>
                    <w:t>1</w:t>
                  </w:r>
                </w:p>
              </w:tc>
            </w:tr>
            <w:tr w14:paraId="1BA2C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30" w:type="dxa"/>
                  <w:shd w:val="clear" w:color="auto" w:fill="auto"/>
                  <w:noWrap/>
                  <w:vAlign w:val="center"/>
                </w:tcPr>
                <w:p w14:paraId="037FDD9D">
                  <w:pPr>
                    <w:keepNext w:val="0"/>
                    <w:keepLines w:val="0"/>
                    <w:pageBreakBefore w:val="0"/>
                    <w:widowControl/>
                    <w:kinsoku/>
                    <w:wordWrap/>
                    <w:overflowPunct/>
                    <w:topLinePunct w:val="0"/>
                    <w:autoSpaceDE/>
                    <w:autoSpaceDN/>
                    <w:bidi w:val="0"/>
                    <w:adjustRightInd/>
                    <w:snapToGrid w:val="0"/>
                    <w:jc w:val="center"/>
                    <w:rPr>
                      <w:rFonts w:hint="default"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17</w:t>
                  </w:r>
                </w:p>
              </w:tc>
              <w:tc>
                <w:tcPr>
                  <w:tcW w:w="644" w:type="dxa"/>
                  <w:vMerge w:val="continue"/>
                  <w:shd w:val="clear" w:color="auto" w:fill="auto"/>
                  <w:noWrap/>
                  <w:vAlign w:val="center"/>
                </w:tcPr>
                <w:p w14:paraId="71305B97">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32AF37CC">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sz w:val="18"/>
                      <w:szCs w:val="18"/>
                      <w:highlight w:val="none"/>
                      <w:u w:val="none"/>
                    </w:rPr>
                    <w:t>成品料螺旋输送机</w:t>
                  </w:r>
                  <w:r>
                    <w:rPr>
                      <w:rFonts w:hint="eastAsia" w:cs="Times New Roman"/>
                      <w:i w:val="0"/>
                      <w:iCs w:val="0"/>
                      <w:color w:val="auto"/>
                      <w:sz w:val="18"/>
                      <w:szCs w:val="18"/>
                      <w:highlight w:val="none"/>
                      <w:u w:val="none"/>
                      <w:lang w:val="en-US" w:eastAsia="zh-CN"/>
                    </w:rPr>
                    <w:t>1</w:t>
                  </w:r>
                </w:p>
              </w:tc>
              <w:tc>
                <w:tcPr>
                  <w:tcW w:w="709" w:type="dxa"/>
                  <w:shd w:val="clear" w:color="auto" w:fill="auto"/>
                  <w:noWrap/>
                  <w:vAlign w:val="center"/>
                </w:tcPr>
                <w:p w14:paraId="11EEEFE2">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r>
                    <w:rPr>
                      <w:rFonts w:hint="eastAsia"/>
                      <w:color w:val="auto"/>
                      <w:kern w:val="0"/>
                      <w:sz w:val="18"/>
                      <w:szCs w:val="18"/>
                      <w:highlight w:val="none"/>
                      <w:lang w:val="en-US" w:eastAsia="zh-CN"/>
                    </w:rPr>
                    <w:t>65</w:t>
                  </w:r>
                </w:p>
              </w:tc>
              <w:tc>
                <w:tcPr>
                  <w:tcW w:w="608" w:type="dxa"/>
                  <w:vMerge w:val="continue"/>
                  <w:shd w:val="clear" w:color="auto" w:fill="auto"/>
                  <w:noWrap/>
                  <w:vAlign w:val="center"/>
                </w:tcPr>
                <w:p w14:paraId="3BDA80D3">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4940251F">
                  <w:pPr>
                    <w:keepNext w:val="0"/>
                    <w:keepLines w:val="0"/>
                    <w:pageBreakBefore w:val="0"/>
                    <w:widowControl/>
                    <w:kinsoku/>
                    <w:wordWrap/>
                    <w:overflowPunct/>
                    <w:topLinePunct w:val="0"/>
                    <w:autoSpaceDE/>
                    <w:autoSpaceDN/>
                    <w:bidi w:val="0"/>
                    <w:adjustRightInd/>
                    <w:snapToGrid w:val="0"/>
                    <w:jc w:val="center"/>
                    <w:rPr>
                      <w:b w:val="0"/>
                      <w:bCs w:val="0"/>
                      <w:color w:val="auto"/>
                      <w:kern w:val="0"/>
                      <w:sz w:val="18"/>
                      <w:szCs w:val="18"/>
                      <w:highlight w:val="none"/>
                    </w:rPr>
                  </w:pPr>
                  <w:r>
                    <w:rPr>
                      <w:rFonts w:hint="eastAsia"/>
                      <w:b w:val="0"/>
                      <w:bCs w:val="0"/>
                      <w:color w:val="auto"/>
                      <w:kern w:val="0"/>
                      <w:sz w:val="18"/>
                      <w:szCs w:val="18"/>
                      <w:highlight w:val="none"/>
                      <w:lang w:val="en-US" w:eastAsia="zh-CN"/>
                    </w:rPr>
                    <w:t>{-223,424,6}</w:t>
                  </w:r>
                </w:p>
              </w:tc>
              <w:tc>
                <w:tcPr>
                  <w:tcW w:w="682" w:type="dxa"/>
                  <w:shd w:val="clear" w:color="auto" w:fill="auto"/>
                  <w:noWrap/>
                  <w:vAlign w:val="center"/>
                </w:tcPr>
                <w:p w14:paraId="6B059212">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cs="Times New Roman"/>
                      <w:b w:val="0"/>
                      <w:bCs/>
                      <w:color w:val="auto"/>
                      <w:sz w:val="18"/>
                      <w:szCs w:val="18"/>
                      <w:highlight w:val="none"/>
                      <w:lang w:val="en-US" w:eastAsia="zh-CN"/>
                    </w:rPr>
                    <w:t>12</w:t>
                  </w:r>
                </w:p>
              </w:tc>
              <w:tc>
                <w:tcPr>
                  <w:tcW w:w="832" w:type="dxa"/>
                  <w:shd w:val="clear" w:color="auto" w:fill="auto"/>
                  <w:noWrap/>
                  <w:vAlign w:val="center"/>
                </w:tcPr>
                <w:p w14:paraId="6CD8A013">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58</w:t>
                  </w:r>
                </w:p>
              </w:tc>
              <w:tc>
                <w:tcPr>
                  <w:tcW w:w="530" w:type="dxa"/>
                  <w:shd w:val="clear" w:color="auto" w:fill="auto"/>
                  <w:noWrap/>
                  <w:vAlign w:val="center"/>
                </w:tcPr>
                <w:p w14:paraId="6812F771">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color w:val="auto"/>
                      <w:kern w:val="0"/>
                      <w:sz w:val="18"/>
                      <w:szCs w:val="18"/>
                      <w:highlight w:val="none"/>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56F42D8E">
                  <w:pPr>
                    <w:keepNext w:val="0"/>
                    <w:keepLines w:val="0"/>
                    <w:pageBreakBefore w:val="0"/>
                    <w:widowControl/>
                    <w:kinsoku/>
                    <w:wordWrap/>
                    <w:overflowPunct/>
                    <w:topLinePunct w:val="0"/>
                    <w:autoSpaceDE/>
                    <w:autoSpaceDN/>
                    <w:bidi w:val="0"/>
                    <w:adjustRightInd/>
                    <w:snapToGrid w:val="0"/>
                    <w:jc w:val="center"/>
                    <w:textAlignment w:val="auto"/>
                    <w:rPr>
                      <w:color w:val="auto"/>
                      <w:kern w:val="0"/>
                      <w:sz w:val="18"/>
                      <w:szCs w:val="18"/>
                      <w:highlight w:val="none"/>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3C585B01">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38</w:t>
                  </w:r>
                </w:p>
              </w:tc>
              <w:tc>
                <w:tcPr>
                  <w:tcW w:w="453" w:type="dxa"/>
                  <w:shd w:val="clear" w:color="auto" w:fill="auto"/>
                  <w:noWrap/>
                  <w:vAlign w:val="center"/>
                </w:tcPr>
                <w:p w14:paraId="48BEFDE2">
                  <w:pPr>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rPr>
                    <w:t>1</w:t>
                  </w:r>
                </w:p>
              </w:tc>
            </w:tr>
            <w:tr w14:paraId="72D26C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30" w:type="dxa"/>
                  <w:shd w:val="clear" w:color="auto" w:fill="auto"/>
                  <w:noWrap/>
                  <w:vAlign w:val="center"/>
                </w:tcPr>
                <w:p w14:paraId="6624CA03">
                  <w:pPr>
                    <w:keepNext w:val="0"/>
                    <w:keepLines w:val="0"/>
                    <w:pageBreakBefore w:val="0"/>
                    <w:widowControl/>
                    <w:kinsoku/>
                    <w:wordWrap/>
                    <w:overflowPunct/>
                    <w:topLinePunct w:val="0"/>
                    <w:autoSpaceDE/>
                    <w:autoSpaceDN/>
                    <w:bidi w:val="0"/>
                    <w:adjustRightInd/>
                    <w:snapToGrid w:val="0"/>
                    <w:jc w:val="center"/>
                    <w:rPr>
                      <w:rFonts w:hint="default"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18</w:t>
                  </w:r>
                </w:p>
              </w:tc>
              <w:tc>
                <w:tcPr>
                  <w:tcW w:w="644" w:type="dxa"/>
                  <w:vMerge w:val="continue"/>
                  <w:shd w:val="clear" w:color="auto" w:fill="auto"/>
                  <w:noWrap/>
                  <w:vAlign w:val="center"/>
                </w:tcPr>
                <w:p w14:paraId="73523F35">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74D91DA6">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sz w:val="18"/>
                      <w:szCs w:val="18"/>
                      <w:highlight w:val="none"/>
                      <w:u w:val="none"/>
                    </w:rPr>
                    <w:t>成品料螺旋输送机</w:t>
                  </w:r>
                  <w:r>
                    <w:rPr>
                      <w:rFonts w:hint="eastAsia" w:cs="Times New Roman"/>
                      <w:i w:val="0"/>
                      <w:iCs w:val="0"/>
                      <w:color w:val="auto"/>
                      <w:sz w:val="18"/>
                      <w:szCs w:val="18"/>
                      <w:highlight w:val="none"/>
                      <w:u w:val="none"/>
                      <w:lang w:val="en-US" w:eastAsia="zh-CN"/>
                    </w:rPr>
                    <w:t>2</w:t>
                  </w:r>
                </w:p>
              </w:tc>
              <w:tc>
                <w:tcPr>
                  <w:tcW w:w="709" w:type="dxa"/>
                  <w:shd w:val="clear" w:color="auto" w:fill="auto"/>
                  <w:noWrap/>
                  <w:vAlign w:val="center"/>
                </w:tcPr>
                <w:p w14:paraId="23D1C84A">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r>
                    <w:rPr>
                      <w:rFonts w:hint="eastAsia"/>
                      <w:color w:val="auto"/>
                      <w:kern w:val="0"/>
                      <w:sz w:val="18"/>
                      <w:szCs w:val="18"/>
                      <w:highlight w:val="none"/>
                      <w:lang w:val="en-US" w:eastAsia="zh-CN"/>
                    </w:rPr>
                    <w:t>65</w:t>
                  </w:r>
                </w:p>
              </w:tc>
              <w:tc>
                <w:tcPr>
                  <w:tcW w:w="608" w:type="dxa"/>
                  <w:vMerge w:val="continue"/>
                  <w:shd w:val="clear" w:color="auto" w:fill="auto"/>
                  <w:noWrap/>
                  <w:vAlign w:val="center"/>
                </w:tcPr>
                <w:p w14:paraId="50FF9616">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1E23CD6F">
                  <w:pPr>
                    <w:keepNext w:val="0"/>
                    <w:keepLines w:val="0"/>
                    <w:pageBreakBefore w:val="0"/>
                    <w:widowControl/>
                    <w:kinsoku/>
                    <w:wordWrap/>
                    <w:overflowPunct/>
                    <w:topLinePunct w:val="0"/>
                    <w:autoSpaceDE/>
                    <w:autoSpaceDN/>
                    <w:bidi w:val="0"/>
                    <w:adjustRightInd/>
                    <w:snapToGrid w:val="0"/>
                    <w:jc w:val="center"/>
                    <w:rPr>
                      <w:b w:val="0"/>
                      <w:bCs w:val="0"/>
                      <w:color w:val="auto"/>
                      <w:kern w:val="0"/>
                      <w:sz w:val="18"/>
                      <w:szCs w:val="18"/>
                      <w:highlight w:val="none"/>
                    </w:rPr>
                  </w:pPr>
                  <w:r>
                    <w:rPr>
                      <w:rFonts w:hint="eastAsia"/>
                      <w:b w:val="0"/>
                      <w:bCs w:val="0"/>
                      <w:color w:val="auto"/>
                      <w:kern w:val="0"/>
                      <w:sz w:val="18"/>
                      <w:szCs w:val="18"/>
                      <w:highlight w:val="none"/>
                      <w:lang w:val="en-US" w:eastAsia="zh-CN"/>
                    </w:rPr>
                    <w:t>{-227,421,6}</w:t>
                  </w:r>
                </w:p>
              </w:tc>
              <w:tc>
                <w:tcPr>
                  <w:tcW w:w="682" w:type="dxa"/>
                  <w:shd w:val="clear" w:color="auto" w:fill="auto"/>
                  <w:noWrap/>
                  <w:vAlign w:val="center"/>
                </w:tcPr>
                <w:p w14:paraId="47130858">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lang w:val="en-US" w:eastAsia="zh-CN"/>
                    </w:rPr>
                    <w:t>15</w:t>
                  </w:r>
                </w:p>
              </w:tc>
              <w:tc>
                <w:tcPr>
                  <w:tcW w:w="832" w:type="dxa"/>
                  <w:shd w:val="clear" w:color="auto" w:fill="auto"/>
                  <w:noWrap/>
                  <w:vAlign w:val="center"/>
                </w:tcPr>
                <w:p w14:paraId="0D8FED22">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46</w:t>
                  </w:r>
                </w:p>
              </w:tc>
              <w:tc>
                <w:tcPr>
                  <w:tcW w:w="530" w:type="dxa"/>
                  <w:shd w:val="clear" w:color="auto" w:fill="auto"/>
                  <w:noWrap/>
                  <w:vAlign w:val="center"/>
                </w:tcPr>
                <w:p w14:paraId="0165DB1D">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color w:val="auto"/>
                      <w:kern w:val="0"/>
                      <w:sz w:val="18"/>
                      <w:szCs w:val="18"/>
                      <w:highlight w:val="none"/>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0FAD5B74">
                  <w:pPr>
                    <w:keepNext w:val="0"/>
                    <w:keepLines w:val="0"/>
                    <w:pageBreakBefore w:val="0"/>
                    <w:widowControl/>
                    <w:kinsoku/>
                    <w:wordWrap/>
                    <w:overflowPunct/>
                    <w:topLinePunct w:val="0"/>
                    <w:autoSpaceDE/>
                    <w:autoSpaceDN/>
                    <w:bidi w:val="0"/>
                    <w:adjustRightInd/>
                    <w:snapToGrid w:val="0"/>
                    <w:jc w:val="center"/>
                    <w:textAlignment w:val="auto"/>
                    <w:rPr>
                      <w:color w:val="auto"/>
                      <w:kern w:val="0"/>
                      <w:sz w:val="18"/>
                      <w:szCs w:val="18"/>
                      <w:highlight w:val="none"/>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260FB669">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26</w:t>
                  </w:r>
                </w:p>
              </w:tc>
              <w:tc>
                <w:tcPr>
                  <w:tcW w:w="453" w:type="dxa"/>
                  <w:shd w:val="clear" w:color="auto" w:fill="auto"/>
                  <w:noWrap/>
                  <w:vAlign w:val="center"/>
                </w:tcPr>
                <w:p w14:paraId="565EC89A">
                  <w:pPr>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rPr>
                    <w:t>1</w:t>
                  </w:r>
                </w:p>
              </w:tc>
            </w:tr>
            <w:tr w14:paraId="0B1733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30" w:type="dxa"/>
                  <w:shd w:val="clear" w:color="auto" w:fill="auto"/>
                  <w:noWrap/>
                  <w:vAlign w:val="center"/>
                </w:tcPr>
                <w:p w14:paraId="436718B2">
                  <w:pPr>
                    <w:keepNext w:val="0"/>
                    <w:keepLines w:val="0"/>
                    <w:pageBreakBefore w:val="0"/>
                    <w:widowControl/>
                    <w:kinsoku/>
                    <w:wordWrap/>
                    <w:overflowPunct/>
                    <w:topLinePunct w:val="0"/>
                    <w:autoSpaceDE/>
                    <w:autoSpaceDN/>
                    <w:bidi w:val="0"/>
                    <w:adjustRightInd/>
                    <w:snapToGrid w:val="0"/>
                    <w:jc w:val="center"/>
                    <w:rPr>
                      <w:rFonts w:hint="default"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19</w:t>
                  </w:r>
                </w:p>
              </w:tc>
              <w:tc>
                <w:tcPr>
                  <w:tcW w:w="644" w:type="dxa"/>
                  <w:vMerge w:val="continue"/>
                  <w:shd w:val="clear" w:color="auto" w:fill="auto"/>
                  <w:noWrap/>
                  <w:vAlign w:val="center"/>
                </w:tcPr>
                <w:p w14:paraId="22720E27">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35554716">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rPr>
                    <w:t>除尘器</w:t>
                  </w:r>
                  <w:r>
                    <w:rPr>
                      <w:rFonts w:hint="eastAsia" w:cs="Times New Roman"/>
                      <w:i w:val="0"/>
                      <w:iCs w:val="0"/>
                      <w:color w:val="auto"/>
                      <w:kern w:val="0"/>
                      <w:sz w:val="18"/>
                      <w:szCs w:val="18"/>
                      <w:highlight w:val="none"/>
                      <w:u w:val="none"/>
                      <w:lang w:val="en-US" w:eastAsia="zh-CN"/>
                    </w:rPr>
                    <w:t>分机1</w:t>
                  </w:r>
                </w:p>
              </w:tc>
              <w:tc>
                <w:tcPr>
                  <w:tcW w:w="709" w:type="dxa"/>
                  <w:shd w:val="clear" w:color="auto" w:fill="auto"/>
                  <w:noWrap/>
                  <w:vAlign w:val="center"/>
                </w:tcPr>
                <w:p w14:paraId="41349598">
                  <w:pPr>
                    <w:keepNext w:val="0"/>
                    <w:keepLines w:val="0"/>
                    <w:pageBreakBefore w:val="0"/>
                    <w:widowControl/>
                    <w:kinsoku/>
                    <w:wordWrap/>
                    <w:overflowPunct/>
                    <w:topLinePunct w:val="0"/>
                    <w:autoSpaceDE/>
                    <w:autoSpaceDN/>
                    <w:bidi w:val="0"/>
                    <w:adjustRightInd/>
                    <w:snapToGrid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80</w:t>
                  </w:r>
                </w:p>
              </w:tc>
              <w:tc>
                <w:tcPr>
                  <w:tcW w:w="608" w:type="dxa"/>
                  <w:vMerge w:val="continue"/>
                  <w:shd w:val="clear" w:color="auto" w:fill="auto"/>
                  <w:noWrap/>
                  <w:vAlign w:val="center"/>
                </w:tcPr>
                <w:p w14:paraId="49276334">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0CA9169B">
                  <w:pPr>
                    <w:keepNext w:val="0"/>
                    <w:keepLines w:val="0"/>
                    <w:pageBreakBefore w:val="0"/>
                    <w:widowControl/>
                    <w:kinsoku/>
                    <w:wordWrap/>
                    <w:overflowPunct/>
                    <w:topLinePunct w:val="0"/>
                    <w:autoSpaceDE/>
                    <w:autoSpaceDN/>
                    <w:bidi w:val="0"/>
                    <w:adjustRightInd/>
                    <w:snapToGrid w:val="0"/>
                    <w:jc w:val="center"/>
                    <w:rPr>
                      <w:b w:val="0"/>
                      <w:bCs w:val="0"/>
                      <w:color w:val="auto"/>
                      <w:kern w:val="0"/>
                      <w:sz w:val="18"/>
                      <w:szCs w:val="18"/>
                      <w:highlight w:val="none"/>
                    </w:rPr>
                  </w:pPr>
                  <w:r>
                    <w:rPr>
                      <w:rFonts w:hint="eastAsia"/>
                      <w:b w:val="0"/>
                      <w:bCs w:val="0"/>
                      <w:color w:val="auto"/>
                      <w:kern w:val="0"/>
                      <w:sz w:val="18"/>
                      <w:szCs w:val="18"/>
                      <w:highlight w:val="none"/>
                      <w:lang w:val="en-US" w:eastAsia="zh-CN"/>
                    </w:rPr>
                    <w:t>{-237,422,6}</w:t>
                  </w:r>
                </w:p>
              </w:tc>
              <w:tc>
                <w:tcPr>
                  <w:tcW w:w="682" w:type="dxa"/>
                  <w:shd w:val="clear" w:color="auto" w:fill="auto"/>
                  <w:noWrap/>
                  <w:vAlign w:val="center"/>
                </w:tcPr>
                <w:p w14:paraId="448CBF53">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lang w:val="en-US" w:eastAsia="zh-CN"/>
                    </w:rPr>
                    <w:t>15</w:t>
                  </w:r>
                </w:p>
              </w:tc>
              <w:tc>
                <w:tcPr>
                  <w:tcW w:w="832" w:type="dxa"/>
                  <w:shd w:val="clear" w:color="auto" w:fill="auto"/>
                  <w:noWrap/>
                  <w:vAlign w:val="center"/>
                </w:tcPr>
                <w:p w14:paraId="545DAC29">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46</w:t>
                  </w:r>
                </w:p>
              </w:tc>
              <w:tc>
                <w:tcPr>
                  <w:tcW w:w="530" w:type="dxa"/>
                  <w:shd w:val="clear" w:color="auto" w:fill="auto"/>
                  <w:noWrap/>
                  <w:vAlign w:val="center"/>
                </w:tcPr>
                <w:p w14:paraId="76A9175F">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color w:val="auto"/>
                      <w:kern w:val="0"/>
                      <w:sz w:val="18"/>
                      <w:szCs w:val="18"/>
                      <w:highlight w:val="none"/>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69718CC8">
                  <w:pPr>
                    <w:keepNext w:val="0"/>
                    <w:keepLines w:val="0"/>
                    <w:pageBreakBefore w:val="0"/>
                    <w:widowControl/>
                    <w:kinsoku/>
                    <w:wordWrap/>
                    <w:overflowPunct/>
                    <w:topLinePunct w:val="0"/>
                    <w:autoSpaceDE/>
                    <w:autoSpaceDN/>
                    <w:bidi w:val="0"/>
                    <w:adjustRightInd/>
                    <w:snapToGrid w:val="0"/>
                    <w:jc w:val="center"/>
                    <w:textAlignment w:val="auto"/>
                    <w:rPr>
                      <w:color w:val="auto"/>
                      <w:kern w:val="0"/>
                      <w:sz w:val="18"/>
                      <w:szCs w:val="18"/>
                      <w:highlight w:val="none"/>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695E84AE">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26</w:t>
                  </w:r>
                </w:p>
              </w:tc>
              <w:tc>
                <w:tcPr>
                  <w:tcW w:w="453" w:type="dxa"/>
                  <w:shd w:val="clear" w:color="auto" w:fill="auto"/>
                  <w:noWrap/>
                  <w:vAlign w:val="center"/>
                </w:tcPr>
                <w:p w14:paraId="0E0E3B84">
                  <w:pPr>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rPr>
                    <w:t>1</w:t>
                  </w:r>
                </w:p>
              </w:tc>
            </w:tr>
            <w:tr w14:paraId="4C6D7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30" w:type="dxa"/>
                  <w:shd w:val="clear" w:color="auto" w:fill="auto"/>
                  <w:noWrap/>
                  <w:vAlign w:val="center"/>
                </w:tcPr>
                <w:p w14:paraId="66DE2407">
                  <w:pPr>
                    <w:keepNext w:val="0"/>
                    <w:keepLines w:val="0"/>
                    <w:pageBreakBefore w:val="0"/>
                    <w:widowControl/>
                    <w:kinsoku/>
                    <w:wordWrap/>
                    <w:overflowPunct/>
                    <w:topLinePunct w:val="0"/>
                    <w:autoSpaceDE/>
                    <w:autoSpaceDN/>
                    <w:bidi w:val="0"/>
                    <w:adjustRightInd/>
                    <w:snapToGrid w:val="0"/>
                    <w:jc w:val="center"/>
                    <w:rPr>
                      <w:rFonts w:hint="default"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20</w:t>
                  </w:r>
                </w:p>
              </w:tc>
              <w:tc>
                <w:tcPr>
                  <w:tcW w:w="644" w:type="dxa"/>
                  <w:vMerge w:val="continue"/>
                  <w:shd w:val="clear" w:color="auto" w:fill="auto"/>
                  <w:noWrap/>
                  <w:vAlign w:val="center"/>
                </w:tcPr>
                <w:p w14:paraId="57F6D4A0">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304FA26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eastAsia" w:cs="Times New Roman"/>
                      <w:i w:val="0"/>
                      <w:iCs w:val="0"/>
                      <w:color w:val="auto"/>
                      <w:kern w:val="0"/>
                      <w:sz w:val="18"/>
                      <w:szCs w:val="18"/>
                      <w:highlight w:val="none"/>
                      <w:u w:val="none"/>
                      <w:lang w:val="en-US" w:eastAsia="zh-CN"/>
                    </w:rPr>
                    <w:t>脉冲式布袋除尘器2</w:t>
                  </w:r>
                </w:p>
              </w:tc>
              <w:tc>
                <w:tcPr>
                  <w:tcW w:w="709" w:type="dxa"/>
                  <w:shd w:val="clear" w:color="auto" w:fill="auto"/>
                  <w:noWrap/>
                  <w:vAlign w:val="center"/>
                </w:tcPr>
                <w:p w14:paraId="20F742F3">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r>
                    <w:rPr>
                      <w:rFonts w:hint="eastAsia"/>
                      <w:color w:val="auto"/>
                      <w:kern w:val="0"/>
                      <w:sz w:val="18"/>
                      <w:szCs w:val="18"/>
                      <w:highlight w:val="none"/>
                      <w:lang w:val="en-US" w:eastAsia="zh-CN"/>
                    </w:rPr>
                    <w:t>80</w:t>
                  </w:r>
                </w:p>
              </w:tc>
              <w:tc>
                <w:tcPr>
                  <w:tcW w:w="608" w:type="dxa"/>
                  <w:vMerge w:val="continue"/>
                  <w:shd w:val="clear" w:color="auto" w:fill="auto"/>
                  <w:noWrap/>
                  <w:vAlign w:val="center"/>
                </w:tcPr>
                <w:p w14:paraId="5BAA0BBC">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0F80A943">
                  <w:pPr>
                    <w:keepNext w:val="0"/>
                    <w:keepLines w:val="0"/>
                    <w:pageBreakBefore w:val="0"/>
                    <w:widowControl/>
                    <w:kinsoku/>
                    <w:wordWrap/>
                    <w:overflowPunct/>
                    <w:topLinePunct w:val="0"/>
                    <w:autoSpaceDE/>
                    <w:autoSpaceDN/>
                    <w:bidi w:val="0"/>
                    <w:adjustRightInd/>
                    <w:snapToGrid w:val="0"/>
                    <w:jc w:val="center"/>
                    <w:rPr>
                      <w:b w:val="0"/>
                      <w:bCs w:val="0"/>
                      <w:color w:val="auto"/>
                      <w:kern w:val="0"/>
                      <w:sz w:val="18"/>
                      <w:szCs w:val="18"/>
                      <w:highlight w:val="none"/>
                    </w:rPr>
                  </w:pPr>
                  <w:r>
                    <w:rPr>
                      <w:rFonts w:hint="eastAsia"/>
                      <w:b w:val="0"/>
                      <w:bCs w:val="0"/>
                      <w:color w:val="auto"/>
                      <w:kern w:val="0"/>
                      <w:sz w:val="18"/>
                      <w:szCs w:val="18"/>
                      <w:highlight w:val="none"/>
                      <w:lang w:val="en-US" w:eastAsia="zh-CN"/>
                    </w:rPr>
                    <w:t>{-236,420,6}</w:t>
                  </w:r>
                </w:p>
              </w:tc>
              <w:tc>
                <w:tcPr>
                  <w:tcW w:w="682" w:type="dxa"/>
                  <w:shd w:val="clear" w:color="auto" w:fill="auto"/>
                  <w:noWrap/>
                  <w:vAlign w:val="center"/>
                </w:tcPr>
                <w:p w14:paraId="2D4F6085">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lang w:val="en-US" w:eastAsia="zh-CN"/>
                    </w:rPr>
                    <w:t>15</w:t>
                  </w:r>
                </w:p>
              </w:tc>
              <w:tc>
                <w:tcPr>
                  <w:tcW w:w="832" w:type="dxa"/>
                  <w:shd w:val="clear" w:color="auto" w:fill="auto"/>
                  <w:noWrap/>
                  <w:vAlign w:val="center"/>
                </w:tcPr>
                <w:p w14:paraId="1452E479">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56</w:t>
                  </w:r>
                </w:p>
              </w:tc>
              <w:tc>
                <w:tcPr>
                  <w:tcW w:w="530" w:type="dxa"/>
                  <w:shd w:val="clear" w:color="auto" w:fill="auto"/>
                  <w:noWrap/>
                  <w:vAlign w:val="center"/>
                </w:tcPr>
                <w:p w14:paraId="46477949">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color w:val="auto"/>
                      <w:kern w:val="0"/>
                      <w:sz w:val="18"/>
                      <w:szCs w:val="18"/>
                      <w:highlight w:val="none"/>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22C6641F">
                  <w:pPr>
                    <w:keepNext w:val="0"/>
                    <w:keepLines w:val="0"/>
                    <w:pageBreakBefore w:val="0"/>
                    <w:widowControl/>
                    <w:kinsoku/>
                    <w:wordWrap/>
                    <w:overflowPunct/>
                    <w:topLinePunct w:val="0"/>
                    <w:autoSpaceDE/>
                    <w:autoSpaceDN/>
                    <w:bidi w:val="0"/>
                    <w:adjustRightInd/>
                    <w:snapToGrid w:val="0"/>
                    <w:jc w:val="center"/>
                    <w:textAlignment w:val="auto"/>
                    <w:rPr>
                      <w:color w:val="auto"/>
                      <w:kern w:val="0"/>
                      <w:sz w:val="18"/>
                      <w:szCs w:val="18"/>
                      <w:highlight w:val="none"/>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08406F04">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36</w:t>
                  </w:r>
                </w:p>
              </w:tc>
              <w:tc>
                <w:tcPr>
                  <w:tcW w:w="453" w:type="dxa"/>
                  <w:shd w:val="clear" w:color="auto" w:fill="auto"/>
                  <w:noWrap/>
                  <w:vAlign w:val="center"/>
                </w:tcPr>
                <w:p w14:paraId="30738F3C">
                  <w:pPr>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rPr>
                    <w:t>1</w:t>
                  </w:r>
                </w:p>
              </w:tc>
            </w:tr>
            <w:tr w14:paraId="3063B2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30" w:type="dxa"/>
                  <w:shd w:val="clear" w:color="auto" w:fill="auto"/>
                  <w:noWrap/>
                  <w:vAlign w:val="center"/>
                </w:tcPr>
                <w:p w14:paraId="5F9DAA16">
                  <w:pPr>
                    <w:keepNext w:val="0"/>
                    <w:keepLines w:val="0"/>
                    <w:pageBreakBefore w:val="0"/>
                    <w:widowControl/>
                    <w:kinsoku/>
                    <w:wordWrap/>
                    <w:overflowPunct/>
                    <w:topLinePunct w:val="0"/>
                    <w:autoSpaceDE/>
                    <w:autoSpaceDN/>
                    <w:bidi w:val="0"/>
                    <w:adjustRightInd/>
                    <w:snapToGrid w:val="0"/>
                    <w:jc w:val="center"/>
                    <w:rPr>
                      <w:rFonts w:hint="default"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21</w:t>
                  </w:r>
                </w:p>
              </w:tc>
              <w:tc>
                <w:tcPr>
                  <w:tcW w:w="644" w:type="dxa"/>
                  <w:vMerge w:val="continue"/>
                  <w:shd w:val="clear" w:color="auto" w:fill="auto"/>
                  <w:noWrap/>
                  <w:vAlign w:val="center"/>
                </w:tcPr>
                <w:p w14:paraId="59AFA406">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7E758DAC">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rPr>
                    <w:t>除尘器</w:t>
                  </w:r>
                  <w:r>
                    <w:rPr>
                      <w:rFonts w:hint="eastAsia" w:cs="Times New Roman"/>
                      <w:i w:val="0"/>
                      <w:iCs w:val="0"/>
                      <w:color w:val="auto"/>
                      <w:kern w:val="0"/>
                      <w:sz w:val="18"/>
                      <w:szCs w:val="18"/>
                      <w:highlight w:val="none"/>
                      <w:u w:val="none"/>
                      <w:lang w:val="en-US" w:eastAsia="zh-CN"/>
                    </w:rPr>
                    <w:t>分机3</w:t>
                  </w:r>
                </w:p>
              </w:tc>
              <w:tc>
                <w:tcPr>
                  <w:tcW w:w="709" w:type="dxa"/>
                  <w:shd w:val="clear" w:color="auto" w:fill="auto"/>
                  <w:noWrap/>
                  <w:vAlign w:val="center"/>
                </w:tcPr>
                <w:p w14:paraId="35E28A93">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r>
                    <w:rPr>
                      <w:rFonts w:hint="eastAsia"/>
                      <w:color w:val="auto"/>
                      <w:kern w:val="0"/>
                      <w:sz w:val="18"/>
                      <w:szCs w:val="18"/>
                      <w:highlight w:val="none"/>
                      <w:lang w:val="en-US" w:eastAsia="zh-CN"/>
                    </w:rPr>
                    <w:t>80</w:t>
                  </w:r>
                </w:p>
              </w:tc>
              <w:tc>
                <w:tcPr>
                  <w:tcW w:w="608" w:type="dxa"/>
                  <w:vMerge w:val="continue"/>
                  <w:shd w:val="clear" w:color="auto" w:fill="auto"/>
                  <w:noWrap/>
                  <w:vAlign w:val="center"/>
                </w:tcPr>
                <w:p w14:paraId="53FA88B8">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5414CEBC">
                  <w:pPr>
                    <w:keepNext w:val="0"/>
                    <w:keepLines w:val="0"/>
                    <w:pageBreakBefore w:val="0"/>
                    <w:widowControl/>
                    <w:kinsoku/>
                    <w:wordWrap/>
                    <w:overflowPunct/>
                    <w:topLinePunct w:val="0"/>
                    <w:autoSpaceDE/>
                    <w:autoSpaceDN/>
                    <w:bidi w:val="0"/>
                    <w:adjustRightInd/>
                    <w:snapToGrid w:val="0"/>
                    <w:jc w:val="center"/>
                    <w:rPr>
                      <w:b w:val="0"/>
                      <w:bCs w:val="0"/>
                      <w:color w:val="auto"/>
                      <w:kern w:val="0"/>
                      <w:sz w:val="18"/>
                      <w:szCs w:val="18"/>
                      <w:highlight w:val="none"/>
                    </w:rPr>
                  </w:pPr>
                  <w:r>
                    <w:rPr>
                      <w:rFonts w:hint="eastAsia"/>
                      <w:b w:val="0"/>
                      <w:bCs w:val="0"/>
                      <w:color w:val="auto"/>
                      <w:kern w:val="0"/>
                      <w:sz w:val="18"/>
                      <w:szCs w:val="18"/>
                      <w:highlight w:val="none"/>
                      <w:lang w:val="en-US" w:eastAsia="zh-CN"/>
                    </w:rPr>
                    <w:t>{-234,418,6}</w:t>
                  </w:r>
                </w:p>
              </w:tc>
              <w:tc>
                <w:tcPr>
                  <w:tcW w:w="682" w:type="dxa"/>
                  <w:shd w:val="clear" w:color="auto" w:fill="auto"/>
                  <w:noWrap/>
                  <w:vAlign w:val="center"/>
                </w:tcPr>
                <w:p w14:paraId="606EA867">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lang w:val="en-US" w:eastAsia="zh-CN"/>
                    </w:rPr>
                    <w:t>10</w:t>
                  </w:r>
                </w:p>
              </w:tc>
              <w:tc>
                <w:tcPr>
                  <w:tcW w:w="832" w:type="dxa"/>
                  <w:shd w:val="clear" w:color="auto" w:fill="auto"/>
                  <w:noWrap/>
                  <w:vAlign w:val="center"/>
                </w:tcPr>
                <w:p w14:paraId="23DEE7BE">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60</w:t>
                  </w:r>
                </w:p>
              </w:tc>
              <w:tc>
                <w:tcPr>
                  <w:tcW w:w="530" w:type="dxa"/>
                  <w:shd w:val="clear" w:color="auto" w:fill="auto"/>
                  <w:noWrap/>
                  <w:vAlign w:val="center"/>
                </w:tcPr>
                <w:p w14:paraId="10AFD433">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color w:val="auto"/>
                      <w:kern w:val="0"/>
                      <w:sz w:val="18"/>
                      <w:szCs w:val="18"/>
                      <w:highlight w:val="none"/>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31C5DEA8">
                  <w:pPr>
                    <w:keepNext w:val="0"/>
                    <w:keepLines w:val="0"/>
                    <w:pageBreakBefore w:val="0"/>
                    <w:widowControl/>
                    <w:kinsoku/>
                    <w:wordWrap/>
                    <w:overflowPunct/>
                    <w:topLinePunct w:val="0"/>
                    <w:autoSpaceDE/>
                    <w:autoSpaceDN/>
                    <w:bidi w:val="0"/>
                    <w:adjustRightInd/>
                    <w:snapToGrid w:val="0"/>
                    <w:jc w:val="center"/>
                    <w:textAlignment w:val="auto"/>
                    <w:rPr>
                      <w:color w:val="auto"/>
                      <w:kern w:val="0"/>
                      <w:sz w:val="18"/>
                      <w:szCs w:val="18"/>
                      <w:highlight w:val="none"/>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1F6EECEB">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40</w:t>
                  </w:r>
                </w:p>
              </w:tc>
              <w:tc>
                <w:tcPr>
                  <w:tcW w:w="453" w:type="dxa"/>
                  <w:shd w:val="clear" w:color="auto" w:fill="auto"/>
                  <w:noWrap/>
                  <w:vAlign w:val="center"/>
                </w:tcPr>
                <w:p w14:paraId="5DF8D3D6">
                  <w:pPr>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rPr>
                    <w:t>1</w:t>
                  </w:r>
                </w:p>
              </w:tc>
            </w:tr>
            <w:tr w14:paraId="3C4559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30" w:type="dxa"/>
                  <w:shd w:val="clear" w:color="auto" w:fill="auto"/>
                  <w:noWrap/>
                  <w:vAlign w:val="center"/>
                </w:tcPr>
                <w:p w14:paraId="3FF1707D">
                  <w:pPr>
                    <w:keepNext w:val="0"/>
                    <w:keepLines w:val="0"/>
                    <w:pageBreakBefore w:val="0"/>
                    <w:widowControl/>
                    <w:kinsoku/>
                    <w:wordWrap/>
                    <w:overflowPunct/>
                    <w:topLinePunct w:val="0"/>
                    <w:autoSpaceDE/>
                    <w:autoSpaceDN/>
                    <w:bidi w:val="0"/>
                    <w:adjustRightInd/>
                    <w:snapToGrid w:val="0"/>
                    <w:jc w:val="center"/>
                    <w:rPr>
                      <w:rFonts w:hint="default"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22</w:t>
                  </w:r>
                </w:p>
              </w:tc>
              <w:tc>
                <w:tcPr>
                  <w:tcW w:w="644" w:type="dxa"/>
                  <w:vMerge w:val="continue"/>
                  <w:shd w:val="clear" w:color="auto" w:fill="auto"/>
                  <w:noWrap/>
                  <w:vAlign w:val="center"/>
                </w:tcPr>
                <w:p w14:paraId="5DFE55CC">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4010AED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rPr>
                    <w:t>除尘器</w:t>
                  </w:r>
                  <w:r>
                    <w:rPr>
                      <w:rFonts w:hint="eastAsia" w:cs="Times New Roman"/>
                      <w:i w:val="0"/>
                      <w:iCs w:val="0"/>
                      <w:color w:val="auto"/>
                      <w:kern w:val="0"/>
                      <w:sz w:val="18"/>
                      <w:szCs w:val="18"/>
                      <w:highlight w:val="none"/>
                      <w:u w:val="none"/>
                      <w:lang w:val="en-US" w:eastAsia="zh-CN"/>
                    </w:rPr>
                    <w:t>分机4</w:t>
                  </w:r>
                </w:p>
              </w:tc>
              <w:tc>
                <w:tcPr>
                  <w:tcW w:w="709" w:type="dxa"/>
                  <w:shd w:val="clear" w:color="auto" w:fill="auto"/>
                  <w:noWrap/>
                  <w:vAlign w:val="center"/>
                </w:tcPr>
                <w:p w14:paraId="2607DD47">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r>
                    <w:rPr>
                      <w:rFonts w:hint="eastAsia"/>
                      <w:color w:val="auto"/>
                      <w:kern w:val="0"/>
                      <w:sz w:val="18"/>
                      <w:szCs w:val="18"/>
                      <w:highlight w:val="none"/>
                      <w:lang w:val="en-US" w:eastAsia="zh-CN"/>
                    </w:rPr>
                    <w:t>80</w:t>
                  </w:r>
                </w:p>
              </w:tc>
              <w:tc>
                <w:tcPr>
                  <w:tcW w:w="608" w:type="dxa"/>
                  <w:vMerge w:val="continue"/>
                  <w:shd w:val="clear" w:color="auto" w:fill="auto"/>
                  <w:noWrap/>
                  <w:vAlign w:val="center"/>
                </w:tcPr>
                <w:p w14:paraId="5685D1CF">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111BE8D2">
                  <w:pPr>
                    <w:keepNext w:val="0"/>
                    <w:keepLines w:val="0"/>
                    <w:pageBreakBefore w:val="0"/>
                    <w:widowControl/>
                    <w:kinsoku/>
                    <w:wordWrap/>
                    <w:overflowPunct/>
                    <w:topLinePunct w:val="0"/>
                    <w:autoSpaceDE/>
                    <w:autoSpaceDN/>
                    <w:bidi w:val="0"/>
                    <w:adjustRightInd/>
                    <w:snapToGrid w:val="0"/>
                    <w:jc w:val="center"/>
                    <w:rPr>
                      <w:b w:val="0"/>
                      <w:bCs w:val="0"/>
                      <w:color w:val="auto"/>
                      <w:kern w:val="0"/>
                      <w:sz w:val="18"/>
                      <w:szCs w:val="18"/>
                      <w:highlight w:val="none"/>
                    </w:rPr>
                  </w:pPr>
                  <w:r>
                    <w:rPr>
                      <w:rFonts w:hint="eastAsia"/>
                      <w:b w:val="0"/>
                      <w:bCs w:val="0"/>
                      <w:color w:val="auto"/>
                      <w:kern w:val="0"/>
                      <w:sz w:val="18"/>
                      <w:szCs w:val="18"/>
                      <w:highlight w:val="none"/>
                      <w:lang w:val="en-US" w:eastAsia="zh-CN"/>
                    </w:rPr>
                    <w:t>{-234,416,6}</w:t>
                  </w:r>
                </w:p>
              </w:tc>
              <w:tc>
                <w:tcPr>
                  <w:tcW w:w="682" w:type="dxa"/>
                  <w:shd w:val="clear" w:color="auto" w:fill="auto"/>
                  <w:noWrap/>
                  <w:vAlign w:val="center"/>
                </w:tcPr>
                <w:p w14:paraId="542C34C2">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lang w:val="en-US" w:eastAsia="zh-CN"/>
                    </w:rPr>
                    <w:t>18</w:t>
                  </w:r>
                </w:p>
              </w:tc>
              <w:tc>
                <w:tcPr>
                  <w:tcW w:w="832" w:type="dxa"/>
                  <w:shd w:val="clear" w:color="auto" w:fill="auto"/>
                  <w:noWrap/>
                  <w:vAlign w:val="center"/>
                </w:tcPr>
                <w:p w14:paraId="6A95B363">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55</w:t>
                  </w:r>
                </w:p>
              </w:tc>
              <w:tc>
                <w:tcPr>
                  <w:tcW w:w="530" w:type="dxa"/>
                  <w:shd w:val="clear" w:color="auto" w:fill="auto"/>
                  <w:noWrap/>
                  <w:vAlign w:val="center"/>
                </w:tcPr>
                <w:p w14:paraId="3F3E1A77">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color w:val="auto"/>
                      <w:kern w:val="0"/>
                      <w:sz w:val="18"/>
                      <w:szCs w:val="18"/>
                      <w:highlight w:val="none"/>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1D80E5C5">
                  <w:pPr>
                    <w:keepNext w:val="0"/>
                    <w:keepLines w:val="0"/>
                    <w:pageBreakBefore w:val="0"/>
                    <w:widowControl/>
                    <w:kinsoku/>
                    <w:wordWrap/>
                    <w:overflowPunct/>
                    <w:topLinePunct w:val="0"/>
                    <w:autoSpaceDE/>
                    <w:autoSpaceDN/>
                    <w:bidi w:val="0"/>
                    <w:adjustRightInd/>
                    <w:snapToGrid w:val="0"/>
                    <w:jc w:val="center"/>
                    <w:textAlignment w:val="auto"/>
                    <w:rPr>
                      <w:color w:val="auto"/>
                      <w:kern w:val="0"/>
                      <w:sz w:val="18"/>
                      <w:szCs w:val="18"/>
                      <w:highlight w:val="none"/>
                    </w:rPr>
                  </w:pPr>
                  <w:r>
                    <w:rPr>
                      <w:rFonts w:hint="default" w:ascii="Times New Roman" w:hAnsi="Times New Roman" w:eastAsia="宋体" w:cs="Times New Roman"/>
                      <w:bCs/>
                      <w:color w:val="auto"/>
                      <w:sz w:val="18"/>
                      <w:szCs w:val="18"/>
                      <w:highlight w:val="none"/>
                      <w:lang w:val="en-US" w:eastAsia="zh-CN"/>
                    </w:rPr>
                    <w:t>20</w:t>
                  </w:r>
                </w:p>
              </w:tc>
              <w:tc>
                <w:tcPr>
                  <w:tcW w:w="818" w:type="dxa"/>
                  <w:shd w:val="clear" w:color="auto" w:fill="auto"/>
                  <w:noWrap/>
                  <w:vAlign w:val="center"/>
                </w:tcPr>
                <w:p w14:paraId="56FD6499">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35</w:t>
                  </w:r>
                </w:p>
              </w:tc>
              <w:tc>
                <w:tcPr>
                  <w:tcW w:w="453" w:type="dxa"/>
                  <w:shd w:val="clear" w:color="auto" w:fill="auto"/>
                  <w:noWrap/>
                  <w:vAlign w:val="center"/>
                </w:tcPr>
                <w:p w14:paraId="79F4D432">
                  <w:pPr>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rPr>
                    <w:t>1</w:t>
                  </w:r>
                </w:p>
              </w:tc>
            </w:tr>
            <w:tr w14:paraId="064885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30" w:type="dxa"/>
                  <w:shd w:val="clear" w:color="auto" w:fill="auto"/>
                  <w:noWrap/>
                  <w:vAlign w:val="center"/>
                </w:tcPr>
                <w:p w14:paraId="762F0126">
                  <w:pPr>
                    <w:keepNext w:val="0"/>
                    <w:keepLines w:val="0"/>
                    <w:pageBreakBefore w:val="0"/>
                    <w:widowControl/>
                    <w:kinsoku/>
                    <w:wordWrap/>
                    <w:overflowPunct/>
                    <w:topLinePunct w:val="0"/>
                    <w:autoSpaceDE/>
                    <w:autoSpaceDN/>
                    <w:bidi w:val="0"/>
                    <w:adjustRightInd/>
                    <w:snapToGrid w:val="0"/>
                    <w:jc w:val="center"/>
                    <w:rPr>
                      <w:rFonts w:hint="default"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23</w:t>
                  </w:r>
                </w:p>
              </w:tc>
              <w:tc>
                <w:tcPr>
                  <w:tcW w:w="644" w:type="dxa"/>
                  <w:vMerge w:val="continue"/>
                  <w:shd w:val="clear" w:color="auto" w:fill="auto"/>
                  <w:noWrap/>
                  <w:vAlign w:val="center"/>
                </w:tcPr>
                <w:p w14:paraId="5A583468">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4A2FF82B">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rPr>
                    <w:t>除尘器</w:t>
                  </w:r>
                  <w:r>
                    <w:rPr>
                      <w:rFonts w:hint="eastAsia" w:cs="Times New Roman"/>
                      <w:i w:val="0"/>
                      <w:iCs w:val="0"/>
                      <w:color w:val="auto"/>
                      <w:kern w:val="0"/>
                      <w:sz w:val="18"/>
                      <w:szCs w:val="18"/>
                      <w:highlight w:val="none"/>
                      <w:u w:val="none"/>
                      <w:lang w:val="en-US" w:eastAsia="zh-CN"/>
                    </w:rPr>
                    <w:t>分机5</w:t>
                  </w:r>
                </w:p>
              </w:tc>
              <w:tc>
                <w:tcPr>
                  <w:tcW w:w="709" w:type="dxa"/>
                  <w:shd w:val="clear" w:color="auto" w:fill="auto"/>
                  <w:noWrap/>
                  <w:vAlign w:val="center"/>
                </w:tcPr>
                <w:p w14:paraId="5659FA1D">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r>
                    <w:rPr>
                      <w:rFonts w:hint="eastAsia"/>
                      <w:color w:val="auto"/>
                      <w:kern w:val="0"/>
                      <w:sz w:val="18"/>
                      <w:szCs w:val="18"/>
                      <w:highlight w:val="none"/>
                      <w:lang w:val="en-US" w:eastAsia="zh-CN"/>
                    </w:rPr>
                    <w:t>80</w:t>
                  </w:r>
                </w:p>
              </w:tc>
              <w:tc>
                <w:tcPr>
                  <w:tcW w:w="608" w:type="dxa"/>
                  <w:vMerge w:val="continue"/>
                  <w:shd w:val="clear" w:color="auto" w:fill="auto"/>
                  <w:noWrap/>
                  <w:vAlign w:val="center"/>
                </w:tcPr>
                <w:p w14:paraId="317FC327">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32D7EFF0">
                  <w:pPr>
                    <w:keepNext w:val="0"/>
                    <w:keepLines w:val="0"/>
                    <w:pageBreakBefore w:val="0"/>
                    <w:widowControl/>
                    <w:kinsoku/>
                    <w:wordWrap/>
                    <w:overflowPunct/>
                    <w:topLinePunct w:val="0"/>
                    <w:autoSpaceDE/>
                    <w:autoSpaceDN/>
                    <w:bidi w:val="0"/>
                    <w:adjustRightInd/>
                    <w:snapToGrid w:val="0"/>
                    <w:jc w:val="center"/>
                    <w:rPr>
                      <w:b w:val="0"/>
                      <w:bCs w:val="0"/>
                      <w:color w:val="auto"/>
                      <w:kern w:val="0"/>
                      <w:sz w:val="18"/>
                      <w:szCs w:val="18"/>
                      <w:highlight w:val="none"/>
                    </w:rPr>
                  </w:pPr>
                  <w:r>
                    <w:rPr>
                      <w:rFonts w:hint="eastAsia"/>
                      <w:b w:val="0"/>
                      <w:bCs w:val="0"/>
                      <w:color w:val="auto"/>
                      <w:kern w:val="0"/>
                      <w:sz w:val="18"/>
                      <w:szCs w:val="18"/>
                      <w:highlight w:val="none"/>
                      <w:lang w:val="en-US" w:eastAsia="zh-CN"/>
                    </w:rPr>
                    <w:t>{-232,414,6}</w:t>
                  </w:r>
                </w:p>
              </w:tc>
              <w:tc>
                <w:tcPr>
                  <w:tcW w:w="682" w:type="dxa"/>
                  <w:shd w:val="clear" w:color="auto" w:fill="auto"/>
                  <w:noWrap/>
                  <w:vAlign w:val="center"/>
                </w:tcPr>
                <w:p w14:paraId="436F8933">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cs="Times New Roman"/>
                      <w:b w:val="0"/>
                      <w:bCs/>
                      <w:color w:val="auto"/>
                      <w:sz w:val="18"/>
                      <w:szCs w:val="18"/>
                      <w:highlight w:val="none"/>
                      <w:lang w:val="en-US" w:eastAsia="zh-CN"/>
                    </w:rPr>
                    <w:t>12</w:t>
                  </w:r>
                </w:p>
              </w:tc>
              <w:tc>
                <w:tcPr>
                  <w:tcW w:w="832" w:type="dxa"/>
                  <w:shd w:val="clear" w:color="auto" w:fill="auto"/>
                  <w:noWrap/>
                  <w:vAlign w:val="center"/>
                </w:tcPr>
                <w:p w14:paraId="7B71AD64">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cs="Times New Roman"/>
                      <w:i w:val="0"/>
                      <w:iCs w:val="0"/>
                      <w:color w:val="auto"/>
                      <w:kern w:val="0"/>
                      <w:sz w:val="18"/>
                      <w:szCs w:val="18"/>
                      <w:highlight w:val="none"/>
                      <w:u w:val="none"/>
                      <w:lang w:val="en-US" w:eastAsia="zh-CN"/>
                    </w:rPr>
                    <w:t>58</w:t>
                  </w:r>
                </w:p>
              </w:tc>
              <w:tc>
                <w:tcPr>
                  <w:tcW w:w="530" w:type="dxa"/>
                  <w:shd w:val="clear" w:color="auto" w:fill="auto"/>
                  <w:noWrap/>
                  <w:vAlign w:val="center"/>
                </w:tcPr>
                <w:p w14:paraId="6F328565">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color w:val="auto"/>
                      <w:kern w:val="0"/>
                      <w:sz w:val="18"/>
                      <w:szCs w:val="18"/>
                      <w:highlight w:val="none"/>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37DA2A1D">
                  <w:pPr>
                    <w:keepNext w:val="0"/>
                    <w:keepLines w:val="0"/>
                    <w:pageBreakBefore w:val="0"/>
                    <w:widowControl/>
                    <w:kinsoku/>
                    <w:wordWrap/>
                    <w:overflowPunct/>
                    <w:topLinePunct w:val="0"/>
                    <w:autoSpaceDE/>
                    <w:autoSpaceDN/>
                    <w:bidi w:val="0"/>
                    <w:adjustRightInd/>
                    <w:snapToGrid w:val="0"/>
                    <w:jc w:val="center"/>
                    <w:textAlignment w:val="auto"/>
                    <w:rPr>
                      <w:color w:val="auto"/>
                      <w:kern w:val="0"/>
                      <w:sz w:val="18"/>
                      <w:szCs w:val="18"/>
                      <w:highlight w:val="none"/>
                    </w:rPr>
                  </w:pPr>
                </w:p>
              </w:tc>
              <w:tc>
                <w:tcPr>
                  <w:tcW w:w="818" w:type="dxa"/>
                  <w:shd w:val="clear" w:color="auto" w:fill="auto"/>
                  <w:noWrap/>
                  <w:vAlign w:val="center"/>
                </w:tcPr>
                <w:p w14:paraId="64E9ADD2">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38</w:t>
                  </w:r>
                </w:p>
              </w:tc>
              <w:tc>
                <w:tcPr>
                  <w:tcW w:w="453" w:type="dxa"/>
                  <w:shd w:val="clear" w:color="auto" w:fill="auto"/>
                  <w:noWrap/>
                  <w:vAlign w:val="center"/>
                </w:tcPr>
                <w:p w14:paraId="243C979E">
                  <w:pPr>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rPr>
                    <w:t>1</w:t>
                  </w:r>
                </w:p>
              </w:tc>
            </w:tr>
            <w:tr w14:paraId="41CAF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30" w:type="dxa"/>
                  <w:shd w:val="clear" w:color="auto" w:fill="auto"/>
                  <w:noWrap/>
                  <w:vAlign w:val="center"/>
                </w:tcPr>
                <w:p w14:paraId="1E15620E">
                  <w:pPr>
                    <w:keepNext w:val="0"/>
                    <w:keepLines w:val="0"/>
                    <w:pageBreakBefore w:val="0"/>
                    <w:widowControl/>
                    <w:kinsoku/>
                    <w:wordWrap/>
                    <w:overflowPunct/>
                    <w:topLinePunct w:val="0"/>
                    <w:autoSpaceDE/>
                    <w:autoSpaceDN/>
                    <w:bidi w:val="0"/>
                    <w:adjustRightInd/>
                    <w:snapToGrid w:val="0"/>
                    <w:jc w:val="center"/>
                    <w:rPr>
                      <w:rFonts w:hint="default"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24</w:t>
                  </w:r>
                </w:p>
              </w:tc>
              <w:tc>
                <w:tcPr>
                  <w:tcW w:w="644" w:type="dxa"/>
                  <w:vMerge w:val="continue"/>
                  <w:shd w:val="clear" w:color="auto" w:fill="auto"/>
                  <w:noWrap/>
                  <w:vAlign w:val="center"/>
                </w:tcPr>
                <w:p w14:paraId="5ADD7F3A">
                  <w:pPr>
                    <w:keepNext w:val="0"/>
                    <w:keepLines w:val="0"/>
                    <w:pageBreakBefore w:val="0"/>
                    <w:widowControl/>
                    <w:kinsoku/>
                    <w:wordWrap/>
                    <w:overflowPunct/>
                    <w:topLinePunct w:val="0"/>
                    <w:autoSpaceDE/>
                    <w:autoSpaceDN/>
                    <w:bidi w:val="0"/>
                    <w:adjustRightInd/>
                    <w:snapToGrid w:val="0"/>
                    <w:jc w:val="center"/>
                    <w:rPr>
                      <w:rFonts w:hint="eastAsia"/>
                      <w:color w:val="auto"/>
                      <w:kern w:val="0"/>
                      <w:sz w:val="18"/>
                      <w:szCs w:val="18"/>
                      <w:highlight w:val="none"/>
                      <w:lang w:val="en-US" w:eastAsia="zh-CN"/>
                    </w:rPr>
                  </w:pPr>
                </w:p>
              </w:tc>
              <w:tc>
                <w:tcPr>
                  <w:tcW w:w="1071" w:type="dxa"/>
                  <w:shd w:val="clear" w:color="auto" w:fill="auto"/>
                  <w:noWrap/>
                  <w:vAlign w:val="center"/>
                </w:tcPr>
                <w:p w14:paraId="68C2196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宋体" w:cs="Times New Roman"/>
                      <w:i w:val="0"/>
                      <w:iCs w:val="0"/>
                      <w:color w:val="auto"/>
                      <w:sz w:val="18"/>
                      <w:szCs w:val="18"/>
                      <w:highlight w:val="none"/>
                      <w:u w:val="none"/>
                      <w:lang w:val="en-US" w:eastAsia="zh-CN"/>
                    </w:rPr>
                  </w:pPr>
                  <w:r>
                    <w:rPr>
                      <w:rFonts w:hint="default" w:cs="Times New Roman"/>
                      <w:i w:val="0"/>
                      <w:iCs w:val="0"/>
                      <w:color w:val="auto"/>
                      <w:kern w:val="0"/>
                      <w:sz w:val="18"/>
                      <w:szCs w:val="18"/>
                      <w:highlight w:val="none"/>
                      <w:u w:val="none"/>
                      <w:lang w:val="en-US" w:eastAsia="zh-CN"/>
                    </w:rPr>
                    <w:t>螺杆空压机</w:t>
                  </w:r>
                </w:p>
              </w:tc>
              <w:tc>
                <w:tcPr>
                  <w:tcW w:w="709" w:type="dxa"/>
                  <w:shd w:val="clear" w:color="auto" w:fill="auto"/>
                  <w:noWrap/>
                  <w:vAlign w:val="center"/>
                </w:tcPr>
                <w:p w14:paraId="6BC5760F">
                  <w:pPr>
                    <w:keepNext w:val="0"/>
                    <w:keepLines w:val="0"/>
                    <w:pageBreakBefore w:val="0"/>
                    <w:widowControl/>
                    <w:kinsoku/>
                    <w:wordWrap/>
                    <w:overflowPunct/>
                    <w:topLinePunct w:val="0"/>
                    <w:autoSpaceDE/>
                    <w:autoSpaceDN/>
                    <w:bidi w:val="0"/>
                    <w:adjustRightInd/>
                    <w:snapToGrid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75</w:t>
                  </w:r>
                </w:p>
              </w:tc>
              <w:tc>
                <w:tcPr>
                  <w:tcW w:w="608" w:type="dxa"/>
                  <w:vMerge w:val="continue"/>
                  <w:shd w:val="clear" w:color="auto" w:fill="auto"/>
                  <w:noWrap/>
                  <w:vAlign w:val="center"/>
                </w:tcPr>
                <w:p w14:paraId="334382FD">
                  <w:pPr>
                    <w:keepNext w:val="0"/>
                    <w:keepLines w:val="0"/>
                    <w:pageBreakBefore w:val="0"/>
                    <w:widowControl/>
                    <w:kinsoku/>
                    <w:wordWrap/>
                    <w:overflowPunct/>
                    <w:topLinePunct w:val="0"/>
                    <w:autoSpaceDE/>
                    <w:autoSpaceDN/>
                    <w:bidi w:val="0"/>
                    <w:adjustRightInd/>
                    <w:snapToGrid w:val="0"/>
                    <w:jc w:val="center"/>
                    <w:rPr>
                      <w:color w:val="auto"/>
                      <w:kern w:val="0"/>
                      <w:sz w:val="18"/>
                      <w:szCs w:val="18"/>
                      <w:highlight w:val="none"/>
                    </w:rPr>
                  </w:pPr>
                </w:p>
              </w:tc>
              <w:tc>
                <w:tcPr>
                  <w:tcW w:w="1023" w:type="dxa"/>
                  <w:shd w:val="clear" w:color="auto" w:fill="auto"/>
                  <w:noWrap/>
                  <w:vAlign w:val="center"/>
                </w:tcPr>
                <w:p w14:paraId="56636288">
                  <w:pPr>
                    <w:keepNext w:val="0"/>
                    <w:keepLines w:val="0"/>
                    <w:pageBreakBefore w:val="0"/>
                    <w:widowControl/>
                    <w:kinsoku/>
                    <w:wordWrap/>
                    <w:overflowPunct/>
                    <w:topLinePunct w:val="0"/>
                    <w:autoSpaceDE/>
                    <w:autoSpaceDN/>
                    <w:bidi w:val="0"/>
                    <w:adjustRightInd/>
                    <w:snapToGrid w:val="0"/>
                    <w:jc w:val="center"/>
                    <w:rPr>
                      <w:b w:val="0"/>
                      <w:bCs w:val="0"/>
                      <w:color w:val="auto"/>
                      <w:kern w:val="0"/>
                      <w:sz w:val="18"/>
                      <w:szCs w:val="18"/>
                      <w:highlight w:val="none"/>
                    </w:rPr>
                  </w:pPr>
                  <w:r>
                    <w:rPr>
                      <w:rFonts w:hint="eastAsia"/>
                      <w:b w:val="0"/>
                      <w:bCs w:val="0"/>
                      <w:color w:val="auto"/>
                      <w:kern w:val="0"/>
                      <w:sz w:val="18"/>
                      <w:szCs w:val="18"/>
                      <w:highlight w:val="none"/>
                      <w:lang w:val="en-US" w:eastAsia="zh-CN"/>
                    </w:rPr>
                    <w:t>{-228,417,6}</w:t>
                  </w:r>
                </w:p>
              </w:tc>
              <w:tc>
                <w:tcPr>
                  <w:tcW w:w="682" w:type="dxa"/>
                  <w:shd w:val="clear" w:color="auto" w:fill="auto"/>
                  <w:noWrap/>
                  <w:vAlign w:val="center"/>
                </w:tcPr>
                <w:p w14:paraId="55BDE06D">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cs="Times New Roman"/>
                      <w:b w:val="0"/>
                      <w:bCs/>
                      <w:color w:val="auto"/>
                      <w:sz w:val="18"/>
                      <w:szCs w:val="18"/>
                      <w:highlight w:val="none"/>
                      <w:lang w:val="en-US" w:eastAsia="zh-CN"/>
                    </w:rPr>
                    <w:t>16</w:t>
                  </w:r>
                </w:p>
              </w:tc>
              <w:tc>
                <w:tcPr>
                  <w:tcW w:w="832" w:type="dxa"/>
                  <w:shd w:val="clear" w:color="auto" w:fill="auto"/>
                  <w:noWrap/>
                  <w:vAlign w:val="center"/>
                </w:tcPr>
                <w:p w14:paraId="413AE4FA">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51</w:t>
                  </w:r>
                </w:p>
              </w:tc>
              <w:tc>
                <w:tcPr>
                  <w:tcW w:w="530" w:type="dxa"/>
                  <w:shd w:val="clear" w:color="auto" w:fill="auto"/>
                  <w:noWrap/>
                  <w:vAlign w:val="center"/>
                </w:tcPr>
                <w:p w14:paraId="733B8684">
                  <w:pPr>
                    <w:keepNext w:val="0"/>
                    <w:keepLines w:val="0"/>
                    <w:pageBreakBefore w:val="0"/>
                    <w:kinsoku/>
                    <w:wordWrap/>
                    <w:overflowPunct/>
                    <w:topLinePunct w:val="0"/>
                    <w:autoSpaceDE/>
                    <w:autoSpaceDN/>
                    <w:bidi w:val="0"/>
                    <w:adjustRightInd/>
                    <w:snapToGrid w:val="0"/>
                    <w:spacing w:beforeAutospacing="0" w:afterAutospacing="0" w:line="240" w:lineRule="auto"/>
                    <w:jc w:val="center"/>
                    <w:textAlignment w:val="auto"/>
                    <w:outlineLvl w:val="0"/>
                    <w:rPr>
                      <w:color w:val="auto"/>
                      <w:kern w:val="0"/>
                      <w:sz w:val="18"/>
                      <w:szCs w:val="18"/>
                      <w:highlight w:val="none"/>
                    </w:rPr>
                  </w:pPr>
                  <w:r>
                    <w:rPr>
                      <w:rFonts w:hint="eastAsia" w:cs="Times New Roman"/>
                      <w:snapToGrid w:val="0"/>
                      <w:color w:val="auto"/>
                      <w:sz w:val="18"/>
                      <w:szCs w:val="18"/>
                      <w:highlight w:val="none"/>
                      <w:vertAlign w:val="baseline"/>
                      <w:lang w:val="en-US" w:eastAsia="zh-CN"/>
                    </w:rPr>
                    <w:t>8</w:t>
                  </w:r>
                </w:p>
              </w:tc>
              <w:tc>
                <w:tcPr>
                  <w:tcW w:w="634" w:type="dxa"/>
                  <w:shd w:val="clear" w:color="auto" w:fill="auto"/>
                  <w:noWrap/>
                  <w:vAlign w:val="center"/>
                </w:tcPr>
                <w:p w14:paraId="5C759AB7">
                  <w:pPr>
                    <w:keepNext w:val="0"/>
                    <w:keepLines w:val="0"/>
                    <w:pageBreakBefore w:val="0"/>
                    <w:widowControl/>
                    <w:kinsoku/>
                    <w:wordWrap/>
                    <w:overflowPunct/>
                    <w:topLinePunct w:val="0"/>
                    <w:autoSpaceDE/>
                    <w:autoSpaceDN/>
                    <w:bidi w:val="0"/>
                    <w:adjustRightInd/>
                    <w:snapToGrid w:val="0"/>
                    <w:jc w:val="center"/>
                    <w:textAlignment w:val="auto"/>
                    <w:rPr>
                      <w:color w:val="auto"/>
                      <w:kern w:val="0"/>
                      <w:sz w:val="18"/>
                      <w:szCs w:val="18"/>
                      <w:highlight w:val="none"/>
                    </w:rPr>
                  </w:pPr>
                </w:p>
              </w:tc>
              <w:tc>
                <w:tcPr>
                  <w:tcW w:w="818" w:type="dxa"/>
                  <w:shd w:val="clear" w:color="auto" w:fill="auto"/>
                  <w:noWrap/>
                  <w:vAlign w:val="center"/>
                </w:tcPr>
                <w:p w14:paraId="0B975E11">
                  <w:pPr>
                    <w:keepNext w:val="0"/>
                    <w:keepLines w:val="0"/>
                    <w:widowControl/>
                    <w:suppressLineNumbers w:val="0"/>
                    <w:jc w:val="center"/>
                    <w:textAlignment w:val="center"/>
                    <w:rPr>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rPr>
                    <w:t>31</w:t>
                  </w:r>
                </w:p>
              </w:tc>
              <w:tc>
                <w:tcPr>
                  <w:tcW w:w="453" w:type="dxa"/>
                  <w:shd w:val="clear" w:color="auto" w:fill="auto"/>
                  <w:noWrap/>
                  <w:vAlign w:val="center"/>
                </w:tcPr>
                <w:p w14:paraId="1183FABE">
                  <w:pPr>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color w:val="auto"/>
                      <w:kern w:val="0"/>
                      <w:sz w:val="18"/>
                      <w:szCs w:val="18"/>
                      <w:highlight w:val="none"/>
                    </w:rPr>
                  </w:pPr>
                  <w:r>
                    <w:rPr>
                      <w:rFonts w:hint="default" w:ascii="Times New Roman" w:hAnsi="Times New Roman" w:eastAsia="宋体" w:cs="Times New Roman"/>
                      <w:b w:val="0"/>
                      <w:bCs/>
                      <w:color w:val="auto"/>
                      <w:sz w:val="18"/>
                      <w:szCs w:val="18"/>
                      <w:highlight w:val="none"/>
                    </w:rPr>
                    <w:t>1</w:t>
                  </w:r>
                  <w:bookmarkEnd w:id="38"/>
                </w:p>
              </w:tc>
            </w:tr>
          </w:tbl>
          <w:p w14:paraId="36013242">
            <w:pPr>
              <w:pStyle w:val="25"/>
              <w:spacing w:line="360" w:lineRule="auto"/>
              <w:rPr>
                <w:b/>
                <w:bCs/>
                <w:color w:val="auto"/>
                <w:sz w:val="21"/>
                <w:szCs w:val="21"/>
                <w:highlight w:val="none"/>
              </w:rPr>
            </w:pPr>
            <w:r>
              <w:rPr>
                <w:rFonts w:hint="eastAsia"/>
                <w:b/>
                <w:bCs/>
                <w:color w:val="auto"/>
                <w:sz w:val="21"/>
                <w:szCs w:val="21"/>
                <w:highlight w:val="none"/>
              </w:rPr>
              <w:t>注：以厂界西南角为坐标原点</w:t>
            </w:r>
            <w:r>
              <w:rPr>
                <w:rFonts w:hint="eastAsia"/>
                <w:b/>
                <w:bCs/>
                <w:color w:val="auto"/>
                <w:sz w:val="21"/>
                <w:szCs w:val="21"/>
                <w:highlight w:val="none"/>
                <w:lang w:eastAsia="zh-CN"/>
              </w:rPr>
              <w:t>（</w:t>
            </w:r>
            <w:r>
              <w:rPr>
                <w:b/>
                <w:bCs/>
                <w:color w:val="auto"/>
                <w:sz w:val="21"/>
                <w:szCs w:val="21"/>
                <w:highlight w:val="none"/>
              </w:rPr>
              <w:t>0,0,0</w:t>
            </w:r>
            <w:r>
              <w:rPr>
                <w:rFonts w:hint="eastAsia"/>
                <w:b/>
                <w:bCs/>
                <w:color w:val="auto"/>
                <w:sz w:val="21"/>
                <w:szCs w:val="21"/>
                <w:highlight w:val="none"/>
                <w:lang w:eastAsia="zh-CN"/>
              </w:rPr>
              <w:t>）</w:t>
            </w:r>
            <w:r>
              <w:rPr>
                <w:rFonts w:hint="eastAsia"/>
                <w:b/>
                <w:bCs/>
                <w:color w:val="auto"/>
                <w:sz w:val="21"/>
                <w:szCs w:val="21"/>
                <w:highlight w:val="none"/>
              </w:rPr>
              <w:t>。</w:t>
            </w:r>
          </w:p>
          <w:p w14:paraId="1BE31FAB">
            <w:pPr>
              <w:spacing w:line="240" w:lineRule="auto"/>
              <w:jc w:val="center"/>
              <w:rPr>
                <w:b/>
                <w:color w:val="auto"/>
                <w:sz w:val="21"/>
                <w:szCs w:val="21"/>
                <w:highlight w:val="none"/>
              </w:rPr>
            </w:pPr>
            <w:r>
              <w:rPr>
                <w:b/>
                <w:color w:val="auto"/>
                <w:sz w:val="21"/>
                <w:szCs w:val="21"/>
                <w:highlight w:val="none"/>
              </w:rPr>
              <w:t>表4-</w:t>
            </w:r>
            <w:r>
              <w:rPr>
                <w:rFonts w:hint="eastAsia"/>
                <w:b/>
                <w:color w:val="auto"/>
                <w:sz w:val="21"/>
                <w:szCs w:val="21"/>
                <w:highlight w:val="none"/>
                <w:lang w:val="en-US" w:eastAsia="zh-CN"/>
              </w:rPr>
              <w:t>12</w:t>
            </w:r>
            <w:r>
              <w:rPr>
                <w:b/>
                <w:color w:val="auto"/>
                <w:sz w:val="21"/>
                <w:szCs w:val="21"/>
                <w:highlight w:val="none"/>
              </w:rPr>
              <w:t xml:space="preserve">  </w:t>
            </w:r>
            <w:r>
              <w:rPr>
                <w:rFonts w:hint="eastAsia"/>
                <w:b/>
                <w:color w:val="auto"/>
                <w:sz w:val="21"/>
                <w:szCs w:val="21"/>
                <w:highlight w:val="none"/>
              </w:rPr>
              <w:t>主要</w:t>
            </w:r>
            <w:r>
              <w:rPr>
                <w:b/>
                <w:color w:val="auto"/>
                <w:sz w:val="21"/>
                <w:szCs w:val="21"/>
                <w:highlight w:val="none"/>
              </w:rPr>
              <w:t>噪声源强一览表</w:t>
            </w:r>
            <w:r>
              <w:rPr>
                <w:rFonts w:hint="eastAsia"/>
                <w:b/>
                <w:color w:val="auto"/>
                <w:sz w:val="21"/>
                <w:szCs w:val="21"/>
                <w:highlight w:val="none"/>
              </w:rPr>
              <w:t>（室外</w:t>
            </w:r>
            <w:r>
              <w:rPr>
                <w:rFonts w:hint="eastAsia"/>
                <w:b/>
                <w:color w:val="auto"/>
                <w:sz w:val="21"/>
                <w:szCs w:val="21"/>
                <w:highlight w:val="none"/>
                <w:lang w:val="en-US" w:eastAsia="zh-CN"/>
              </w:rPr>
              <w:t>噪</w:t>
            </w:r>
            <w:r>
              <w:rPr>
                <w:rFonts w:hint="eastAsia"/>
                <w:b/>
                <w:color w:val="auto"/>
                <w:sz w:val="21"/>
                <w:szCs w:val="21"/>
                <w:highlight w:val="none"/>
              </w:rPr>
              <w:t>声源）</w:t>
            </w:r>
          </w:p>
          <w:tbl>
            <w:tblPr>
              <w:tblStyle w:val="19"/>
              <w:tblW w:w="482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219"/>
              <w:gridCol w:w="2000"/>
              <w:gridCol w:w="1140"/>
              <w:gridCol w:w="1977"/>
              <w:gridCol w:w="1210"/>
            </w:tblGrid>
            <w:tr w14:paraId="4AF51A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vMerge w:val="restart"/>
                  <w:shd w:val="clear" w:color="auto" w:fill="auto"/>
                  <w:noWrap/>
                  <w:vAlign w:val="center"/>
                </w:tcPr>
                <w:p w14:paraId="54E50E49">
                  <w:pPr>
                    <w:widowControl/>
                    <w:jc w:val="center"/>
                    <w:rPr>
                      <w:b/>
                      <w:bCs/>
                      <w:color w:val="auto"/>
                      <w:kern w:val="0"/>
                      <w:szCs w:val="21"/>
                      <w:highlight w:val="none"/>
                    </w:rPr>
                  </w:pPr>
                  <w:r>
                    <w:rPr>
                      <w:b/>
                      <w:bCs/>
                      <w:color w:val="auto"/>
                      <w:kern w:val="0"/>
                      <w:szCs w:val="21"/>
                      <w:highlight w:val="none"/>
                    </w:rPr>
                    <w:t>序号</w:t>
                  </w:r>
                </w:p>
              </w:tc>
              <w:tc>
                <w:tcPr>
                  <w:tcW w:w="734" w:type="pct"/>
                  <w:vMerge w:val="restart"/>
                  <w:shd w:val="clear" w:color="auto" w:fill="auto"/>
                  <w:noWrap/>
                  <w:vAlign w:val="center"/>
                </w:tcPr>
                <w:p w14:paraId="7E105F76">
                  <w:pPr>
                    <w:widowControl/>
                    <w:jc w:val="center"/>
                    <w:rPr>
                      <w:b/>
                      <w:bCs/>
                      <w:color w:val="auto"/>
                      <w:kern w:val="0"/>
                      <w:szCs w:val="21"/>
                      <w:highlight w:val="none"/>
                    </w:rPr>
                  </w:pPr>
                  <w:r>
                    <w:rPr>
                      <w:b/>
                      <w:bCs/>
                      <w:color w:val="auto"/>
                      <w:kern w:val="0"/>
                      <w:szCs w:val="21"/>
                      <w:highlight w:val="none"/>
                    </w:rPr>
                    <w:t>声源名称</w:t>
                  </w:r>
                </w:p>
              </w:tc>
              <w:tc>
                <w:tcPr>
                  <w:tcW w:w="1204" w:type="pct"/>
                  <w:shd w:val="clear" w:color="auto" w:fill="auto"/>
                  <w:noWrap/>
                  <w:vAlign w:val="center"/>
                </w:tcPr>
                <w:p w14:paraId="129D6B87">
                  <w:pPr>
                    <w:widowControl/>
                    <w:jc w:val="center"/>
                    <w:rPr>
                      <w:b/>
                      <w:bCs/>
                      <w:color w:val="auto"/>
                      <w:kern w:val="0"/>
                      <w:szCs w:val="21"/>
                      <w:highlight w:val="none"/>
                    </w:rPr>
                  </w:pPr>
                  <w:r>
                    <w:rPr>
                      <w:b/>
                      <w:bCs/>
                      <w:color w:val="auto"/>
                      <w:kern w:val="0"/>
                      <w:szCs w:val="21"/>
                      <w:highlight w:val="none"/>
                    </w:rPr>
                    <w:t>空间相对位置/m</w:t>
                  </w:r>
                </w:p>
              </w:tc>
              <w:tc>
                <w:tcPr>
                  <w:tcW w:w="686" w:type="pct"/>
                  <w:shd w:val="clear" w:color="auto" w:fill="auto"/>
                  <w:noWrap/>
                  <w:vAlign w:val="center"/>
                </w:tcPr>
                <w:p w14:paraId="6524B942">
                  <w:pPr>
                    <w:widowControl/>
                    <w:jc w:val="center"/>
                    <w:rPr>
                      <w:b/>
                      <w:bCs/>
                      <w:color w:val="auto"/>
                      <w:kern w:val="0"/>
                      <w:szCs w:val="21"/>
                      <w:highlight w:val="none"/>
                    </w:rPr>
                  </w:pPr>
                  <w:r>
                    <w:rPr>
                      <w:rFonts w:hint="eastAsia"/>
                      <w:b/>
                      <w:bCs/>
                      <w:color w:val="auto"/>
                      <w:kern w:val="0"/>
                      <w:szCs w:val="21"/>
                      <w:highlight w:val="none"/>
                      <w:lang w:val="en-US" w:eastAsia="zh-CN"/>
                    </w:rPr>
                    <w:t>噪声</w:t>
                  </w:r>
                  <w:r>
                    <w:rPr>
                      <w:b/>
                      <w:bCs/>
                      <w:color w:val="auto"/>
                      <w:kern w:val="0"/>
                      <w:szCs w:val="21"/>
                      <w:highlight w:val="none"/>
                    </w:rPr>
                    <w:t>源强</w:t>
                  </w:r>
                </w:p>
              </w:tc>
              <w:tc>
                <w:tcPr>
                  <w:tcW w:w="1190" w:type="pct"/>
                  <w:vMerge w:val="restart"/>
                  <w:shd w:val="clear" w:color="auto" w:fill="auto"/>
                  <w:noWrap/>
                  <w:vAlign w:val="center"/>
                </w:tcPr>
                <w:p w14:paraId="5DC5EB71">
                  <w:pPr>
                    <w:widowControl/>
                    <w:jc w:val="center"/>
                    <w:rPr>
                      <w:b/>
                      <w:bCs/>
                      <w:color w:val="auto"/>
                      <w:kern w:val="0"/>
                      <w:szCs w:val="21"/>
                      <w:highlight w:val="none"/>
                    </w:rPr>
                  </w:pPr>
                  <w:r>
                    <w:rPr>
                      <w:b/>
                      <w:bCs/>
                      <w:color w:val="auto"/>
                      <w:kern w:val="0"/>
                      <w:szCs w:val="21"/>
                      <w:highlight w:val="none"/>
                    </w:rPr>
                    <w:t>声源控制措施</w:t>
                  </w:r>
                </w:p>
              </w:tc>
              <w:tc>
                <w:tcPr>
                  <w:tcW w:w="728" w:type="pct"/>
                  <w:vMerge w:val="restart"/>
                  <w:shd w:val="clear" w:color="auto" w:fill="auto"/>
                  <w:noWrap/>
                  <w:vAlign w:val="center"/>
                </w:tcPr>
                <w:p w14:paraId="2E4EB379">
                  <w:pPr>
                    <w:widowControl/>
                    <w:jc w:val="center"/>
                    <w:rPr>
                      <w:b/>
                      <w:bCs/>
                      <w:color w:val="auto"/>
                      <w:kern w:val="0"/>
                      <w:szCs w:val="21"/>
                      <w:highlight w:val="none"/>
                    </w:rPr>
                  </w:pPr>
                  <w:r>
                    <w:rPr>
                      <w:b/>
                      <w:bCs/>
                      <w:color w:val="auto"/>
                      <w:kern w:val="0"/>
                      <w:szCs w:val="21"/>
                      <w:highlight w:val="none"/>
                    </w:rPr>
                    <w:t>运行时段</w:t>
                  </w:r>
                </w:p>
              </w:tc>
            </w:tr>
            <w:tr w14:paraId="7A63E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vMerge w:val="continue"/>
                  <w:vAlign w:val="center"/>
                </w:tcPr>
                <w:p w14:paraId="17FF33FE">
                  <w:pPr>
                    <w:widowControl/>
                    <w:jc w:val="center"/>
                    <w:rPr>
                      <w:color w:val="auto"/>
                      <w:kern w:val="0"/>
                      <w:szCs w:val="21"/>
                      <w:highlight w:val="none"/>
                    </w:rPr>
                  </w:pPr>
                </w:p>
              </w:tc>
              <w:tc>
                <w:tcPr>
                  <w:tcW w:w="734" w:type="pct"/>
                  <w:vMerge w:val="continue"/>
                  <w:vAlign w:val="center"/>
                </w:tcPr>
                <w:p w14:paraId="77659084">
                  <w:pPr>
                    <w:widowControl/>
                    <w:jc w:val="center"/>
                    <w:rPr>
                      <w:color w:val="auto"/>
                      <w:kern w:val="0"/>
                      <w:szCs w:val="21"/>
                      <w:highlight w:val="none"/>
                    </w:rPr>
                  </w:pPr>
                </w:p>
              </w:tc>
              <w:tc>
                <w:tcPr>
                  <w:tcW w:w="1204" w:type="pct"/>
                  <w:shd w:val="clear" w:color="auto" w:fill="auto"/>
                  <w:noWrap/>
                  <w:vAlign w:val="center"/>
                </w:tcPr>
                <w:p w14:paraId="63F45F11">
                  <w:pPr>
                    <w:widowControl/>
                    <w:jc w:val="center"/>
                    <w:rPr>
                      <w:b/>
                      <w:bCs/>
                      <w:color w:val="auto"/>
                      <w:kern w:val="0"/>
                      <w:szCs w:val="21"/>
                      <w:highlight w:val="none"/>
                    </w:rPr>
                  </w:pPr>
                  <w:r>
                    <w:rPr>
                      <w:b/>
                      <w:bCs/>
                      <w:color w:val="auto"/>
                      <w:kern w:val="0"/>
                      <w:szCs w:val="21"/>
                      <w:highlight w:val="none"/>
                    </w:rPr>
                    <w:t>{X,Y,Z}</w:t>
                  </w:r>
                </w:p>
              </w:tc>
              <w:tc>
                <w:tcPr>
                  <w:tcW w:w="686" w:type="pct"/>
                  <w:shd w:val="clear" w:color="auto" w:fill="auto"/>
                  <w:noWrap/>
                  <w:vAlign w:val="center"/>
                </w:tcPr>
                <w:p w14:paraId="367275BC">
                  <w:pPr>
                    <w:widowControl/>
                    <w:jc w:val="center"/>
                    <w:rPr>
                      <w:b/>
                      <w:bCs/>
                      <w:color w:val="auto"/>
                      <w:kern w:val="0"/>
                      <w:szCs w:val="21"/>
                      <w:highlight w:val="none"/>
                    </w:rPr>
                  </w:pPr>
                  <w:r>
                    <w:rPr>
                      <w:b/>
                      <w:bCs/>
                      <w:color w:val="auto"/>
                      <w:kern w:val="0"/>
                      <w:szCs w:val="21"/>
                      <w:highlight w:val="none"/>
                    </w:rPr>
                    <w:t>声功率级/dB(A)</w:t>
                  </w:r>
                </w:p>
              </w:tc>
              <w:tc>
                <w:tcPr>
                  <w:tcW w:w="1190" w:type="pct"/>
                  <w:vMerge w:val="continue"/>
                  <w:vAlign w:val="center"/>
                </w:tcPr>
                <w:p w14:paraId="6CE0DDBF">
                  <w:pPr>
                    <w:widowControl/>
                    <w:jc w:val="center"/>
                    <w:rPr>
                      <w:color w:val="auto"/>
                      <w:kern w:val="0"/>
                      <w:szCs w:val="21"/>
                      <w:highlight w:val="none"/>
                    </w:rPr>
                  </w:pPr>
                </w:p>
              </w:tc>
              <w:tc>
                <w:tcPr>
                  <w:tcW w:w="728" w:type="pct"/>
                  <w:vMerge w:val="continue"/>
                  <w:vAlign w:val="center"/>
                </w:tcPr>
                <w:p w14:paraId="0BB8FE0E">
                  <w:pPr>
                    <w:widowControl/>
                    <w:jc w:val="center"/>
                    <w:rPr>
                      <w:color w:val="auto"/>
                      <w:kern w:val="0"/>
                      <w:szCs w:val="21"/>
                      <w:highlight w:val="none"/>
                    </w:rPr>
                  </w:pPr>
                </w:p>
              </w:tc>
            </w:tr>
            <w:tr w14:paraId="28BFD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shd w:val="clear" w:color="auto" w:fill="auto"/>
                  <w:noWrap/>
                  <w:vAlign w:val="center"/>
                </w:tcPr>
                <w:p w14:paraId="2C7E57C5">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1</w:t>
                  </w:r>
                </w:p>
              </w:tc>
              <w:tc>
                <w:tcPr>
                  <w:tcW w:w="734" w:type="pct"/>
                  <w:shd w:val="clear" w:color="auto" w:fill="auto"/>
                  <w:noWrap/>
                  <w:vAlign w:val="center"/>
                </w:tcPr>
                <w:p w14:paraId="6D85269B">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风机1</w:t>
                  </w:r>
                </w:p>
              </w:tc>
              <w:tc>
                <w:tcPr>
                  <w:tcW w:w="1204" w:type="pct"/>
                  <w:shd w:val="clear" w:color="auto" w:fill="auto"/>
                  <w:noWrap/>
                  <w:vAlign w:val="center"/>
                </w:tcPr>
                <w:p w14:paraId="45763BC3">
                  <w:pPr>
                    <w:widowControl/>
                    <w:jc w:val="center"/>
                    <w:rPr>
                      <w:color w:val="auto"/>
                      <w:kern w:val="0"/>
                      <w:szCs w:val="21"/>
                      <w:highlight w:val="none"/>
                    </w:rPr>
                  </w:pPr>
                  <w:r>
                    <w:rPr>
                      <w:color w:val="auto"/>
                      <w:kern w:val="0"/>
                      <w:szCs w:val="21"/>
                      <w:highlight w:val="none"/>
                    </w:rPr>
                    <w:t>{</w:t>
                  </w:r>
                  <w:r>
                    <w:rPr>
                      <w:rFonts w:hint="eastAsia"/>
                      <w:color w:val="auto"/>
                      <w:kern w:val="0"/>
                      <w:szCs w:val="21"/>
                      <w:highlight w:val="none"/>
                      <w:lang w:val="en-US" w:eastAsia="zh-CN"/>
                    </w:rPr>
                    <w:t>-239</w:t>
                  </w:r>
                  <w:r>
                    <w:rPr>
                      <w:color w:val="auto"/>
                      <w:kern w:val="0"/>
                      <w:szCs w:val="21"/>
                      <w:highlight w:val="none"/>
                    </w:rPr>
                    <w:t>,</w:t>
                  </w:r>
                  <w:r>
                    <w:rPr>
                      <w:rFonts w:hint="eastAsia"/>
                      <w:color w:val="auto"/>
                      <w:kern w:val="0"/>
                      <w:szCs w:val="21"/>
                      <w:highlight w:val="none"/>
                      <w:lang w:val="en-US" w:eastAsia="zh-CN"/>
                    </w:rPr>
                    <w:t>513</w:t>
                  </w:r>
                  <w:r>
                    <w:rPr>
                      <w:color w:val="auto"/>
                      <w:kern w:val="0"/>
                      <w:szCs w:val="21"/>
                      <w:highlight w:val="none"/>
                    </w:rPr>
                    <w:t>,</w:t>
                  </w:r>
                  <w:r>
                    <w:rPr>
                      <w:rFonts w:hint="eastAsia"/>
                      <w:color w:val="auto"/>
                      <w:kern w:val="0"/>
                      <w:szCs w:val="21"/>
                      <w:highlight w:val="none"/>
                      <w:lang w:val="en-US" w:eastAsia="zh-CN"/>
                    </w:rPr>
                    <w:t>1</w:t>
                  </w:r>
                  <w:r>
                    <w:rPr>
                      <w:color w:val="auto"/>
                      <w:kern w:val="0"/>
                      <w:szCs w:val="21"/>
                      <w:highlight w:val="none"/>
                    </w:rPr>
                    <w:t>}</w:t>
                  </w:r>
                </w:p>
              </w:tc>
              <w:tc>
                <w:tcPr>
                  <w:tcW w:w="686" w:type="pct"/>
                  <w:shd w:val="clear" w:color="auto" w:fill="auto"/>
                  <w:noWrap/>
                  <w:vAlign w:val="center"/>
                </w:tcPr>
                <w:p w14:paraId="1536FE5B">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80</w:t>
                  </w:r>
                </w:p>
              </w:tc>
              <w:tc>
                <w:tcPr>
                  <w:tcW w:w="1190" w:type="pct"/>
                  <w:shd w:val="clear" w:color="auto" w:fill="auto"/>
                  <w:noWrap/>
                  <w:vAlign w:val="center"/>
                </w:tcPr>
                <w:p w14:paraId="141D91BC">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基座减振+消声器</w:t>
                  </w:r>
                </w:p>
              </w:tc>
              <w:tc>
                <w:tcPr>
                  <w:tcW w:w="728" w:type="pct"/>
                  <w:shd w:val="clear" w:color="auto" w:fill="auto"/>
                  <w:noWrap/>
                  <w:vAlign w:val="center"/>
                </w:tcPr>
                <w:p w14:paraId="68E57CBC">
                  <w:pPr>
                    <w:widowControl/>
                    <w:jc w:val="center"/>
                    <w:rPr>
                      <w:color w:val="auto"/>
                      <w:kern w:val="0"/>
                      <w:szCs w:val="21"/>
                      <w:highlight w:val="none"/>
                    </w:rPr>
                  </w:pPr>
                  <w:r>
                    <w:rPr>
                      <w:color w:val="auto"/>
                      <w:kern w:val="0"/>
                      <w:szCs w:val="21"/>
                      <w:highlight w:val="none"/>
                    </w:rPr>
                    <w:t>昼间</w:t>
                  </w:r>
                </w:p>
              </w:tc>
            </w:tr>
          </w:tbl>
          <w:p w14:paraId="11243CEA">
            <w:pPr>
              <w:widowControl/>
              <w:spacing w:line="360" w:lineRule="auto"/>
              <w:jc w:val="both"/>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注：以厂界西南角为坐标原点</w:t>
            </w:r>
            <w:r>
              <w:rPr>
                <w:rFonts w:hint="eastAsia" w:ascii="宋体" w:hAnsi="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rPr>
              <w:t>0,0,0</w:t>
            </w:r>
            <w:r>
              <w:rPr>
                <w:rFonts w:hint="eastAsia" w:ascii="宋体" w:hAnsi="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rPr>
              <w:t>。</w:t>
            </w:r>
          </w:p>
          <w:p w14:paraId="42072561">
            <w:pPr>
              <w:keepNext w:val="0"/>
              <w:keepLines w:val="0"/>
              <w:pageBreakBefore w:val="0"/>
              <w:widowControl w:val="0"/>
              <w:kinsoku/>
              <w:wordWrap/>
              <w:overflowPunct/>
              <w:topLinePunct w:val="0"/>
              <w:bidi w:val="0"/>
              <w:adjustRightInd/>
              <w:snapToGrid w:val="0"/>
              <w:spacing w:line="360" w:lineRule="auto"/>
              <w:ind w:left="0" w:leftChars="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2</w:t>
            </w:r>
            <w:r>
              <w:rPr>
                <w:rFonts w:hint="eastAsia" w:cs="Times New Roman"/>
                <w:b/>
                <w:bCs/>
                <w:color w:val="auto"/>
                <w:kern w:val="0"/>
                <w:sz w:val="24"/>
                <w:highlight w:val="none"/>
                <w:lang w:val="en-US" w:eastAsia="zh-CN"/>
              </w:rPr>
              <w:t>.</w:t>
            </w:r>
            <w:r>
              <w:rPr>
                <w:rFonts w:hint="default" w:ascii="Times New Roman" w:hAnsi="Times New Roman" w:eastAsia="宋体" w:cs="Times New Roman"/>
                <w:b/>
                <w:bCs w:val="0"/>
                <w:color w:val="auto"/>
                <w:sz w:val="24"/>
                <w:highlight w:val="none"/>
                <w:lang w:val="en-US" w:eastAsia="zh-CN"/>
              </w:rPr>
              <w:t>噪声预测</w:t>
            </w:r>
          </w:p>
          <w:p w14:paraId="2071B74C">
            <w:pPr>
              <w:pageBreakBefore w:val="0"/>
              <w:widowControl w:val="0"/>
              <w:kinsoku/>
              <w:wordWrap/>
              <w:overflowPunct/>
              <w:topLinePunct w:val="0"/>
              <w:autoSpaceDE/>
              <w:autoSpaceDN/>
              <w:bidi w:val="0"/>
              <w:adjustRightInd/>
              <w:snapToGrid w:val="0"/>
              <w:spacing w:afterAutospacing="0" w:line="360" w:lineRule="auto"/>
              <w:ind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根据《环境影响评价技术导则 声环境》（HJ2.4-2021）中规定，声环境影响预测，在不能取得声源倍频带声功率级或倍频带声压级，只能获得A声功率级或某点的A声级时，可用A声功率级或某点的A声级计算。</w:t>
            </w:r>
          </w:p>
          <w:p w14:paraId="0EB01CA8">
            <w:pPr>
              <w:pageBreakBefore w:val="0"/>
              <w:widowControl w:val="0"/>
              <w:kinsoku/>
              <w:wordWrap/>
              <w:overflowPunct/>
              <w:topLinePunct w:val="0"/>
              <w:autoSpaceDE/>
              <w:autoSpaceDN/>
              <w:bidi w:val="0"/>
              <w:adjustRightInd/>
              <w:snapToGrid w:val="0"/>
              <w:spacing w:afterAutospacing="0" w:line="360" w:lineRule="auto"/>
              <w:ind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1）预测条件假设</w:t>
            </w:r>
          </w:p>
          <w:p w14:paraId="09340D7F">
            <w:pPr>
              <w:pageBreakBefore w:val="0"/>
              <w:widowControl w:val="0"/>
              <w:kinsoku/>
              <w:wordWrap/>
              <w:overflowPunct/>
              <w:topLinePunct w:val="0"/>
              <w:autoSpaceDE/>
              <w:autoSpaceDN/>
              <w:bidi w:val="0"/>
              <w:adjustRightInd/>
              <w:snapToGrid w:val="0"/>
              <w:spacing w:afterAutospacing="0" w:line="360" w:lineRule="auto"/>
              <w:ind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①</w:t>
            </w:r>
            <w:r>
              <w:rPr>
                <w:rFonts w:hint="default" w:ascii="Times New Roman" w:hAnsi="Times New Roman" w:eastAsia="宋体" w:cs="Times New Roman"/>
                <w:b w:val="0"/>
                <w:bCs/>
                <w:color w:val="auto"/>
                <w:sz w:val="24"/>
                <w:highlight w:val="none"/>
                <w:lang w:val="en-US" w:eastAsia="zh-CN"/>
              </w:rPr>
              <w:t xml:space="preserve"> </w:t>
            </w:r>
            <w:r>
              <w:rPr>
                <w:rFonts w:hint="default" w:ascii="Times New Roman" w:hAnsi="Times New Roman" w:eastAsia="宋体" w:cs="Times New Roman"/>
                <w:b w:val="0"/>
                <w:bCs/>
                <w:color w:val="auto"/>
                <w:sz w:val="24"/>
                <w:highlight w:val="none"/>
                <w:lang w:eastAsia="zh-CN"/>
              </w:rPr>
              <w:t>所有产噪设备均在正常工况条件下运行；</w:t>
            </w:r>
          </w:p>
          <w:p w14:paraId="37974A8E">
            <w:pPr>
              <w:pageBreakBefore w:val="0"/>
              <w:widowControl w:val="0"/>
              <w:kinsoku/>
              <w:wordWrap/>
              <w:overflowPunct/>
              <w:topLinePunct w:val="0"/>
              <w:autoSpaceDE/>
              <w:autoSpaceDN/>
              <w:bidi w:val="0"/>
              <w:adjustRightInd/>
              <w:snapToGrid w:val="0"/>
              <w:spacing w:afterAutospacing="0" w:line="360" w:lineRule="auto"/>
              <w:ind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②</w:t>
            </w:r>
            <w:r>
              <w:rPr>
                <w:rFonts w:hint="default" w:ascii="Times New Roman" w:hAnsi="Times New Roman" w:eastAsia="宋体" w:cs="Times New Roman"/>
                <w:b w:val="0"/>
                <w:bCs/>
                <w:color w:val="auto"/>
                <w:sz w:val="24"/>
                <w:highlight w:val="none"/>
                <w:lang w:val="en-US" w:eastAsia="zh-CN"/>
              </w:rPr>
              <w:t xml:space="preserve"> </w:t>
            </w:r>
            <w:r>
              <w:rPr>
                <w:rFonts w:hint="default" w:ascii="Times New Roman" w:hAnsi="Times New Roman" w:eastAsia="宋体" w:cs="Times New Roman"/>
                <w:b w:val="0"/>
                <w:bCs/>
                <w:color w:val="auto"/>
                <w:sz w:val="24"/>
                <w:highlight w:val="none"/>
                <w:lang w:eastAsia="zh-CN"/>
              </w:rPr>
              <w:t>墙的隔声量远大于门窗（围护结构）的隔声量；</w:t>
            </w:r>
          </w:p>
          <w:p w14:paraId="588A060E">
            <w:pPr>
              <w:pageBreakBefore w:val="0"/>
              <w:widowControl w:val="0"/>
              <w:kinsoku/>
              <w:wordWrap/>
              <w:overflowPunct/>
              <w:topLinePunct w:val="0"/>
              <w:autoSpaceDE/>
              <w:autoSpaceDN/>
              <w:bidi w:val="0"/>
              <w:adjustRightInd/>
              <w:snapToGrid w:val="0"/>
              <w:spacing w:afterAutospacing="0" w:line="360" w:lineRule="auto"/>
              <w:ind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③</w:t>
            </w:r>
            <w:r>
              <w:rPr>
                <w:rFonts w:hint="default" w:ascii="Times New Roman" w:hAnsi="Times New Roman" w:eastAsia="宋体" w:cs="Times New Roman"/>
                <w:b w:val="0"/>
                <w:bCs/>
                <w:color w:val="auto"/>
                <w:sz w:val="24"/>
                <w:highlight w:val="none"/>
                <w:lang w:val="en-US" w:eastAsia="zh-CN"/>
              </w:rPr>
              <w:t xml:space="preserve"> </w:t>
            </w:r>
            <w:r>
              <w:rPr>
                <w:rFonts w:hint="default" w:ascii="Times New Roman" w:hAnsi="Times New Roman" w:eastAsia="宋体" w:cs="Times New Roman"/>
                <w:b w:val="0"/>
                <w:bCs/>
                <w:color w:val="auto"/>
                <w:sz w:val="24"/>
                <w:highlight w:val="none"/>
                <w:lang w:eastAsia="zh-CN"/>
              </w:rPr>
              <w:t>考虑室内声源所在厂房围护结构的隔声、吸声作用；</w:t>
            </w:r>
          </w:p>
          <w:p w14:paraId="0C13FBA9">
            <w:pPr>
              <w:pageBreakBefore w:val="0"/>
              <w:widowControl w:val="0"/>
              <w:kinsoku/>
              <w:wordWrap/>
              <w:overflowPunct/>
              <w:topLinePunct w:val="0"/>
              <w:autoSpaceDE/>
              <w:autoSpaceDN/>
              <w:bidi w:val="0"/>
              <w:adjustRightInd/>
              <w:snapToGrid w:val="0"/>
              <w:spacing w:afterAutospacing="0" w:line="360" w:lineRule="auto"/>
              <w:ind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④噪声衰减仅考虑几何发散引起的衰减。</w:t>
            </w:r>
          </w:p>
          <w:p w14:paraId="0CF2FC10">
            <w:pPr>
              <w:pageBreakBefore w:val="0"/>
              <w:widowControl w:val="0"/>
              <w:kinsoku/>
              <w:wordWrap/>
              <w:overflowPunct/>
              <w:topLinePunct w:val="0"/>
              <w:autoSpaceDE/>
              <w:autoSpaceDN/>
              <w:bidi w:val="0"/>
              <w:adjustRightInd/>
              <w:snapToGrid w:val="0"/>
              <w:spacing w:afterAutospacing="0" w:line="360" w:lineRule="auto"/>
              <w:ind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2）室内声源</w:t>
            </w:r>
          </w:p>
          <w:p w14:paraId="7D0005D5">
            <w:pPr>
              <w:pageBreakBefore w:val="0"/>
              <w:widowControl w:val="0"/>
              <w:kinsoku/>
              <w:wordWrap/>
              <w:overflowPunct/>
              <w:topLinePunct w:val="0"/>
              <w:autoSpaceDE/>
              <w:autoSpaceDN/>
              <w:bidi w:val="0"/>
              <w:adjustRightInd/>
              <w:snapToGrid w:val="0"/>
              <w:spacing w:afterAutospacing="0" w:line="360" w:lineRule="auto"/>
              <w:ind w:firstLine="480" w:firstLineChars="200"/>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室内声源可采用等效室外声源声功率级法进行计算。室内声源等效室外声源声功率级的等效步骤如下：如图所示。</w:t>
            </w:r>
          </w:p>
          <w:p w14:paraId="7C4073C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color w:val="auto"/>
                <w:highlight w:val="none"/>
              </w:rPr>
              <w:drawing>
                <wp:inline distT="0" distB="0" distL="114300" distR="114300">
                  <wp:extent cx="3379470" cy="1466215"/>
                  <wp:effectExtent l="0" t="0" r="11430" b="635"/>
                  <wp:docPr id="4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 name="图片 1"/>
                          <pic:cNvPicPr>
                            <a:picLocks noChangeAspect="1"/>
                          </pic:cNvPicPr>
                        </pic:nvPicPr>
                        <pic:blipFill>
                          <a:blip r:embed="rId18"/>
                          <a:stretch>
                            <a:fillRect/>
                          </a:stretch>
                        </pic:blipFill>
                        <pic:spPr>
                          <a:xfrm>
                            <a:off x="0" y="0"/>
                            <a:ext cx="3379470" cy="1466215"/>
                          </a:xfrm>
                          <a:prstGeom prst="rect">
                            <a:avLst/>
                          </a:prstGeom>
                          <a:noFill/>
                          <a:ln>
                            <a:noFill/>
                          </a:ln>
                        </pic:spPr>
                      </pic:pic>
                    </a:graphicData>
                  </a:graphic>
                </wp:inline>
              </w:drawing>
            </w:r>
          </w:p>
          <w:p w14:paraId="2F909A3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图4</w:t>
            </w:r>
            <w:r>
              <w:rPr>
                <w:rFonts w:hint="default" w:ascii="Times New Roman" w:hAnsi="Times New Roman" w:eastAsia="宋体" w:cs="Times New Roman"/>
                <w:b/>
                <w:color w:val="auto"/>
                <w:sz w:val="21"/>
                <w:szCs w:val="21"/>
                <w:highlight w:val="none"/>
                <w:lang w:val="en-US" w:eastAsia="zh-CN"/>
              </w:rPr>
              <w:t>.3</w:t>
            </w:r>
            <w:r>
              <w:rPr>
                <w:rFonts w:hint="eastAsia"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室内声源等效为室外声源图例</w:t>
            </w:r>
          </w:p>
          <w:p w14:paraId="2587E7C8">
            <w:pPr>
              <w:pageBreakBefore w:val="0"/>
              <w:widowControl w:val="0"/>
              <w:kinsoku/>
              <w:wordWrap/>
              <w:overflowPunct/>
              <w:topLinePunct w:val="0"/>
              <w:autoSpaceDE/>
              <w:autoSpaceDN/>
              <w:bidi w:val="0"/>
              <w:adjustRightInd/>
              <w:snapToGrid w:val="0"/>
              <w:spacing w:afterAutospacing="0" w:line="360" w:lineRule="auto"/>
              <w:ind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①计算某一室内声源靠近围护结构处产生的倍频带声压级或A声级Lp1；</w:t>
            </w:r>
          </w:p>
          <w:p w14:paraId="26E46520">
            <w:pPr>
              <w:keepNext w:val="0"/>
              <w:keepLines w:val="0"/>
              <w:pageBreakBefore w:val="0"/>
              <w:widowControl w:val="0"/>
              <w:kinsoku/>
              <w:wordWrap/>
              <w:overflowPunct/>
              <w:topLinePunct w:val="0"/>
              <w:autoSpaceDE/>
              <w:autoSpaceDN/>
              <w:bidi w:val="0"/>
              <w:adjustRightInd/>
              <w:snapToGrid w:val="0"/>
              <w:spacing w:line="240" w:lineRule="auto"/>
              <w:ind w:left="420" w:leftChars="200" w:firstLine="0" w:firstLineChars="0"/>
              <w:jc w:val="center"/>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position w:val="-28"/>
                <w:sz w:val="24"/>
                <w:highlight w:val="none"/>
                <w:lang w:eastAsia="zh-CN"/>
              </w:rPr>
              <w:object>
                <v:shape id="_x0000_i1027" o:spt="75" type="#_x0000_t75" style="height:34pt;width:132.95pt;" o:ole="t" filled="f" o:preferrelative="t" stroked="f" coordsize="21600,21600">
                  <v:path/>
                  <v:fill on="f" focussize="0,0"/>
                  <v:stroke on="f"/>
                  <v:imagedata r:id="rId20" o:title=""/>
                  <o:lock v:ext="edit" aspectratio="t"/>
                  <w10:wrap type="none"/>
                  <w10:anchorlock/>
                </v:shape>
                <o:OLEObject Type="Embed" ProgID="Equation.KSEE3" ShapeID="_x0000_i1027" DrawAspect="Content" ObjectID="_1468075727" r:id="rId19">
                  <o:LockedField>false</o:LockedField>
                </o:OLEObject>
              </w:object>
            </w:r>
          </w:p>
          <w:p w14:paraId="43E0060E">
            <w:pPr>
              <w:pageBreakBefore w:val="0"/>
              <w:widowControl w:val="0"/>
              <w:kinsoku/>
              <w:wordWrap/>
              <w:overflowPunct/>
              <w:topLinePunct w:val="0"/>
              <w:autoSpaceDE/>
              <w:autoSpaceDN/>
              <w:bidi w:val="0"/>
              <w:adjustRightInd/>
              <w:snapToGrid w:val="0"/>
              <w:spacing w:afterAutospacing="0" w:line="360" w:lineRule="auto"/>
              <w:ind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式中：L</w:t>
            </w:r>
            <w:r>
              <w:rPr>
                <w:rFonts w:hint="default" w:ascii="Times New Roman" w:hAnsi="Times New Roman" w:eastAsia="宋体" w:cs="Times New Roman"/>
                <w:b w:val="0"/>
                <w:bCs/>
                <w:color w:val="auto"/>
                <w:sz w:val="24"/>
                <w:highlight w:val="none"/>
                <w:vertAlign w:val="subscript"/>
                <w:lang w:eastAsia="zh-CN"/>
              </w:rPr>
              <w:t>p1</w:t>
            </w:r>
            <w:r>
              <w:rPr>
                <w:rFonts w:hint="default" w:ascii="Times New Roman" w:hAnsi="Times New Roman" w:eastAsia="宋体" w:cs="Times New Roman"/>
                <w:b w:val="0"/>
                <w:bCs/>
                <w:color w:val="auto"/>
                <w:sz w:val="24"/>
                <w:highlight w:val="none"/>
                <w:lang w:eastAsia="zh-CN"/>
              </w:rPr>
              <w:t>——靠近开口处（或窗户）室内某倍频带的声压级或A声级</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dB；</w:t>
            </w:r>
          </w:p>
          <w:p w14:paraId="753A1BCE">
            <w:pPr>
              <w:pageBreakBefore w:val="0"/>
              <w:widowControl w:val="0"/>
              <w:kinsoku/>
              <w:wordWrap/>
              <w:overflowPunct/>
              <w:topLinePunct w:val="0"/>
              <w:autoSpaceDE/>
              <w:autoSpaceDN/>
              <w:bidi w:val="0"/>
              <w:adjustRightInd/>
              <w:snapToGrid w:val="0"/>
              <w:spacing w:afterAutospacing="0" w:line="360" w:lineRule="auto"/>
              <w:ind w:left="0" w:leftChars="0" w:firstLine="1200" w:firstLineChars="5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w:t>
            </w:r>
            <w:r>
              <w:rPr>
                <w:rFonts w:hint="default" w:ascii="Times New Roman" w:hAnsi="Times New Roman" w:eastAsia="宋体" w:cs="Times New Roman"/>
                <w:b w:val="0"/>
                <w:bCs/>
                <w:color w:val="auto"/>
                <w:sz w:val="24"/>
                <w:highlight w:val="none"/>
                <w:vertAlign w:val="subscript"/>
                <w:lang w:eastAsia="zh-CN"/>
              </w:rPr>
              <w:t>w</w:t>
            </w:r>
            <w:r>
              <w:rPr>
                <w:rFonts w:hint="default" w:ascii="Times New Roman" w:hAnsi="Times New Roman" w:eastAsia="宋体" w:cs="Times New Roman"/>
                <w:b w:val="0"/>
                <w:bCs/>
                <w:color w:val="auto"/>
                <w:sz w:val="24"/>
                <w:highlight w:val="none"/>
                <w:lang w:eastAsia="zh-CN"/>
              </w:rPr>
              <w:t>——点声源声功率级（A计权或倍频带）</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dB；</w:t>
            </w:r>
          </w:p>
          <w:p w14:paraId="76615879">
            <w:pPr>
              <w:pageBreakBefore w:val="0"/>
              <w:widowControl w:val="0"/>
              <w:kinsoku/>
              <w:wordWrap/>
              <w:overflowPunct/>
              <w:topLinePunct w:val="0"/>
              <w:autoSpaceDE/>
              <w:autoSpaceDN/>
              <w:bidi w:val="0"/>
              <w:adjustRightInd/>
              <w:snapToGrid w:val="0"/>
              <w:spacing w:afterAutospacing="0" w:line="360" w:lineRule="auto"/>
              <w:ind w:firstLine="1200" w:firstLineChars="5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Q——指向性因数；通常对无指向性声源，当声源放在房间中心时，Q=1；当放在一面墙的中心时，Q=2；当放在两面墙夹角处时，Q=4；当放在三面墙夹角处时，Q=8；</w:t>
            </w:r>
          </w:p>
          <w:p w14:paraId="2B19D085">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R——房间常数；R=Sα/（1-α），S 为房间内表面面积，m</w:t>
            </w:r>
            <w:r>
              <w:rPr>
                <w:rFonts w:hint="default" w:ascii="Times New Roman" w:hAnsi="Times New Roman" w:eastAsia="宋体" w:cs="Times New Roman"/>
                <w:b w:val="0"/>
                <w:bCs/>
                <w:color w:val="auto"/>
                <w:sz w:val="24"/>
                <w:highlight w:val="none"/>
                <w:vertAlign w:val="superscript"/>
                <w:lang w:eastAsia="zh-CN"/>
              </w:rPr>
              <w:t>2</w:t>
            </w:r>
            <w:r>
              <w:rPr>
                <w:rFonts w:hint="default" w:ascii="Times New Roman" w:hAnsi="Times New Roman" w:eastAsia="宋体" w:cs="Times New Roman"/>
                <w:b w:val="0"/>
                <w:bCs/>
                <w:color w:val="auto"/>
                <w:sz w:val="24"/>
                <w:highlight w:val="none"/>
                <w:lang w:eastAsia="zh-CN"/>
              </w:rPr>
              <w:t>；α为平均吸声系数，本评价α取0.15；</w:t>
            </w:r>
          </w:p>
          <w:p w14:paraId="6CFF6398">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r——声源到靠近围护结构某点处的距离</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m。</w:t>
            </w:r>
          </w:p>
          <w:p w14:paraId="53884B47">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②计算出室内声源在室外产生的倍频带声压级或A声级L</w:t>
            </w:r>
            <w:r>
              <w:rPr>
                <w:rFonts w:hint="default" w:ascii="Times New Roman" w:hAnsi="Times New Roman" w:eastAsia="宋体" w:cs="Times New Roman"/>
                <w:b w:val="0"/>
                <w:bCs/>
                <w:color w:val="auto"/>
                <w:sz w:val="24"/>
                <w:highlight w:val="none"/>
                <w:vertAlign w:val="subscript"/>
                <w:lang w:eastAsia="zh-CN"/>
              </w:rPr>
              <w:t>p2</w:t>
            </w:r>
            <w:r>
              <w:rPr>
                <w:rFonts w:hint="default" w:ascii="Times New Roman" w:hAnsi="Times New Roman" w:eastAsia="宋体" w:cs="Times New Roman"/>
                <w:b w:val="0"/>
                <w:bCs/>
                <w:color w:val="auto"/>
                <w:sz w:val="24"/>
                <w:highlight w:val="none"/>
                <w:lang w:eastAsia="zh-CN"/>
              </w:rPr>
              <w:t>；</w:t>
            </w:r>
          </w:p>
          <w:p w14:paraId="764BA2A5">
            <w:pPr>
              <w:pageBreakBefore w:val="0"/>
              <w:widowControl w:val="0"/>
              <w:kinsoku/>
              <w:wordWrap/>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b/>
                <w:bCs w:val="0"/>
                <w:color w:val="auto"/>
                <w:position w:val="-14"/>
                <w:sz w:val="24"/>
                <w:highlight w:val="none"/>
                <w:lang w:eastAsia="zh-CN"/>
              </w:rPr>
            </w:pPr>
            <w:r>
              <w:rPr>
                <w:rFonts w:hint="default" w:ascii="Times New Roman" w:hAnsi="Times New Roman" w:eastAsia="宋体" w:cs="Times New Roman"/>
                <w:b/>
                <w:bCs w:val="0"/>
                <w:color w:val="auto"/>
                <w:position w:val="-14"/>
                <w:sz w:val="24"/>
                <w:highlight w:val="none"/>
                <w:lang w:eastAsia="zh-CN"/>
              </w:rPr>
              <w:object>
                <v:shape id="_x0000_i1028" o:spt="75" type="#_x0000_t75" style="height:19pt;width:96pt;" o:ole="t" filled="f" o:preferrelative="t" stroked="f" coordsize="21600,21600">
                  <v:path/>
                  <v:fill on="f" focussize="0,0"/>
                  <v:stroke on="f"/>
                  <v:imagedata r:id="rId22" o:title=""/>
                  <o:lock v:ext="edit" aspectratio="t"/>
                  <w10:wrap type="none"/>
                  <w10:anchorlock/>
                </v:shape>
                <o:OLEObject Type="Embed" ProgID="Equation.KSEE3" ShapeID="_x0000_i1028" DrawAspect="Content" ObjectID="_1468075728" r:id="rId21">
                  <o:LockedField>false</o:LockedField>
                </o:OLEObject>
              </w:object>
            </w:r>
          </w:p>
          <w:p w14:paraId="02C576E8">
            <w:pPr>
              <w:pageBreakBefore w:val="0"/>
              <w:widowControl w:val="0"/>
              <w:kinsoku/>
              <w:wordWrap/>
              <w:overflowPunct/>
              <w:topLinePunct w:val="0"/>
              <w:autoSpaceDE/>
              <w:autoSpaceDN/>
              <w:bidi w:val="0"/>
              <w:adjustRightInd/>
              <w:snapToGrid w:val="0"/>
              <w:spacing w:afterAutospacing="0" w:line="360" w:lineRule="auto"/>
              <w:ind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式中：</w:t>
            </w:r>
          </w:p>
          <w:p w14:paraId="44830851">
            <w:pPr>
              <w:pageBreakBefore w:val="0"/>
              <w:widowControl w:val="0"/>
              <w:kinsoku/>
              <w:wordWrap/>
              <w:overflowPunct/>
              <w:topLinePunct w:val="0"/>
              <w:autoSpaceDE/>
              <w:autoSpaceDN/>
              <w:bidi w:val="0"/>
              <w:adjustRightInd/>
              <w:snapToGrid w:val="0"/>
              <w:spacing w:afterAutospacing="0" w:line="360" w:lineRule="auto"/>
              <w:ind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w:t>
            </w:r>
            <w:r>
              <w:rPr>
                <w:rFonts w:hint="default" w:ascii="Times New Roman" w:hAnsi="Times New Roman" w:eastAsia="宋体" w:cs="Times New Roman"/>
                <w:b w:val="0"/>
                <w:bCs/>
                <w:color w:val="auto"/>
                <w:sz w:val="24"/>
                <w:highlight w:val="none"/>
                <w:vertAlign w:val="subscript"/>
                <w:lang w:eastAsia="zh-CN"/>
              </w:rPr>
              <w:t>p1</w:t>
            </w:r>
            <w:r>
              <w:rPr>
                <w:rFonts w:hint="default" w:ascii="Times New Roman" w:hAnsi="Times New Roman" w:eastAsia="宋体" w:cs="Times New Roman"/>
                <w:b w:val="0"/>
                <w:bCs/>
                <w:color w:val="auto"/>
                <w:sz w:val="24"/>
                <w:highlight w:val="none"/>
                <w:lang w:eastAsia="zh-CN"/>
              </w:rPr>
              <w:t>——靠近开口处（或窗户）室内某倍频带声压级或A声级</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dB；</w:t>
            </w:r>
          </w:p>
          <w:p w14:paraId="4CF291A6">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w:t>
            </w:r>
            <w:r>
              <w:rPr>
                <w:rFonts w:hint="default" w:ascii="Times New Roman" w:hAnsi="Times New Roman" w:eastAsia="宋体" w:cs="Times New Roman"/>
                <w:b w:val="0"/>
                <w:bCs/>
                <w:color w:val="auto"/>
                <w:sz w:val="24"/>
                <w:highlight w:val="none"/>
                <w:vertAlign w:val="subscript"/>
                <w:lang w:eastAsia="zh-CN"/>
              </w:rPr>
              <w:t>p2</w:t>
            </w:r>
            <w:r>
              <w:rPr>
                <w:rFonts w:hint="default" w:ascii="Times New Roman" w:hAnsi="Times New Roman" w:eastAsia="宋体" w:cs="Times New Roman"/>
                <w:b w:val="0"/>
                <w:bCs/>
                <w:color w:val="auto"/>
                <w:sz w:val="24"/>
                <w:highlight w:val="none"/>
                <w:lang w:eastAsia="zh-CN"/>
              </w:rPr>
              <w:t>——靠近开口处（或窗户）室外某倍频带声压级或A声级</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dB；</w:t>
            </w:r>
          </w:p>
          <w:p w14:paraId="7BE8C102">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TL——隔墙（或窗户）倍频带或A声功率级的隔声量</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dB。</w:t>
            </w:r>
          </w:p>
          <w:p w14:paraId="1D8E945B">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③将室外声源的声压级和透过面积换算成等效的室外声源，计算出中心位置位于透声面积（S）处的等效声源的倍频带声功率级。</w:t>
            </w:r>
          </w:p>
          <w:p w14:paraId="62E76FCE">
            <w:pPr>
              <w:pageBreakBefore w:val="0"/>
              <w:widowControl w:val="0"/>
              <w:kinsoku/>
              <w:wordWrap/>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b/>
                <w:bCs w:val="0"/>
                <w:color w:val="auto"/>
                <w:position w:val="-14"/>
                <w:sz w:val="24"/>
                <w:highlight w:val="none"/>
                <w:lang w:eastAsia="zh-CN"/>
              </w:rPr>
            </w:pPr>
            <w:r>
              <w:rPr>
                <w:rFonts w:hint="default" w:ascii="Times New Roman" w:hAnsi="Times New Roman" w:eastAsia="宋体" w:cs="Times New Roman"/>
                <w:b/>
                <w:bCs w:val="0"/>
                <w:color w:val="auto"/>
                <w:position w:val="-14"/>
                <w:sz w:val="24"/>
                <w:highlight w:val="none"/>
                <w:lang w:eastAsia="zh-CN"/>
              </w:rPr>
              <w:object>
                <v:shape id="_x0000_i1029" o:spt="75" type="#_x0000_t75" style="height:19pt;width:95pt;" o:ole="t" filled="f" o:preferrelative="t" stroked="f" coordsize="21600,21600">
                  <v:path/>
                  <v:fill on="f" focussize="0,0"/>
                  <v:stroke on="f"/>
                  <v:imagedata r:id="rId24" o:title=""/>
                  <o:lock v:ext="edit" aspectratio="t"/>
                  <w10:wrap type="none"/>
                  <w10:anchorlock/>
                </v:shape>
                <o:OLEObject Type="Embed" ProgID="Equation.KSEE3" ShapeID="_x0000_i1029" DrawAspect="Content" ObjectID="_1468075729" r:id="rId23">
                  <o:LockedField>false</o:LockedField>
                </o:OLEObject>
              </w:object>
            </w:r>
          </w:p>
          <w:p w14:paraId="6F3EEC4E">
            <w:pPr>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式中：</w:t>
            </w:r>
          </w:p>
          <w:p w14:paraId="2EA5289D">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Lw——中心位置位于透声面积（S）处的等效声源的倍频带声功率级</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dB；</w:t>
            </w:r>
          </w:p>
          <w:p w14:paraId="3206B650">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w:t>
            </w:r>
            <w:r>
              <w:rPr>
                <w:rFonts w:hint="default" w:ascii="Times New Roman" w:hAnsi="Times New Roman" w:eastAsia="宋体" w:cs="Times New Roman"/>
                <w:b w:val="0"/>
                <w:bCs/>
                <w:color w:val="auto"/>
                <w:sz w:val="24"/>
                <w:highlight w:val="none"/>
                <w:vertAlign w:val="subscript"/>
                <w:lang w:eastAsia="zh-CN"/>
              </w:rPr>
              <w:t>p2</w:t>
            </w:r>
            <w:r>
              <w:rPr>
                <w:rFonts w:hint="default" w:ascii="Times New Roman" w:hAnsi="Times New Roman" w:eastAsia="宋体" w:cs="Times New Roman"/>
                <w:b w:val="0"/>
                <w:bCs/>
                <w:color w:val="auto"/>
                <w:sz w:val="24"/>
                <w:highlight w:val="none"/>
                <w:lang w:eastAsia="zh-CN"/>
              </w:rPr>
              <w:t>（T）——靠近围护结构处室外声源的声压级</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dB；</w:t>
            </w:r>
          </w:p>
          <w:p w14:paraId="6E481A60">
            <w:pPr>
              <w:pStyle w:val="2"/>
              <w:pageBreakBefore w:val="0"/>
              <w:widowControl w:val="0"/>
              <w:kinsoku/>
              <w:wordWrap/>
              <w:overflowPunct/>
              <w:topLinePunct w:val="0"/>
              <w:autoSpaceDE/>
              <w:autoSpaceDN/>
              <w:bidi w:val="0"/>
              <w:adjustRightInd/>
              <w:snapToGrid w:val="0"/>
              <w:spacing w:after="0"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S——透声面积</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m</w:t>
            </w:r>
            <w:r>
              <w:rPr>
                <w:rFonts w:hint="default" w:ascii="Times New Roman" w:hAnsi="Times New Roman" w:eastAsia="宋体" w:cs="Times New Roman"/>
                <w:b w:val="0"/>
                <w:bCs/>
                <w:color w:val="auto"/>
                <w:sz w:val="24"/>
                <w:highlight w:val="none"/>
                <w:vertAlign w:val="superscript"/>
                <w:lang w:eastAsia="zh-CN"/>
              </w:rPr>
              <w:t>2</w:t>
            </w:r>
            <w:r>
              <w:rPr>
                <w:rFonts w:hint="default" w:ascii="Times New Roman" w:hAnsi="Times New Roman" w:eastAsia="宋体" w:cs="Times New Roman"/>
                <w:b w:val="0"/>
                <w:bCs/>
                <w:color w:val="auto"/>
                <w:sz w:val="24"/>
                <w:highlight w:val="none"/>
                <w:lang w:eastAsia="zh-CN"/>
              </w:rPr>
              <w:t>。</w:t>
            </w:r>
          </w:p>
          <w:p w14:paraId="5B8F94F3">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3）室外声源</w:t>
            </w:r>
          </w:p>
          <w:p w14:paraId="208BEF62">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计算某个声源在预测点的声压级：</w:t>
            </w:r>
          </w:p>
          <w:p w14:paraId="382BE7FB">
            <w:pPr>
              <w:pStyle w:val="8"/>
              <w:pageBreakBefore w:val="0"/>
              <w:widowControl w:val="0"/>
              <w:kinsoku/>
              <w:wordWrap/>
              <w:overflowPunct/>
              <w:topLinePunct w:val="0"/>
              <w:autoSpaceDE/>
              <w:autoSpaceDN/>
              <w:bidi w:val="0"/>
              <w:adjustRightInd/>
              <w:snapToGrid w:val="0"/>
              <w:spacing w:after="0" w:afterAutospacing="0" w:line="360" w:lineRule="auto"/>
              <w:ind w:left="0" w:leftChars="0" w:firstLine="0" w:firstLineChars="0"/>
              <w:jc w:val="center"/>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position w:val="-14"/>
                <w:sz w:val="24"/>
                <w:highlight w:val="none"/>
                <w:lang w:eastAsia="zh-CN"/>
              </w:rPr>
              <w:object>
                <v:shape id="_x0000_i1030" o:spt="75" type="#_x0000_t75" style="height:19pt;width:254pt;" o:ole="t" filled="f" o:preferrelative="t" stroked="f" coordsize="21600,21600">
                  <v:path/>
                  <v:fill on="f" focussize="0,0"/>
                  <v:stroke on="f"/>
                  <v:imagedata r:id="rId26" o:title=""/>
                  <o:lock v:ext="edit" aspectratio="t"/>
                  <w10:wrap type="none"/>
                  <w10:anchorlock/>
                </v:shape>
                <o:OLEObject Type="Embed" ProgID="Equation.KSEE3" ShapeID="_x0000_i1030" DrawAspect="Content" ObjectID="_1468075730" r:id="rId25">
                  <o:LockedField>false</o:LockedField>
                </o:OLEObject>
              </w:object>
            </w:r>
          </w:p>
          <w:p w14:paraId="18E1E9CA">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式中：</w:t>
            </w:r>
          </w:p>
          <w:p w14:paraId="5B7E69F0">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w:t>
            </w:r>
            <w:r>
              <w:rPr>
                <w:rFonts w:hint="default" w:ascii="Times New Roman" w:hAnsi="Times New Roman" w:eastAsia="宋体" w:cs="Times New Roman"/>
                <w:b w:val="0"/>
                <w:bCs/>
                <w:color w:val="auto"/>
                <w:sz w:val="24"/>
                <w:highlight w:val="none"/>
                <w:vertAlign w:val="subscript"/>
                <w:lang w:eastAsia="zh-CN"/>
              </w:rPr>
              <w:t>p</w:t>
            </w:r>
            <w:r>
              <w:rPr>
                <w:rFonts w:hint="default" w:ascii="Times New Roman" w:hAnsi="Times New Roman" w:eastAsia="宋体" w:cs="Times New Roman"/>
                <w:b w:val="0"/>
                <w:bCs/>
                <w:color w:val="auto"/>
                <w:sz w:val="24"/>
                <w:highlight w:val="none"/>
                <w:vertAlign w:val="baseline"/>
                <w:lang w:eastAsia="zh-CN"/>
              </w:rPr>
              <w:t>（r）</w:t>
            </w:r>
            <w:r>
              <w:rPr>
                <w:rFonts w:hint="default" w:ascii="Times New Roman" w:hAnsi="Times New Roman" w:eastAsia="宋体" w:cs="Times New Roman"/>
                <w:b w:val="0"/>
                <w:bCs/>
                <w:color w:val="auto"/>
                <w:sz w:val="24"/>
                <w:highlight w:val="none"/>
                <w:lang w:eastAsia="zh-CN"/>
              </w:rPr>
              <w:t>——预测点处</w:t>
            </w:r>
            <w:r>
              <w:rPr>
                <w:rFonts w:hint="eastAsia"/>
                <w:sz w:val="24"/>
                <w:szCs w:val="24"/>
                <w:lang w:val="en-US" w:eastAsia="zh-CN"/>
              </w:rPr>
              <w:t>的</w:t>
            </w:r>
            <w:r>
              <w:rPr>
                <w:rFonts w:hint="default" w:ascii="Times New Roman" w:hAnsi="Times New Roman" w:eastAsia="宋体" w:cs="Times New Roman"/>
                <w:b w:val="0"/>
                <w:bCs/>
                <w:color w:val="auto"/>
                <w:sz w:val="24"/>
                <w:highlight w:val="none"/>
                <w:lang w:eastAsia="zh-CN"/>
              </w:rPr>
              <w:t>声压级</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dB；</w:t>
            </w:r>
          </w:p>
          <w:p w14:paraId="0B09216E">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w:t>
            </w:r>
            <w:r>
              <w:rPr>
                <w:rFonts w:hint="default" w:ascii="Times New Roman" w:hAnsi="Times New Roman" w:eastAsia="宋体" w:cs="Times New Roman"/>
                <w:b w:val="0"/>
                <w:bCs/>
                <w:color w:val="auto"/>
                <w:sz w:val="24"/>
                <w:highlight w:val="none"/>
                <w:vertAlign w:val="subscript"/>
                <w:lang w:eastAsia="zh-CN"/>
              </w:rPr>
              <w:t>p（r0）</w:t>
            </w:r>
            <w:r>
              <w:rPr>
                <w:rFonts w:hint="default" w:ascii="Times New Roman" w:hAnsi="Times New Roman" w:eastAsia="宋体" w:cs="Times New Roman"/>
                <w:b w:val="0"/>
                <w:bCs/>
                <w:color w:val="auto"/>
                <w:sz w:val="24"/>
                <w:highlight w:val="none"/>
                <w:lang w:eastAsia="zh-CN"/>
              </w:rPr>
              <w:t>——参考位置r0处的声压级</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dB；</w:t>
            </w:r>
          </w:p>
          <w:p w14:paraId="0C29A988">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D</w:t>
            </w:r>
            <w:r>
              <w:rPr>
                <w:rFonts w:hint="default" w:ascii="Times New Roman" w:hAnsi="Times New Roman" w:eastAsia="宋体" w:cs="Times New Roman"/>
                <w:b w:val="0"/>
                <w:bCs/>
                <w:color w:val="auto"/>
                <w:sz w:val="24"/>
                <w:highlight w:val="none"/>
                <w:vertAlign w:val="subscript"/>
                <w:lang w:eastAsia="zh-CN"/>
              </w:rPr>
              <w:t>C</w:t>
            </w:r>
            <w:r>
              <w:rPr>
                <w:rFonts w:hint="default" w:ascii="Times New Roman" w:hAnsi="Times New Roman" w:eastAsia="宋体" w:cs="Times New Roman"/>
                <w:b w:val="0"/>
                <w:bCs/>
                <w:color w:val="auto"/>
                <w:sz w:val="24"/>
                <w:highlight w:val="none"/>
                <w:lang w:eastAsia="zh-CN"/>
              </w:rPr>
              <w:t>——指向性校正，它描述点声源的等效连续声压级与产生声功率级Lw的全向点声源在规定方向的声级的偏差程度</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dB；</w:t>
            </w:r>
          </w:p>
          <w:p w14:paraId="48DD1BB2">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A</w:t>
            </w:r>
            <w:r>
              <w:rPr>
                <w:rFonts w:hint="default" w:ascii="Times New Roman" w:hAnsi="Times New Roman" w:eastAsia="宋体" w:cs="Times New Roman"/>
                <w:b w:val="0"/>
                <w:bCs/>
                <w:color w:val="auto"/>
                <w:sz w:val="24"/>
                <w:highlight w:val="none"/>
                <w:vertAlign w:val="subscript"/>
                <w:lang w:eastAsia="zh-CN"/>
              </w:rPr>
              <w:t>div</w:t>
            </w:r>
            <w:r>
              <w:rPr>
                <w:rFonts w:hint="default" w:ascii="Times New Roman" w:hAnsi="Times New Roman" w:eastAsia="宋体" w:cs="Times New Roman"/>
                <w:b w:val="0"/>
                <w:bCs/>
                <w:color w:val="auto"/>
                <w:sz w:val="24"/>
                <w:highlight w:val="none"/>
                <w:lang w:eastAsia="zh-CN"/>
              </w:rPr>
              <w:t>——几何发散引起的衰减</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dB；</w:t>
            </w:r>
          </w:p>
          <w:p w14:paraId="4B45F898">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A</w:t>
            </w:r>
            <w:r>
              <w:rPr>
                <w:rFonts w:hint="default" w:ascii="Times New Roman" w:hAnsi="Times New Roman" w:eastAsia="宋体" w:cs="Times New Roman"/>
                <w:b w:val="0"/>
                <w:bCs/>
                <w:color w:val="auto"/>
                <w:sz w:val="24"/>
                <w:highlight w:val="none"/>
                <w:vertAlign w:val="subscript"/>
                <w:lang w:eastAsia="zh-CN"/>
              </w:rPr>
              <w:t>atm</w:t>
            </w:r>
            <w:r>
              <w:rPr>
                <w:rFonts w:hint="default" w:ascii="Times New Roman" w:hAnsi="Times New Roman" w:eastAsia="宋体" w:cs="Times New Roman"/>
                <w:b w:val="0"/>
                <w:bCs/>
                <w:color w:val="auto"/>
                <w:sz w:val="24"/>
                <w:highlight w:val="none"/>
                <w:lang w:eastAsia="zh-CN"/>
              </w:rPr>
              <w:t>——大气吸收引起的衰减</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dB；</w:t>
            </w:r>
          </w:p>
          <w:p w14:paraId="3FF690DC">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A</w:t>
            </w:r>
            <w:r>
              <w:rPr>
                <w:rFonts w:hint="default" w:ascii="Times New Roman" w:hAnsi="Times New Roman" w:eastAsia="宋体" w:cs="Times New Roman"/>
                <w:b w:val="0"/>
                <w:bCs/>
                <w:color w:val="auto"/>
                <w:sz w:val="24"/>
                <w:highlight w:val="none"/>
                <w:vertAlign w:val="subscript"/>
                <w:lang w:eastAsia="zh-CN"/>
              </w:rPr>
              <w:t>gr</w:t>
            </w:r>
            <w:r>
              <w:rPr>
                <w:rFonts w:hint="default" w:ascii="Times New Roman" w:hAnsi="Times New Roman" w:eastAsia="宋体" w:cs="Times New Roman"/>
                <w:b w:val="0"/>
                <w:bCs/>
                <w:color w:val="auto"/>
                <w:sz w:val="24"/>
                <w:highlight w:val="none"/>
                <w:lang w:eastAsia="zh-CN"/>
              </w:rPr>
              <w:t>——地面效应引起的衰减</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dB；</w:t>
            </w:r>
          </w:p>
          <w:p w14:paraId="0790B101">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A</w:t>
            </w:r>
            <w:r>
              <w:rPr>
                <w:rFonts w:hint="default" w:ascii="Times New Roman" w:hAnsi="Times New Roman" w:eastAsia="宋体" w:cs="Times New Roman"/>
                <w:b w:val="0"/>
                <w:bCs/>
                <w:color w:val="auto"/>
                <w:sz w:val="24"/>
                <w:highlight w:val="none"/>
                <w:vertAlign w:val="subscript"/>
                <w:lang w:eastAsia="zh-CN"/>
              </w:rPr>
              <w:t>bar</w:t>
            </w:r>
            <w:r>
              <w:rPr>
                <w:rFonts w:hint="default" w:ascii="Times New Roman" w:hAnsi="Times New Roman" w:eastAsia="宋体" w:cs="Times New Roman"/>
                <w:b w:val="0"/>
                <w:bCs/>
                <w:color w:val="auto"/>
                <w:sz w:val="24"/>
                <w:highlight w:val="none"/>
                <w:lang w:eastAsia="zh-CN"/>
              </w:rPr>
              <w:t>——障碍物屏蔽引起的衰减</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dB；</w:t>
            </w:r>
          </w:p>
          <w:p w14:paraId="22E73B9C">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A</w:t>
            </w:r>
            <w:r>
              <w:rPr>
                <w:rFonts w:hint="default" w:ascii="Times New Roman" w:hAnsi="Times New Roman" w:eastAsia="宋体" w:cs="Times New Roman"/>
                <w:b w:val="0"/>
                <w:bCs/>
                <w:color w:val="auto"/>
                <w:sz w:val="24"/>
                <w:highlight w:val="none"/>
                <w:vertAlign w:val="subscript"/>
                <w:lang w:eastAsia="zh-CN"/>
              </w:rPr>
              <w:t>misc</w:t>
            </w:r>
            <w:r>
              <w:rPr>
                <w:rFonts w:hint="default" w:ascii="Times New Roman" w:hAnsi="Times New Roman" w:eastAsia="宋体" w:cs="Times New Roman"/>
                <w:b w:val="0"/>
                <w:bCs/>
                <w:color w:val="auto"/>
                <w:sz w:val="24"/>
                <w:highlight w:val="none"/>
                <w:lang w:eastAsia="zh-CN"/>
              </w:rPr>
              <w:t>——其他多方面效应引起的衰减</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dB。</w:t>
            </w:r>
          </w:p>
          <w:p w14:paraId="316134DB">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点声源的几何发散衰减Adiv表征如下：</w:t>
            </w:r>
          </w:p>
          <w:p w14:paraId="42DA0767">
            <w:pPr>
              <w:pStyle w:val="8"/>
              <w:pageBreakBefore w:val="0"/>
              <w:widowControl w:val="0"/>
              <w:kinsoku/>
              <w:wordWrap/>
              <w:overflowPunct/>
              <w:topLinePunct w:val="0"/>
              <w:autoSpaceDE/>
              <w:autoSpaceDN/>
              <w:bidi w:val="0"/>
              <w:adjustRightInd/>
              <w:snapToGrid w:val="0"/>
              <w:spacing w:after="0" w:afterAutospacing="0" w:line="360" w:lineRule="auto"/>
              <w:ind w:left="0" w:leftChars="0" w:firstLine="0" w:firstLineChars="0"/>
              <w:jc w:val="center"/>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bCs w:val="0"/>
                <w:color w:val="auto"/>
                <w:position w:val="-14"/>
                <w:sz w:val="24"/>
                <w:highlight w:val="none"/>
                <w:lang w:eastAsia="zh-CN"/>
              </w:rPr>
              <w:object>
                <v:shape id="_x0000_i1031" o:spt="75" type="#_x0000_t75" style="height:19pt;width:139.95pt;" o:ole="t" filled="f" o:preferrelative="t" stroked="f" coordsize="21600,21600">
                  <v:path/>
                  <v:fill on="f" focussize="0,0"/>
                  <v:stroke on="f"/>
                  <v:imagedata r:id="rId28" o:title=""/>
                  <o:lock v:ext="edit" aspectratio="t"/>
                  <w10:wrap type="none"/>
                  <w10:anchorlock/>
                </v:shape>
                <o:OLEObject Type="Embed" ProgID="Equation.KSEE3" ShapeID="_x0000_i1031" DrawAspect="Content" ObjectID="_1468075731" r:id="rId27">
                  <o:LockedField>false</o:LockedField>
                </o:OLEObject>
              </w:object>
            </w:r>
          </w:p>
          <w:p w14:paraId="3C17C9B7">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式中：</w:t>
            </w:r>
          </w:p>
          <w:p w14:paraId="7BA83480">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Lp（r）——预测点处的声压级</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dB；</w:t>
            </w:r>
          </w:p>
          <w:p w14:paraId="7FFEC761">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Lp（r0）——参考位置r0处的声压级</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dB；</w:t>
            </w:r>
          </w:p>
          <w:p w14:paraId="0AA77570">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r0——参考位置距声源的距离</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m；</w:t>
            </w:r>
          </w:p>
          <w:p w14:paraId="52441E58">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r——预测点距声源的距离</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m；</w:t>
            </w:r>
          </w:p>
          <w:p w14:paraId="2DEC1766">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若已知点声源的倍频带声功率级或A计权声功率级（L</w:t>
            </w:r>
            <w:r>
              <w:rPr>
                <w:rFonts w:hint="default" w:ascii="Times New Roman" w:hAnsi="Times New Roman" w:eastAsia="宋体" w:cs="Times New Roman"/>
                <w:b w:val="0"/>
                <w:bCs/>
                <w:color w:val="auto"/>
                <w:sz w:val="24"/>
                <w:highlight w:val="none"/>
                <w:vertAlign w:val="subscript"/>
                <w:lang w:eastAsia="zh-CN"/>
              </w:rPr>
              <w:t>Aw</w:t>
            </w:r>
            <w:r>
              <w:rPr>
                <w:rFonts w:hint="default" w:ascii="Times New Roman" w:hAnsi="Times New Roman" w:eastAsia="宋体" w:cs="Times New Roman"/>
                <w:b w:val="0"/>
                <w:bCs/>
                <w:color w:val="auto"/>
                <w:sz w:val="24"/>
                <w:highlight w:val="none"/>
                <w:lang w:eastAsia="zh-CN"/>
              </w:rPr>
              <w:t>），且声源位于刚性地面上（半自由声场），则：</w:t>
            </w:r>
          </w:p>
          <w:p w14:paraId="6FAAE349">
            <w:pPr>
              <w:pStyle w:val="8"/>
              <w:pageBreakBefore w:val="0"/>
              <w:widowControl w:val="0"/>
              <w:kinsoku/>
              <w:wordWrap/>
              <w:overflowPunct/>
              <w:topLinePunct w:val="0"/>
              <w:autoSpaceDE/>
              <w:autoSpaceDN/>
              <w:bidi w:val="0"/>
              <w:adjustRightInd/>
              <w:snapToGrid w:val="0"/>
              <w:spacing w:after="0" w:afterAutospacing="0" w:line="360" w:lineRule="auto"/>
              <w:jc w:val="center"/>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position w:val="-14"/>
                <w:sz w:val="24"/>
                <w:highlight w:val="none"/>
                <w:lang w:eastAsia="zh-CN"/>
              </w:rPr>
              <w:object>
                <v:shape id="_x0000_i1032" o:spt="75" type="#_x0000_t75" style="height:19pt;width:229.95pt;" o:ole="t" filled="f" o:preferrelative="t" stroked="f" coordsize="21600,21600">
                  <v:path/>
                  <v:fill on="f" focussize="0,0"/>
                  <v:stroke on="f"/>
                  <v:imagedata r:id="rId30" o:title=""/>
                  <o:lock v:ext="edit" aspectratio="t"/>
                  <w10:wrap type="none"/>
                  <w10:anchorlock/>
                </v:shape>
                <o:OLEObject Type="Embed" ProgID="Equation.KSEE3" ShapeID="_x0000_i1032" DrawAspect="Content" ObjectID="_1468075732" r:id="rId29">
                  <o:LockedField>false</o:LockedField>
                </o:OLEObject>
              </w:object>
            </w:r>
          </w:p>
          <w:p w14:paraId="207B254E">
            <w:pPr>
              <w:pageBreakBefore w:val="0"/>
              <w:widowControl w:val="0"/>
              <w:kinsoku/>
              <w:wordWrap/>
              <w:overflowPunct/>
              <w:topLinePunct w:val="0"/>
              <w:autoSpaceDE/>
              <w:autoSpaceDN/>
              <w:bidi w:val="0"/>
              <w:adjustRightInd/>
              <w:snapToGrid w:val="0"/>
              <w:spacing w:beforeAutospacing="0"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式中：</w:t>
            </w:r>
          </w:p>
          <w:p w14:paraId="2524978B">
            <w:pPr>
              <w:pageBreakBefore w:val="0"/>
              <w:widowControl w:val="0"/>
              <w:kinsoku/>
              <w:wordWrap/>
              <w:overflowPunct/>
              <w:topLinePunct w:val="0"/>
              <w:autoSpaceDE/>
              <w:autoSpaceDN/>
              <w:bidi w:val="0"/>
              <w:adjustRightInd/>
              <w:snapToGrid w:val="0"/>
              <w:spacing w:beforeAutospacing="0"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Lp（r）——预测点处的声压级</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dB；</w:t>
            </w:r>
          </w:p>
          <w:p w14:paraId="689170A0">
            <w:pPr>
              <w:pageBreakBefore w:val="0"/>
              <w:widowControl w:val="0"/>
              <w:kinsoku/>
              <w:wordWrap/>
              <w:overflowPunct/>
              <w:topLinePunct w:val="0"/>
              <w:autoSpaceDE/>
              <w:autoSpaceDN/>
              <w:bidi w:val="0"/>
              <w:adjustRightInd/>
              <w:snapToGrid w:val="0"/>
              <w:spacing w:beforeAutospacing="0"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w:t>
            </w:r>
            <w:r>
              <w:rPr>
                <w:rFonts w:hint="default" w:ascii="Times New Roman" w:hAnsi="Times New Roman" w:eastAsia="宋体" w:cs="Times New Roman"/>
                <w:b w:val="0"/>
                <w:bCs/>
                <w:color w:val="auto"/>
                <w:sz w:val="24"/>
                <w:highlight w:val="none"/>
                <w:vertAlign w:val="subscript"/>
                <w:lang w:eastAsia="zh-CN"/>
              </w:rPr>
              <w:t>w</w:t>
            </w:r>
            <w:r>
              <w:rPr>
                <w:rFonts w:hint="default" w:ascii="Times New Roman" w:hAnsi="Times New Roman" w:eastAsia="宋体" w:cs="Times New Roman"/>
                <w:b w:val="0"/>
                <w:bCs/>
                <w:color w:val="auto"/>
                <w:sz w:val="24"/>
                <w:highlight w:val="none"/>
                <w:lang w:eastAsia="zh-CN"/>
              </w:rPr>
              <w:t>——自由声源产生的倍频带声功率级</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dB；</w:t>
            </w:r>
          </w:p>
          <w:p w14:paraId="05A9BF4D">
            <w:pPr>
              <w:pageBreakBefore w:val="0"/>
              <w:widowControl w:val="0"/>
              <w:kinsoku/>
              <w:wordWrap/>
              <w:overflowPunct/>
              <w:topLinePunct w:val="0"/>
              <w:autoSpaceDE/>
              <w:autoSpaceDN/>
              <w:bidi w:val="0"/>
              <w:adjustRightInd/>
              <w:snapToGrid w:val="0"/>
              <w:spacing w:beforeAutospacing="0"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w:t>
            </w:r>
            <w:r>
              <w:rPr>
                <w:rFonts w:hint="default" w:ascii="Times New Roman" w:hAnsi="Times New Roman" w:eastAsia="宋体" w:cs="Times New Roman"/>
                <w:b w:val="0"/>
                <w:bCs/>
                <w:color w:val="auto"/>
                <w:sz w:val="24"/>
                <w:highlight w:val="none"/>
                <w:vertAlign w:val="subscript"/>
                <w:lang w:eastAsia="zh-CN"/>
              </w:rPr>
              <w:t>A</w:t>
            </w:r>
            <w:r>
              <w:rPr>
                <w:rFonts w:hint="default" w:ascii="Times New Roman" w:hAnsi="Times New Roman" w:eastAsia="宋体" w:cs="Times New Roman"/>
                <w:b w:val="0"/>
                <w:bCs/>
                <w:color w:val="auto"/>
                <w:sz w:val="24"/>
                <w:highlight w:val="none"/>
                <w:lang w:eastAsia="zh-CN"/>
              </w:rPr>
              <w:t>（r）——自由声源产生的倍频带声功率级，dB（A）；</w:t>
            </w:r>
          </w:p>
          <w:p w14:paraId="46DC351A">
            <w:pPr>
              <w:pageBreakBefore w:val="0"/>
              <w:widowControl w:val="0"/>
              <w:kinsoku/>
              <w:wordWrap/>
              <w:overflowPunct/>
              <w:topLinePunct w:val="0"/>
              <w:autoSpaceDE/>
              <w:autoSpaceDN/>
              <w:bidi w:val="0"/>
              <w:adjustRightInd/>
              <w:snapToGrid w:val="0"/>
              <w:spacing w:beforeAutospacing="0"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w:t>
            </w:r>
            <w:r>
              <w:rPr>
                <w:rFonts w:hint="default" w:ascii="Times New Roman" w:hAnsi="Times New Roman" w:eastAsia="宋体" w:cs="Times New Roman"/>
                <w:b w:val="0"/>
                <w:bCs/>
                <w:color w:val="auto"/>
                <w:sz w:val="24"/>
                <w:highlight w:val="none"/>
                <w:vertAlign w:val="subscript"/>
                <w:lang w:eastAsia="zh-CN"/>
              </w:rPr>
              <w:t>A</w:t>
            </w:r>
            <w:r>
              <w:rPr>
                <w:rFonts w:hint="default" w:ascii="Times New Roman" w:hAnsi="Times New Roman" w:eastAsia="宋体" w:cs="Times New Roman"/>
                <w:b w:val="0"/>
                <w:bCs/>
                <w:color w:val="auto"/>
                <w:sz w:val="24"/>
                <w:highlight w:val="none"/>
                <w:vertAlign w:val="subscript"/>
                <w:lang w:val="en-US" w:eastAsia="zh-CN"/>
              </w:rPr>
              <w:t>W</w:t>
            </w:r>
            <w:r>
              <w:rPr>
                <w:rFonts w:hint="default" w:ascii="Times New Roman" w:hAnsi="Times New Roman" w:eastAsia="宋体" w:cs="Times New Roman"/>
                <w:b w:val="0"/>
                <w:bCs/>
                <w:color w:val="auto"/>
                <w:sz w:val="24"/>
                <w:highlight w:val="none"/>
                <w:lang w:eastAsia="zh-CN"/>
              </w:rPr>
              <w:t>——点声源A计权声功率级</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dB；</w:t>
            </w:r>
          </w:p>
          <w:p w14:paraId="075F3DDF">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r——预测点距声源的距离</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m；</w:t>
            </w:r>
          </w:p>
          <w:p w14:paraId="78B87BD2">
            <w:pPr>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kern w:val="2"/>
                <w:sz w:val="24"/>
                <w:szCs w:val="24"/>
                <w:highlight w:val="none"/>
                <w:lang w:val="en-US" w:eastAsia="zh-CN" w:bidi="ar-SA"/>
              </w:rPr>
              <w:t>4）</w:t>
            </w:r>
            <w:r>
              <w:rPr>
                <w:rFonts w:hint="default" w:ascii="Times New Roman" w:hAnsi="Times New Roman" w:eastAsia="宋体" w:cs="Times New Roman"/>
                <w:b w:val="0"/>
                <w:bCs/>
                <w:color w:val="auto"/>
                <w:sz w:val="24"/>
                <w:highlight w:val="none"/>
                <w:lang w:eastAsia="zh-CN"/>
              </w:rPr>
              <w:t>总声压级</w:t>
            </w:r>
          </w:p>
          <w:p w14:paraId="09091BC9">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设第i个室外声源在预测点产生的A声级为L</w:t>
            </w:r>
            <w:r>
              <w:rPr>
                <w:rFonts w:hint="default" w:ascii="Times New Roman" w:hAnsi="Times New Roman" w:eastAsia="宋体" w:cs="Times New Roman"/>
                <w:b w:val="0"/>
                <w:bCs/>
                <w:color w:val="auto"/>
                <w:sz w:val="24"/>
                <w:highlight w:val="none"/>
                <w:vertAlign w:val="subscript"/>
                <w:lang w:eastAsia="zh-CN"/>
              </w:rPr>
              <w:t>Ai</w:t>
            </w:r>
            <w:r>
              <w:rPr>
                <w:rFonts w:hint="default" w:ascii="Times New Roman" w:hAnsi="Times New Roman" w:eastAsia="宋体" w:cs="Times New Roman"/>
                <w:b w:val="0"/>
                <w:bCs/>
                <w:color w:val="auto"/>
                <w:sz w:val="24"/>
                <w:highlight w:val="none"/>
                <w:lang w:eastAsia="zh-CN"/>
              </w:rPr>
              <w:t>，在T时间内该声源工作时间为t</w:t>
            </w:r>
            <w:r>
              <w:rPr>
                <w:rFonts w:hint="default" w:ascii="Times New Roman" w:hAnsi="Times New Roman" w:eastAsia="宋体" w:cs="Times New Roman"/>
                <w:b w:val="0"/>
                <w:bCs/>
                <w:color w:val="auto"/>
                <w:sz w:val="24"/>
                <w:highlight w:val="none"/>
                <w:vertAlign w:val="subscript"/>
                <w:lang w:eastAsia="zh-CN"/>
              </w:rPr>
              <w:t>i</w:t>
            </w:r>
            <w:r>
              <w:rPr>
                <w:rFonts w:hint="default" w:ascii="Times New Roman" w:hAnsi="Times New Roman" w:eastAsia="宋体" w:cs="Times New Roman"/>
                <w:b w:val="0"/>
                <w:bCs/>
                <w:color w:val="auto"/>
                <w:sz w:val="24"/>
                <w:highlight w:val="none"/>
                <w:lang w:eastAsia="zh-CN"/>
              </w:rPr>
              <w:t>；第j个等效室外声源在预测点产生的A声级为L</w:t>
            </w:r>
            <w:r>
              <w:rPr>
                <w:rFonts w:hint="default" w:ascii="Times New Roman" w:hAnsi="Times New Roman" w:eastAsia="宋体" w:cs="Times New Roman"/>
                <w:b w:val="0"/>
                <w:bCs/>
                <w:color w:val="auto"/>
                <w:sz w:val="24"/>
                <w:highlight w:val="none"/>
                <w:vertAlign w:val="subscript"/>
                <w:lang w:eastAsia="zh-CN"/>
              </w:rPr>
              <w:t>Aj</w:t>
            </w:r>
            <w:r>
              <w:rPr>
                <w:rFonts w:hint="default" w:ascii="Times New Roman" w:hAnsi="Times New Roman" w:eastAsia="宋体" w:cs="Times New Roman"/>
                <w:b w:val="0"/>
                <w:bCs/>
                <w:color w:val="auto"/>
                <w:sz w:val="24"/>
                <w:highlight w:val="none"/>
                <w:lang w:eastAsia="zh-CN"/>
              </w:rPr>
              <w:t>，在T时间内该声源工作时间为t</w:t>
            </w:r>
            <w:r>
              <w:rPr>
                <w:rFonts w:hint="default" w:ascii="Times New Roman" w:hAnsi="Times New Roman" w:eastAsia="宋体" w:cs="Times New Roman"/>
                <w:b w:val="0"/>
                <w:bCs/>
                <w:color w:val="auto"/>
                <w:sz w:val="24"/>
                <w:highlight w:val="none"/>
                <w:vertAlign w:val="subscript"/>
                <w:lang w:eastAsia="zh-CN"/>
              </w:rPr>
              <w:t>j</w:t>
            </w:r>
            <w:r>
              <w:rPr>
                <w:rFonts w:hint="default" w:ascii="Times New Roman" w:hAnsi="Times New Roman" w:eastAsia="宋体" w:cs="Times New Roman"/>
                <w:b w:val="0"/>
                <w:bCs/>
                <w:color w:val="auto"/>
                <w:sz w:val="24"/>
                <w:highlight w:val="none"/>
                <w:lang w:eastAsia="zh-CN"/>
              </w:rPr>
              <w:t>，则拟建工程声源在T时间内对预测点产生的贡献值Leq（T）为：</w:t>
            </w:r>
          </w:p>
          <w:p w14:paraId="12D47383">
            <w:pPr>
              <w:pStyle w:val="8"/>
              <w:pageBreakBefore w:val="0"/>
              <w:widowControl w:val="0"/>
              <w:kinsoku/>
              <w:wordWrap/>
              <w:overflowPunct/>
              <w:topLinePunct w:val="0"/>
              <w:autoSpaceDE/>
              <w:autoSpaceDN/>
              <w:bidi w:val="0"/>
              <w:adjustRightInd/>
              <w:snapToGrid w:val="0"/>
              <w:spacing w:after="0" w:afterAutospacing="0" w:line="360" w:lineRule="auto"/>
              <w:ind w:left="0" w:leftChars="0"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color w:val="auto"/>
                <w:position w:val="-34"/>
                <w:sz w:val="24"/>
                <w:highlight w:val="none"/>
                <w:lang w:eastAsia="zh-CN"/>
              </w:rPr>
              <w:object>
                <v:shape id="_x0000_i1033" o:spt="75" type="#_x0000_t75" style="height:40pt;width:222.95pt;" o:ole="t" filled="f" o:preferrelative="t" stroked="f" coordsize="21600,21600">
                  <v:path/>
                  <v:fill on="f" focussize="0,0"/>
                  <v:stroke on="f"/>
                  <v:imagedata r:id="rId32" o:title=""/>
                  <o:lock v:ext="edit" aspectratio="t"/>
                  <w10:wrap type="none"/>
                  <w10:anchorlock/>
                </v:shape>
                <o:OLEObject Type="Embed" ProgID="Equation.KSEE3" ShapeID="_x0000_i1033" DrawAspect="Content" ObjectID="_1468075733" r:id="rId31">
                  <o:LockedField>false</o:LockedField>
                </o:OLEObject>
              </w:object>
            </w:r>
          </w:p>
          <w:p w14:paraId="339624E8">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式中：</w:t>
            </w:r>
          </w:p>
          <w:p w14:paraId="2D3344A0">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Leq——建设项目声源在预测点产生的噪声贡献值</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dB；</w:t>
            </w:r>
          </w:p>
          <w:p w14:paraId="3CB128AC">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T——用于计算等效声级的时间</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s；</w:t>
            </w:r>
          </w:p>
          <w:p w14:paraId="69CC4F34">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N——室外声源个数；</w:t>
            </w:r>
          </w:p>
          <w:p w14:paraId="4DF6A2FF">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t</w:t>
            </w:r>
            <w:r>
              <w:rPr>
                <w:rFonts w:hint="default" w:ascii="Times New Roman" w:hAnsi="Times New Roman" w:eastAsia="宋体" w:cs="Times New Roman"/>
                <w:b w:val="0"/>
                <w:bCs/>
                <w:color w:val="auto"/>
                <w:sz w:val="24"/>
                <w:highlight w:val="none"/>
                <w:vertAlign w:val="subscript"/>
                <w:lang w:eastAsia="zh-CN"/>
              </w:rPr>
              <w:t>i</w:t>
            </w:r>
            <w:r>
              <w:rPr>
                <w:rFonts w:hint="default" w:ascii="Times New Roman" w:hAnsi="Times New Roman" w:eastAsia="宋体" w:cs="Times New Roman"/>
                <w:b w:val="0"/>
                <w:bCs/>
                <w:color w:val="auto"/>
                <w:sz w:val="24"/>
                <w:highlight w:val="none"/>
                <w:lang w:eastAsia="zh-CN"/>
              </w:rPr>
              <w:t>——在T时间内i声源工作时间</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s；</w:t>
            </w:r>
          </w:p>
          <w:p w14:paraId="58F422C0">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M—等效室外声源个数；</w:t>
            </w:r>
          </w:p>
          <w:p w14:paraId="14ED80B7">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t</w:t>
            </w:r>
            <w:r>
              <w:rPr>
                <w:rFonts w:hint="default" w:ascii="Times New Roman" w:hAnsi="Times New Roman" w:eastAsia="宋体" w:cs="Times New Roman"/>
                <w:b w:val="0"/>
                <w:bCs/>
                <w:color w:val="auto"/>
                <w:sz w:val="24"/>
                <w:highlight w:val="none"/>
                <w:vertAlign w:val="subscript"/>
                <w:lang w:eastAsia="zh-CN"/>
              </w:rPr>
              <w:t>j</w:t>
            </w:r>
            <w:r>
              <w:rPr>
                <w:rFonts w:hint="default" w:ascii="Times New Roman" w:hAnsi="Times New Roman" w:eastAsia="宋体" w:cs="Times New Roman"/>
                <w:b w:val="0"/>
                <w:bCs/>
                <w:color w:val="auto"/>
                <w:sz w:val="24"/>
                <w:highlight w:val="none"/>
                <w:lang w:eastAsia="zh-CN"/>
              </w:rPr>
              <w:t>——在T时间内j声源工作时间</w:t>
            </w:r>
            <w:r>
              <w:rPr>
                <w:rFonts w:hint="eastAsia"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s。</w:t>
            </w:r>
          </w:p>
          <w:p w14:paraId="15CCF198">
            <w:pPr>
              <w:pageBreakBefore w:val="0"/>
              <w:widowControl w:val="0"/>
              <w:kinsoku/>
              <w:wordWrap/>
              <w:overflowPunct/>
              <w:topLinePunct w:val="0"/>
              <w:autoSpaceDE/>
              <w:autoSpaceDN/>
              <w:bidi w:val="0"/>
              <w:adjustRightInd/>
              <w:snapToGrid w:val="0"/>
              <w:spacing w:afterAutospacing="0" w:line="360" w:lineRule="auto"/>
              <w:ind w:left="0" w:leftChars="0" w:firstLine="482" w:firstLineChars="200"/>
              <w:textAlignment w:val="auto"/>
              <w:rPr>
                <w:rFonts w:hint="default" w:ascii="Times New Roman" w:hAnsi="Times New Roman" w:eastAsia="宋体" w:cs="Times New Roman"/>
                <w:b/>
                <w:bCs w:val="0"/>
                <w:color w:val="auto"/>
                <w:sz w:val="24"/>
                <w:highlight w:val="none"/>
                <w:lang w:eastAsia="zh-CN"/>
              </w:rPr>
            </w:pPr>
            <w:r>
              <w:rPr>
                <w:rFonts w:hint="default" w:ascii="Times New Roman" w:hAnsi="Times New Roman" w:eastAsia="宋体" w:cs="Times New Roman"/>
                <w:b/>
                <w:bCs w:val="0"/>
                <w:color w:val="auto"/>
                <w:sz w:val="24"/>
                <w:highlight w:val="none"/>
                <w:lang w:eastAsia="zh-CN"/>
              </w:rPr>
              <w:t>（</w:t>
            </w:r>
            <w:r>
              <w:rPr>
                <w:rFonts w:hint="default" w:ascii="Times New Roman" w:hAnsi="Times New Roman" w:eastAsia="宋体" w:cs="Times New Roman"/>
                <w:b/>
                <w:bCs w:val="0"/>
                <w:color w:val="auto"/>
                <w:sz w:val="24"/>
                <w:highlight w:val="none"/>
                <w:lang w:val="en-US" w:eastAsia="zh-CN"/>
              </w:rPr>
              <w:t>4</w:t>
            </w:r>
            <w:r>
              <w:rPr>
                <w:rFonts w:hint="default" w:ascii="Times New Roman" w:hAnsi="Times New Roman" w:eastAsia="宋体" w:cs="Times New Roman"/>
                <w:b/>
                <w:bCs w:val="0"/>
                <w:color w:val="auto"/>
                <w:sz w:val="24"/>
                <w:highlight w:val="none"/>
                <w:lang w:eastAsia="zh-CN"/>
              </w:rPr>
              <w:t>）预测因子、预测时段、预测方案</w:t>
            </w:r>
          </w:p>
          <w:p w14:paraId="39724AB4">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预测因子：等效连续A声级Leq（A）。</w:t>
            </w:r>
          </w:p>
          <w:p w14:paraId="4FA31321">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预测时段：固定声源投产运行期。</w:t>
            </w:r>
          </w:p>
          <w:p w14:paraId="0886F1D3">
            <w:pPr>
              <w:pageBreakBefore w:val="0"/>
              <w:widowControl w:val="0"/>
              <w:kinsoku/>
              <w:wordWrap/>
              <w:overflowPunct/>
              <w:topLinePunct w:val="0"/>
              <w:autoSpaceDE/>
              <w:autoSpaceDN/>
              <w:bidi w:val="0"/>
              <w:adjustRightInd/>
              <w:snapToGrid w:val="0"/>
              <w:spacing w:afterAutospacing="0" w:line="360" w:lineRule="auto"/>
              <w:ind w:left="0" w:leftChars="0" w:firstLine="480" w:firstLineChars="200"/>
              <w:textAlignment w:val="auto"/>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预测方案：本次预测按照最不利情况考虑，即所有设备同时连续运行的情况进行预测，预测厂界噪声的达标情况。</w:t>
            </w:r>
          </w:p>
          <w:p w14:paraId="0CDB6195">
            <w:pPr>
              <w:keepNext w:val="0"/>
              <w:keepLines w:val="0"/>
              <w:pageBreakBefore w:val="0"/>
              <w:widowControl w:val="0"/>
              <w:kinsoku/>
              <w:wordWrap/>
              <w:overflowPunct/>
              <w:topLinePunct w:val="0"/>
              <w:bidi w:val="0"/>
              <w:adjustRightInd/>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根据《环境影响评价技术导则声环境》</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HJ2.4-2021</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中规定，声环境影</w:t>
            </w:r>
            <w:r>
              <w:rPr>
                <w:rFonts w:hint="default" w:ascii="Times New Roman" w:hAnsi="Times New Roman" w:eastAsia="宋体" w:cs="Times New Roman"/>
                <w:color w:val="auto"/>
                <w:spacing w:val="11"/>
                <w:sz w:val="24"/>
                <w:szCs w:val="24"/>
                <w:highlight w:val="none"/>
              </w:rPr>
              <w:t>响预测，在不能取得声源倍频带声功率级或倍频带声压级，只能获得A声</w:t>
            </w:r>
            <w:r>
              <w:rPr>
                <w:rFonts w:hint="default" w:ascii="Times New Roman" w:hAnsi="Times New Roman" w:eastAsia="宋体" w:cs="Times New Roman"/>
                <w:color w:val="auto"/>
                <w:spacing w:val="5"/>
                <w:sz w:val="24"/>
                <w:szCs w:val="24"/>
                <w:highlight w:val="none"/>
              </w:rPr>
              <w:t>功率级或某点的A声级时，可用A声功率级或某点的A声级计算。</w:t>
            </w:r>
          </w:p>
          <w:p w14:paraId="60239C1E">
            <w:pPr>
              <w:widowControl/>
              <w:spacing w:line="360" w:lineRule="auto"/>
              <w:ind w:firstLine="480" w:firstLineChars="200"/>
              <w:jc w:val="left"/>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根据项目的噪声排放特点，</w:t>
            </w:r>
            <w:r>
              <w:rPr>
                <w:rFonts w:hint="eastAsia" w:ascii="宋体" w:hAnsi="宋体" w:eastAsia="宋体" w:cs="宋体"/>
                <w:color w:val="auto"/>
                <w:kern w:val="0"/>
                <w:sz w:val="24"/>
                <w:highlight w:val="none"/>
                <w:lang w:eastAsia="zh-CN"/>
              </w:rPr>
              <w:t>利用环安科技噪声预测软件</w:t>
            </w:r>
            <w:r>
              <w:rPr>
                <w:rFonts w:hint="default" w:ascii="Times New Roman" w:hAnsi="Times New Roman" w:eastAsia="宋体" w:cs="Times New Roman"/>
                <w:color w:val="auto"/>
                <w:kern w:val="0"/>
                <w:sz w:val="24"/>
                <w:highlight w:val="none"/>
                <w:lang w:eastAsia="zh-CN"/>
              </w:rPr>
              <w:t>NoiseSystemV3.0</w:t>
            </w:r>
            <w:r>
              <w:rPr>
                <w:rFonts w:hint="default" w:ascii="Times New Roman" w:hAnsi="Times New Roman" w:eastAsia="宋体" w:cs="Times New Roman"/>
                <w:color w:val="auto"/>
                <w:kern w:val="0"/>
                <w:sz w:val="24"/>
                <w:highlight w:val="none"/>
                <w:lang w:val="en-US" w:eastAsia="zh-CN"/>
              </w:rPr>
              <w:t>，</w:t>
            </w:r>
            <w:r>
              <w:rPr>
                <w:rFonts w:hint="eastAsia" w:ascii="宋体" w:hAnsi="宋体" w:eastAsia="宋体" w:cs="宋体"/>
                <w:color w:val="auto"/>
                <w:kern w:val="0"/>
                <w:sz w:val="24"/>
                <w:highlight w:val="none"/>
                <w:lang w:val="en-US" w:eastAsia="zh-CN"/>
              </w:rPr>
              <w:t>对本项目的厂界噪声进行了预测</w:t>
            </w:r>
            <w:r>
              <w:rPr>
                <w:rFonts w:hint="eastAsia" w:ascii="宋体" w:hAnsi="宋体" w:cs="宋体"/>
                <w:color w:val="auto"/>
                <w:kern w:val="0"/>
                <w:sz w:val="24"/>
                <w:highlight w:val="none"/>
                <w:lang w:val="en-US" w:eastAsia="zh-CN"/>
              </w:rPr>
              <w:t>，</w:t>
            </w:r>
            <w:r>
              <w:rPr>
                <w:rFonts w:hint="eastAsia" w:ascii="宋体" w:hAnsi="宋体" w:eastAsia="宋体" w:cs="宋体"/>
                <w:color w:val="auto"/>
                <w:kern w:val="0"/>
                <w:sz w:val="24"/>
                <w:highlight w:val="none"/>
                <w:lang w:val="en-US" w:eastAsia="zh-CN"/>
              </w:rPr>
              <w:t>预测结果见下表</w:t>
            </w:r>
            <w:r>
              <w:rPr>
                <w:rFonts w:hint="default" w:ascii="Times New Roman" w:hAnsi="Times New Roman" w:eastAsia="宋体" w:cs="Times New Roman"/>
                <w:color w:val="auto"/>
                <w:kern w:val="0"/>
                <w:sz w:val="24"/>
                <w:highlight w:val="none"/>
                <w:lang w:val="en-US" w:eastAsia="zh-CN"/>
              </w:rPr>
              <w:t>4-</w:t>
            </w:r>
            <w:r>
              <w:rPr>
                <w:rFonts w:hint="eastAsia" w:cs="Times New Roman"/>
                <w:color w:val="auto"/>
                <w:kern w:val="0"/>
                <w:sz w:val="24"/>
                <w:highlight w:val="none"/>
                <w:lang w:val="en-US" w:eastAsia="zh-CN"/>
              </w:rPr>
              <w:t>13</w:t>
            </w:r>
            <w:r>
              <w:rPr>
                <w:rFonts w:hint="eastAsia" w:ascii="宋体" w:hAnsi="宋体" w:eastAsia="宋体" w:cs="宋体"/>
                <w:color w:val="auto"/>
                <w:kern w:val="0"/>
                <w:sz w:val="24"/>
                <w:highlight w:val="none"/>
                <w:lang w:eastAsia="zh-CN"/>
              </w:rPr>
              <w:t>。</w:t>
            </w:r>
          </w:p>
          <w:p w14:paraId="6AC07C56">
            <w:pPr>
              <w:widowControl/>
              <w:spacing w:line="240" w:lineRule="auto"/>
              <w:ind w:firstLine="422" w:firstLineChars="20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rPr>
              <w:t>表</w:t>
            </w:r>
            <w:r>
              <w:rPr>
                <w:rFonts w:hint="default" w:ascii="Times New Roman" w:hAnsi="Times New Roman" w:eastAsia="宋体" w:cs="Times New Roman"/>
                <w:b/>
                <w:bCs/>
                <w:color w:val="auto"/>
                <w:kern w:val="0"/>
                <w:sz w:val="21"/>
                <w:szCs w:val="21"/>
                <w:highlight w:val="none"/>
              </w:rPr>
              <w:t>4-</w:t>
            </w:r>
            <w:r>
              <w:rPr>
                <w:rFonts w:hint="eastAsia" w:cs="Times New Roman"/>
                <w:b/>
                <w:bCs/>
                <w:color w:val="auto"/>
                <w:kern w:val="0"/>
                <w:sz w:val="21"/>
                <w:szCs w:val="21"/>
                <w:highlight w:val="none"/>
                <w:lang w:val="en-US" w:eastAsia="zh-CN"/>
              </w:rPr>
              <w:t>13项目</w:t>
            </w:r>
            <w:r>
              <w:rPr>
                <w:rFonts w:hint="default" w:ascii="Times New Roman" w:hAnsi="Times New Roman" w:eastAsia="宋体" w:cs="Times New Roman"/>
                <w:b/>
                <w:bCs/>
                <w:color w:val="auto"/>
                <w:kern w:val="0"/>
                <w:sz w:val="21"/>
                <w:szCs w:val="21"/>
                <w:highlight w:val="none"/>
              </w:rPr>
              <w:t>厂界噪声预测结果</w:t>
            </w:r>
            <w:r>
              <w:rPr>
                <w:rFonts w:hint="default" w:ascii="Times New Roman" w:hAnsi="Times New Roman" w:eastAsia="宋体" w:cs="Times New Roman"/>
                <w:b/>
                <w:bCs/>
                <w:color w:val="auto"/>
                <w:kern w:val="0"/>
                <w:sz w:val="21"/>
                <w:szCs w:val="21"/>
                <w:highlight w:val="none"/>
                <w:lang w:eastAsia="zh-CN"/>
              </w:rPr>
              <w:t>单位：</w:t>
            </w:r>
            <w:r>
              <w:rPr>
                <w:rFonts w:hint="default" w:ascii="Times New Roman" w:hAnsi="Times New Roman" w:eastAsia="宋体" w:cs="Times New Roman"/>
                <w:b/>
                <w:bCs/>
                <w:color w:val="auto"/>
                <w:kern w:val="0"/>
                <w:sz w:val="21"/>
                <w:szCs w:val="21"/>
                <w:highlight w:val="none"/>
              </w:rPr>
              <w:t>dB(A)</w:t>
            </w:r>
          </w:p>
          <w:tbl>
            <w:tblPr>
              <w:tblStyle w:val="19"/>
              <w:tblW w:w="779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2"/>
              <w:gridCol w:w="1828"/>
              <w:gridCol w:w="1692"/>
              <w:gridCol w:w="1792"/>
              <w:gridCol w:w="1733"/>
            </w:tblGrid>
            <w:tr w14:paraId="6B1274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8" w:hRule="atLeast"/>
                <w:jc w:val="center"/>
              </w:trPr>
              <w:tc>
                <w:tcPr>
                  <w:tcW w:w="752" w:type="dxa"/>
                  <w:noWrap w:val="0"/>
                  <w:vAlign w:val="center"/>
                </w:tcPr>
                <w:p w14:paraId="20A71C2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lang w:val="en-US" w:eastAsia="zh-CN"/>
                    </w:rPr>
                    <w:t>项目</w:t>
                  </w:r>
                </w:p>
              </w:tc>
              <w:tc>
                <w:tcPr>
                  <w:tcW w:w="1828" w:type="dxa"/>
                  <w:noWrap w:val="0"/>
                  <w:vAlign w:val="center"/>
                </w:tcPr>
                <w:p w14:paraId="579364F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lang w:val="en-US" w:eastAsia="zh-CN"/>
                    </w:rPr>
                    <w:t>名称</w:t>
                  </w:r>
                </w:p>
              </w:tc>
              <w:tc>
                <w:tcPr>
                  <w:tcW w:w="1692" w:type="dxa"/>
                  <w:noWrap w:val="0"/>
                  <w:vAlign w:val="center"/>
                </w:tcPr>
                <w:p w14:paraId="1D86A02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lang w:val="en-US" w:eastAsia="zh-CN"/>
                    </w:rPr>
                    <w:t>X坐标（m）</w:t>
                  </w:r>
                </w:p>
              </w:tc>
              <w:tc>
                <w:tcPr>
                  <w:tcW w:w="1792" w:type="dxa"/>
                  <w:noWrap w:val="0"/>
                  <w:vAlign w:val="center"/>
                </w:tcPr>
                <w:p w14:paraId="770BB08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lang w:val="en-US" w:eastAsia="zh-CN"/>
                    </w:rPr>
                    <w:t>Y坐标（m）</w:t>
                  </w:r>
                </w:p>
              </w:tc>
              <w:tc>
                <w:tcPr>
                  <w:tcW w:w="1733" w:type="dxa"/>
                  <w:noWrap w:val="0"/>
                  <w:vAlign w:val="center"/>
                </w:tcPr>
                <w:p w14:paraId="2F5EBB2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lang w:val="en-US" w:eastAsia="zh-CN"/>
                    </w:rPr>
                    <w:t>昼间贡献值</w:t>
                  </w:r>
                </w:p>
              </w:tc>
            </w:tr>
            <w:tr w14:paraId="52FBB1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4E31EC3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bookmarkStart w:id="39" w:name="OLE_LINK214" w:colFirst="0" w:colLast="0"/>
                  <w:r>
                    <w:rPr>
                      <w:rFonts w:hint="default" w:ascii="Times New Roman" w:hAnsi="Times New Roman" w:eastAsia="宋体" w:cs="Times New Roman"/>
                      <w:snapToGrid w:val="0"/>
                      <w:color w:val="auto"/>
                      <w:kern w:val="0"/>
                      <w:sz w:val="21"/>
                      <w:szCs w:val="21"/>
                      <w:highlight w:val="none"/>
                      <w:lang w:val="en-US" w:eastAsia="zh-CN"/>
                    </w:rPr>
                    <w:t>1</w:t>
                  </w:r>
                </w:p>
              </w:tc>
              <w:tc>
                <w:tcPr>
                  <w:tcW w:w="1828" w:type="dxa"/>
                  <w:vMerge w:val="restart"/>
                  <w:noWrap w:val="0"/>
                  <w:vAlign w:val="center"/>
                </w:tcPr>
                <w:p w14:paraId="41C521B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东厂界</w:t>
                  </w:r>
                </w:p>
              </w:tc>
              <w:tc>
                <w:tcPr>
                  <w:tcW w:w="1692" w:type="dxa"/>
                  <w:noWrap w:val="0"/>
                  <w:vAlign w:val="center"/>
                </w:tcPr>
                <w:p w14:paraId="08474A9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240.92</w:t>
                  </w:r>
                </w:p>
              </w:tc>
              <w:tc>
                <w:tcPr>
                  <w:tcW w:w="1792" w:type="dxa"/>
                  <w:noWrap w:val="0"/>
                  <w:vAlign w:val="center"/>
                </w:tcPr>
                <w:p w14:paraId="035F849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76.56</w:t>
                  </w:r>
                </w:p>
              </w:tc>
              <w:tc>
                <w:tcPr>
                  <w:tcW w:w="1733" w:type="dxa"/>
                  <w:noWrap w:val="0"/>
                  <w:vAlign w:val="center"/>
                </w:tcPr>
                <w:p w14:paraId="241D77C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7.35</w:t>
                  </w:r>
                </w:p>
              </w:tc>
            </w:tr>
            <w:tr w14:paraId="5BC17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1C5189B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w:t>
                  </w:r>
                </w:p>
              </w:tc>
              <w:tc>
                <w:tcPr>
                  <w:tcW w:w="1828" w:type="dxa"/>
                  <w:vMerge w:val="continue"/>
                  <w:noWrap w:val="0"/>
                  <w:vAlign w:val="center"/>
                </w:tcPr>
                <w:p w14:paraId="7DB22F1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6258B6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237.97</w:t>
                  </w:r>
                </w:p>
              </w:tc>
              <w:tc>
                <w:tcPr>
                  <w:tcW w:w="1792" w:type="dxa"/>
                  <w:noWrap w:val="0"/>
                  <w:vAlign w:val="center"/>
                </w:tcPr>
                <w:p w14:paraId="65D05B1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86.12</w:t>
                  </w:r>
                </w:p>
              </w:tc>
              <w:tc>
                <w:tcPr>
                  <w:tcW w:w="1733" w:type="dxa"/>
                  <w:noWrap w:val="0"/>
                  <w:vAlign w:val="center"/>
                </w:tcPr>
                <w:p w14:paraId="2FB346D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7.89</w:t>
                  </w:r>
                </w:p>
              </w:tc>
            </w:tr>
            <w:tr w14:paraId="00B3FD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29CEDA3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w:t>
                  </w:r>
                </w:p>
              </w:tc>
              <w:tc>
                <w:tcPr>
                  <w:tcW w:w="1828" w:type="dxa"/>
                  <w:vMerge w:val="continue"/>
                  <w:noWrap w:val="0"/>
                  <w:vAlign w:val="center"/>
                </w:tcPr>
                <w:p w14:paraId="03F7429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561003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235.02</w:t>
                  </w:r>
                </w:p>
              </w:tc>
              <w:tc>
                <w:tcPr>
                  <w:tcW w:w="1792" w:type="dxa"/>
                  <w:noWrap w:val="0"/>
                  <w:vAlign w:val="center"/>
                </w:tcPr>
                <w:p w14:paraId="3B44C8D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95.67</w:t>
                  </w:r>
                </w:p>
              </w:tc>
              <w:tc>
                <w:tcPr>
                  <w:tcW w:w="1733" w:type="dxa"/>
                  <w:noWrap w:val="0"/>
                  <w:vAlign w:val="center"/>
                </w:tcPr>
                <w:p w14:paraId="3185130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8.07</w:t>
                  </w:r>
                </w:p>
              </w:tc>
            </w:tr>
            <w:tr w14:paraId="2DFF83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260A3D9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w:t>
                  </w:r>
                </w:p>
              </w:tc>
              <w:tc>
                <w:tcPr>
                  <w:tcW w:w="1828" w:type="dxa"/>
                  <w:vMerge w:val="continue"/>
                  <w:noWrap w:val="0"/>
                  <w:vAlign w:val="center"/>
                </w:tcPr>
                <w:p w14:paraId="17EA652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1B376D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232.07</w:t>
                  </w:r>
                </w:p>
              </w:tc>
              <w:tc>
                <w:tcPr>
                  <w:tcW w:w="1792" w:type="dxa"/>
                  <w:noWrap w:val="0"/>
                  <w:vAlign w:val="center"/>
                </w:tcPr>
                <w:p w14:paraId="288E66A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105.23</w:t>
                  </w:r>
                </w:p>
              </w:tc>
              <w:tc>
                <w:tcPr>
                  <w:tcW w:w="1733" w:type="dxa"/>
                  <w:noWrap w:val="0"/>
                  <w:vAlign w:val="center"/>
                </w:tcPr>
                <w:p w14:paraId="2726206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8.49</w:t>
                  </w:r>
                </w:p>
              </w:tc>
            </w:tr>
            <w:tr w14:paraId="7AD4FF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414B9AB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w:t>
                  </w:r>
                </w:p>
              </w:tc>
              <w:tc>
                <w:tcPr>
                  <w:tcW w:w="1828" w:type="dxa"/>
                  <w:vMerge w:val="continue"/>
                  <w:noWrap w:val="0"/>
                  <w:vAlign w:val="center"/>
                </w:tcPr>
                <w:p w14:paraId="3A45AE9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06DD4B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229.13</w:t>
                  </w:r>
                </w:p>
              </w:tc>
              <w:tc>
                <w:tcPr>
                  <w:tcW w:w="1792" w:type="dxa"/>
                  <w:noWrap w:val="0"/>
                  <w:vAlign w:val="center"/>
                </w:tcPr>
                <w:p w14:paraId="2FA79F4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114.78</w:t>
                  </w:r>
                </w:p>
              </w:tc>
              <w:tc>
                <w:tcPr>
                  <w:tcW w:w="1733" w:type="dxa"/>
                  <w:noWrap w:val="0"/>
                  <w:vAlign w:val="center"/>
                </w:tcPr>
                <w:p w14:paraId="6C5D77B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8.56</w:t>
                  </w:r>
                </w:p>
              </w:tc>
            </w:tr>
            <w:tr w14:paraId="5EB875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D2184E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6</w:t>
                  </w:r>
                </w:p>
              </w:tc>
              <w:tc>
                <w:tcPr>
                  <w:tcW w:w="1828" w:type="dxa"/>
                  <w:vMerge w:val="continue"/>
                  <w:noWrap w:val="0"/>
                  <w:vAlign w:val="center"/>
                </w:tcPr>
                <w:p w14:paraId="35B6BD2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90CEDD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226.18</w:t>
                  </w:r>
                </w:p>
              </w:tc>
              <w:tc>
                <w:tcPr>
                  <w:tcW w:w="1792" w:type="dxa"/>
                  <w:noWrap w:val="0"/>
                  <w:vAlign w:val="center"/>
                </w:tcPr>
                <w:p w14:paraId="3293E17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124.34</w:t>
                  </w:r>
                </w:p>
              </w:tc>
              <w:tc>
                <w:tcPr>
                  <w:tcW w:w="1733" w:type="dxa"/>
                  <w:noWrap w:val="0"/>
                  <w:vAlign w:val="center"/>
                </w:tcPr>
                <w:p w14:paraId="7408F6E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8.90</w:t>
                  </w:r>
                </w:p>
              </w:tc>
            </w:tr>
            <w:tr w14:paraId="53CE3E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0B88C2E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7</w:t>
                  </w:r>
                </w:p>
              </w:tc>
              <w:tc>
                <w:tcPr>
                  <w:tcW w:w="1828" w:type="dxa"/>
                  <w:vMerge w:val="continue"/>
                  <w:noWrap w:val="0"/>
                  <w:vAlign w:val="center"/>
                </w:tcPr>
                <w:p w14:paraId="1CE841C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1DAB00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223.23</w:t>
                  </w:r>
                </w:p>
              </w:tc>
              <w:tc>
                <w:tcPr>
                  <w:tcW w:w="1792" w:type="dxa"/>
                  <w:noWrap w:val="0"/>
                  <w:vAlign w:val="center"/>
                </w:tcPr>
                <w:p w14:paraId="7B708D0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133.89</w:t>
                  </w:r>
                </w:p>
              </w:tc>
              <w:tc>
                <w:tcPr>
                  <w:tcW w:w="1733" w:type="dxa"/>
                  <w:noWrap w:val="0"/>
                  <w:vAlign w:val="center"/>
                </w:tcPr>
                <w:p w14:paraId="5563B8C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9.21</w:t>
                  </w:r>
                </w:p>
              </w:tc>
            </w:tr>
            <w:tr w14:paraId="12C33E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52AF8FC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8</w:t>
                  </w:r>
                </w:p>
              </w:tc>
              <w:tc>
                <w:tcPr>
                  <w:tcW w:w="1828" w:type="dxa"/>
                  <w:vMerge w:val="continue"/>
                  <w:noWrap w:val="0"/>
                  <w:vAlign w:val="center"/>
                </w:tcPr>
                <w:p w14:paraId="4710852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744B2F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220.28</w:t>
                  </w:r>
                </w:p>
              </w:tc>
              <w:tc>
                <w:tcPr>
                  <w:tcW w:w="1792" w:type="dxa"/>
                  <w:noWrap w:val="0"/>
                  <w:vAlign w:val="center"/>
                </w:tcPr>
                <w:p w14:paraId="0EF071D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143.45</w:t>
                  </w:r>
                </w:p>
              </w:tc>
              <w:tc>
                <w:tcPr>
                  <w:tcW w:w="1733" w:type="dxa"/>
                  <w:noWrap w:val="0"/>
                  <w:vAlign w:val="center"/>
                </w:tcPr>
                <w:p w14:paraId="77A0662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9.50</w:t>
                  </w:r>
                </w:p>
              </w:tc>
            </w:tr>
            <w:tr w14:paraId="42914B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12BF071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9</w:t>
                  </w:r>
                </w:p>
              </w:tc>
              <w:tc>
                <w:tcPr>
                  <w:tcW w:w="1828" w:type="dxa"/>
                  <w:vMerge w:val="continue"/>
                  <w:noWrap w:val="0"/>
                  <w:vAlign w:val="center"/>
                </w:tcPr>
                <w:p w14:paraId="1F1DE19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564564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217.33</w:t>
                  </w:r>
                </w:p>
              </w:tc>
              <w:tc>
                <w:tcPr>
                  <w:tcW w:w="1792" w:type="dxa"/>
                  <w:noWrap w:val="0"/>
                  <w:vAlign w:val="center"/>
                </w:tcPr>
                <w:p w14:paraId="3A3B4EC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153.00</w:t>
                  </w:r>
                </w:p>
              </w:tc>
              <w:tc>
                <w:tcPr>
                  <w:tcW w:w="1733" w:type="dxa"/>
                  <w:noWrap w:val="0"/>
                  <w:vAlign w:val="center"/>
                </w:tcPr>
                <w:p w14:paraId="270DF58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9.48</w:t>
                  </w:r>
                </w:p>
              </w:tc>
            </w:tr>
            <w:tr w14:paraId="7E8C81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003DEF6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10</w:t>
                  </w:r>
                </w:p>
              </w:tc>
              <w:tc>
                <w:tcPr>
                  <w:tcW w:w="1828" w:type="dxa"/>
                  <w:vMerge w:val="continue"/>
                  <w:noWrap w:val="0"/>
                  <w:vAlign w:val="center"/>
                </w:tcPr>
                <w:p w14:paraId="167A640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F35DE6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214.38</w:t>
                  </w:r>
                </w:p>
              </w:tc>
              <w:tc>
                <w:tcPr>
                  <w:tcW w:w="1792" w:type="dxa"/>
                  <w:noWrap w:val="0"/>
                  <w:vAlign w:val="center"/>
                </w:tcPr>
                <w:p w14:paraId="71F2489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162.56</w:t>
                  </w:r>
                </w:p>
              </w:tc>
              <w:tc>
                <w:tcPr>
                  <w:tcW w:w="1733" w:type="dxa"/>
                  <w:noWrap w:val="0"/>
                  <w:vAlign w:val="center"/>
                </w:tcPr>
                <w:p w14:paraId="1EF2181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9.73</w:t>
                  </w:r>
                </w:p>
              </w:tc>
            </w:tr>
            <w:tr w14:paraId="33A329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542F023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11</w:t>
                  </w:r>
                </w:p>
              </w:tc>
              <w:tc>
                <w:tcPr>
                  <w:tcW w:w="1828" w:type="dxa"/>
                  <w:vMerge w:val="continue"/>
                  <w:noWrap w:val="0"/>
                  <w:vAlign w:val="center"/>
                </w:tcPr>
                <w:p w14:paraId="2C195ED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59AF0C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211.43</w:t>
                  </w:r>
                </w:p>
              </w:tc>
              <w:tc>
                <w:tcPr>
                  <w:tcW w:w="1792" w:type="dxa"/>
                  <w:noWrap w:val="0"/>
                  <w:vAlign w:val="center"/>
                </w:tcPr>
                <w:p w14:paraId="04AF521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172.11</w:t>
                  </w:r>
                </w:p>
              </w:tc>
              <w:tc>
                <w:tcPr>
                  <w:tcW w:w="1733" w:type="dxa"/>
                  <w:noWrap w:val="0"/>
                  <w:vAlign w:val="center"/>
                </w:tcPr>
                <w:p w14:paraId="3AD66F7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9.96</w:t>
                  </w:r>
                </w:p>
              </w:tc>
            </w:tr>
            <w:tr w14:paraId="58C711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BD00B8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12</w:t>
                  </w:r>
                </w:p>
              </w:tc>
              <w:tc>
                <w:tcPr>
                  <w:tcW w:w="1828" w:type="dxa"/>
                  <w:vMerge w:val="continue"/>
                  <w:noWrap w:val="0"/>
                  <w:vAlign w:val="center"/>
                </w:tcPr>
                <w:p w14:paraId="30B05F4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BEBC52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208.48</w:t>
                  </w:r>
                </w:p>
              </w:tc>
              <w:tc>
                <w:tcPr>
                  <w:tcW w:w="1792" w:type="dxa"/>
                  <w:noWrap w:val="0"/>
                  <w:vAlign w:val="center"/>
                </w:tcPr>
                <w:p w14:paraId="7AA1E2B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181.67</w:t>
                  </w:r>
                </w:p>
              </w:tc>
              <w:tc>
                <w:tcPr>
                  <w:tcW w:w="1733" w:type="dxa"/>
                  <w:noWrap w:val="0"/>
                  <w:vAlign w:val="center"/>
                </w:tcPr>
                <w:p w14:paraId="48D7CF7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10.19</w:t>
                  </w:r>
                </w:p>
              </w:tc>
            </w:tr>
            <w:tr w14:paraId="330B32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59990D8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13</w:t>
                  </w:r>
                </w:p>
              </w:tc>
              <w:tc>
                <w:tcPr>
                  <w:tcW w:w="1828" w:type="dxa"/>
                  <w:vMerge w:val="continue"/>
                  <w:noWrap w:val="0"/>
                  <w:vAlign w:val="center"/>
                </w:tcPr>
                <w:p w14:paraId="0A34D28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F76E84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206.95</w:t>
                  </w:r>
                </w:p>
              </w:tc>
              <w:tc>
                <w:tcPr>
                  <w:tcW w:w="1792" w:type="dxa"/>
                  <w:noWrap w:val="0"/>
                  <w:vAlign w:val="center"/>
                </w:tcPr>
                <w:p w14:paraId="6008969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186.64</w:t>
                  </w:r>
                </w:p>
              </w:tc>
              <w:tc>
                <w:tcPr>
                  <w:tcW w:w="1733" w:type="dxa"/>
                  <w:noWrap w:val="0"/>
                  <w:vAlign w:val="center"/>
                </w:tcPr>
                <w:p w14:paraId="603B5E5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10.02</w:t>
                  </w:r>
                </w:p>
              </w:tc>
            </w:tr>
            <w:tr w14:paraId="43827D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0A6EA6F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14</w:t>
                  </w:r>
                </w:p>
              </w:tc>
              <w:tc>
                <w:tcPr>
                  <w:tcW w:w="1828" w:type="dxa"/>
                  <w:vMerge w:val="continue"/>
                  <w:noWrap w:val="0"/>
                  <w:vAlign w:val="center"/>
                </w:tcPr>
                <w:p w14:paraId="27865B3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314712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201.26</w:t>
                  </w:r>
                </w:p>
              </w:tc>
              <w:tc>
                <w:tcPr>
                  <w:tcW w:w="1792" w:type="dxa"/>
                  <w:noWrap w:val="0"/>
                  <w:vAlign w:val="center"/>
                </w:tcPr>
                <w:p w14:paraId="403CC7A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194.87</w:t>
                  </w:r>
                </w:p>
              </w:tc>
              <w:tc>
                <w:tcPr>
                  <w:tcW w:w="1733" w:type="dxa"/>
                  <w:noWrap w:val="0"/>
                  <w:vAlign w:val="center"/>
                </w:tcPr>
                <w:p w14:paraId="383A726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10.04</w:t>
                  </w:r>
                </w:p>
              </w:tc>
            </w:tr>
            <w:tr w14:paraId="3B7C7D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473745F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15</w:t>
                  </w:r>
                </w:p>
              </w:tc>
              <w:tc>
                <w:tcPr>
                  <w:tcW w:w="1828" w:type="dxa"/>
                  <w:vMerge w:val="continue"/>
                  <w:noWrap w:val="0"/>
                  <w:vAlign w:val="center"/>
                </w:tcPr>
                <w:p w14:paraId="1BFA719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4DD1DB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195.58</w:t>
                  </w:r>
                </w:p>
              </w:tc>
              <w:tc>
                <w:tcPr>
                  <w:tcW w:w="1792" w:type="dxa"/>
                  <w:noWrap w:val="0"/>
                  <w:vAlign w:val="center"/>
                </w:tcPr>
                <w:p w14:paraId="4DF9A14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203.09</w:t>
                  </w:r>
                </w:p>
              </w:tc>
              <w:tc>
                <w:tcPr>
                  <w:tcW w:w="1733" w:type="dxa"/>
                  <w:noWrap w:val="0"/>
                  <w:vAlign w:val="center"/>
                </w:tcPr>
                <w:p w14:paraId="062CBC6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10.06</w:t>
                  </w:r>
                </w:p>
              </w:tc>
            </w:tr>
            <w:tr w14:paraId="519FA7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5CA1F03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16</w:t>
                  </w:r>
                </w:p>
              </w:tc>
              <w:tc>
                <w:tcPr>
                  <w:tcW w:w="1828" w:type="dxa"/>
                  <w:vMerge w:val="continue"/>
                  <w:noWrap w:val="0"/>
                  <w:vAlign w:val="center"/>
                </w:tcPr>
                <w:p w14:paraId="3D7AC34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30FEE6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189.89</w:t>
                  </w:r>
                </w:p>
              </w:tc>
              <w:tc>
                <w:tcPr>
                  <w:tcW w:w="1792" w:type="dxa"/>
                  <w:noWrap w:val="0"/>
                  <w:vAlign w:val="center"/>
                </w:tcPr>
                <w:p w14:paraId="36BC9C6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211.32</w:t>
                  </w:r>
                </w:p>
              </w:tc>
              <w:tc>
                <w:tcPr>
                  <w:tcW w:w="1733" w:type="dxa"/>
                  <w:noWrap w:val="0"/>
                  <w:vAlign w:val="center"/>
                </w:tcPr>
                <w:p w14:paraId="525BF4D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10.08</w:t>
                  </w:r>
                </w:p>
              </w:tc>
            </w:tr>
            <w:tr w14:paraId="781DF8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5103EA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17</w:t>
                  </w:r>
                </w:p>
              </w:tc>
              <w:tc>
                <w:tcPr>
                  <w:tcW w:w="1828" w:type="dxa"/>
                  <w:vMerge w:val="continue"/>
                  <w:noWrap w:val="0"/>
                  <w:vAlign w:val="center"/>
                </w:tcPr>
                <w:p w14:paraId="0BEC7D4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5B0857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184.20</w:t>
                  </w:r>
                </w:p>
              </w:tc>
              <w:tc>
                <w:tcPr>
                  <w:tcW w:w="1792" w:type="dxa"/>
                  <w:noWrap w:val="0"/>
                  <w:vAlign w:val="center"/>
                </w:tcPr>
                <w:p w14:paraId="1CFE3C7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219.54</w:t>
                  </w:r>
                </w:p>
              </w:tc>
              <w:tc>
                <w:tcPr>
                  <w:tcW w:w="1733" w:type="dxa"/>
                  <w:noWrap w:val="0"/>
                  <w:vAlign w:val="center"/>
                </w:tcPr>
                <w:p w14:paraId="215D63D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10.11</w:t>
                  </w:r>
                </w:p>
              </w:tc>
            </w:tr>
            <w:tr w14:paraId="1C165E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15E405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18</w:t>
                  </w:r>
                </w:p>
              </w:tc>
              <w:tc>
                <w:tcPr>
                  <w:tcW w:w="1828" w:type="dxa"/>
                  <w:vMerge w:val="continue"/>
                  <w:noWrap w:val="0"/>
                  <w:vAlign w:val="center"/>
                </w:tcPr>
                <w:p w14:paraId="148B1FC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34023C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178.52</w:t>
                  </w:r>
                </w:p>
              </w:tc>
              <w:tc>
                <w:tcPr>
                  <w:tcW w:w="1792" w:type="dxa"/>
                  <w:noWrap w:val="0"/>
                  <w:vAlign w:val="center"/>
                </w:tcPr>
                <w:p w14:paraId="28BDB93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227.77</w:t>
                  </w:r>
                </w:p>
              </w:tc>
              <w:tc>
                <w:tcPr>
                  <w:tcW w:w="1733" w:type="dxa"/>
                  <w:noWrap w:val="0"/>
                  <w:vAlign w:val="center"/>
                </w:tcPr>
                <w:p w14:paraId="3A5999D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9.84</w:t>
                  </w:r>
                </w:p>
              </w:tc>
            </w:tr>
            <w:tr w14:paraId="03E96D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242CF07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19</w:t>
                  </w:r>
                </w:p>
              </w:tc>
              <w:tc>
                <w:tcPr>
                  <w:tcW w:w="1828" w:type="dxa"/>
                  <w:vMerge w:val="continue"/>
                  <w:noWrap w:val="0"/>
                  <w:vAlign w:val="center"/>
                </w:tcPr>
                <w:p w14:paraId="2D43D93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BD93B0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172.83</w:t>
                  </w:r>
                </w:p>
              </w:tc>
              <w:tc>
                <w:tcPr>
                  <w:tcW w:w="1792" w:type="dxa"/>
                  <w:noWrap w:val="0"/>
                  <w:vAlign w:val="center"/>
                </w:tcPr>
                <w:p w14:paraId="5B3965D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236.00</w:t>
                  </w:r>
                </w:p>
              </w:tc>
              <w:tc>
                <w:tcPr>
                  <w:tcW w:w="1733" w:type="dxa"/>
                  <w:noWrap w:val="0"/>
                  <w:vAlign w:val="center"/>
                </w:tcPr>
                <w:p w14:paraId="5461515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9.87</w:t>
                  </w:r>
                </w:p>
              </w:tc>
            </w:tr>
            <w:tr w14:paraId="7AABCF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752" w:type="dxa"/>
                  <w:noWrap w:val="0"/>
                  <w:vAlign w:val="center"/>
                </w:tcPr>
                <w:p w14:paraId="53A4358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20</w:t>
                  </w:r>
                </w:p>
              </w:tc>
              <w:tc>
                <w:tcPr>
                  <w:tcW w:w="1828" w:type="dxa"/>
                  <w:vMerge w:val="continue"/>
                  <w:noWrap w:val="0"/>
                  <w:vAlign w:val="center"/>
                </w:tcPr>
                <w:p w14:paraId="2B98E1D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72B1510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167.15</w:t>
                  </w:r>
                </w:p>
              </w:tc>
              <w:tc>
                <w:tcPr>
                  <w:tcW w:w="1792" w:type="dxa"/>
                  <w:noWrap w:val="0"/>
                  <w:vAlign w:val="center"/>
                </w:tcPr>
                <w:p w14:paraId="4ABA8B5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244.22</w:t>
                  </w:r>
                </w:p>
              </w:tc>
              <w:tc>
                <w:tcPr>
                  <w:tcW w:w="1733" w:type="dxa"/>
                  <w:noWrap w:val="0"/>
                  <w:vAlign w:val="center"/>
                </w:tcPr>
                <w:p w14:paraId="6DDD11B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10.00</w:t>
                  </w:r>
                  <w:bookmarkEnd w:id="39"/>
                </w:p>
              </w:tc>
            </w:tr>
            <w:tr w14:paraId="581F57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06F3E2E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21</w:t>
                  </w:r>
                </w:p>
              </w:tc>
              <w:tc>
                <w:tcPr>
                  <w:tcW w:w="1828" w:type="dxa"/>
                  <w:vMerge w:val="continue"/>
                  <w:noWrap w:val="0"/>
                  <w:vAlign w:val="center"/>
                </w:tcPr>
                <w:p w14:paraId="32E80A2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75E88CD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161.46</w:t>
                  </w:r>
                </w:p>
              </w:tc>
              <w:tc>
                <w:tcPr>
                  <w:tcW w:w="1792" w:type="dxa"/>
                  <w:noWrap w:val="0"/>
                  <w:vAlign w:val="center"/>
                </w:tcPr>
                <w:p w14:paraId="78CC527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252.45</w:t>
                  </w:r>
                </w:p>
              </w:tc>
              <w:tc>
                <w:tcPr>
                  <w:tcW w:w="1733" w:type="dxa"/>
                  <w:noWrap w:val="0"/>
                  <w:vAlign w:val="center"/>
                </w:tcPr>
                <w:p w14:paraId="42CC2C7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9.58</w:t>
                  </w:r>
                </w:p>
              </w:tc>
            </w:tr>
            <w:tr w14:paraId="06BC7A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A34573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22</w:t>
                  </w:r>
                </w:p>
              </w:tc>
              <w:tc>
                <w:tcPr>
                  <w:tcW w:w="1828" w:type="dxa"/>
                  <w:vMerge w:val="continue"/>
                  <w:noWrap w:val="0"/>
                  <w:vAlign w:val="center"/>
                </w:tcPr>
                <w:p w14:paraId="419C743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90908B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155.77</w:t>
                  </w:r>
                </w:p>
              </w:tc>
              <w:tc>
                <w:tcPr>
                  <w:tcW w:w="1792" w:type="dxa"/>
                  <w:noWrap w:val="0"/>
                  <w:vAlign w:val="center"/>
                </w:tcPr>
                <w:p w14:paraId="07FE292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260.67</w:t>
                  </w:r>
                </w:p>
              </w:tc>
              <w:tc>
                <w:tcPr>
                  <w:tcW w:w="1733" w:type="dxa"/>
                  <w:noWrap w:val="0"/>
                  <w:vAlign w:val="center"/>
                </w:tcPr>
                <w:p w14:paraId="2FAE91A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9.56</w:t>
                  </w:r>
                </w:p>
              </w:tc>
            </w:tr>
            <w:tr w14:paraId="6AEE7B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1CA8D4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23</w:t>
                  </w:r>
                </w:p>
              </w:tc>
              <w:tc>
                <w:tcPr>
                  <w:tcW w:w="1828" w:type="dxa"/>
                  <w:vMerge w:val="continue"/>
                  <w:noWrap w:val="0"/>
                  <w:vAlign w:val="center"/>
                </w:tcPr>
                <w:p w14:paraId="331236D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0041B1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150.09</w:t>
                  </w:r>
                </w:p>
              </w:tc>
              <w:tc>
                <w:tcPr>
                  <w:tcW w:w="1792" w:type="dxa"/>
                  <w:noWrap w:val="0"/>
                  <w:vAlign w:val="center"/>
                </w:tcPr>
                <w:p w14:paraId="257CD71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268.90</w:t>
                  </w:r>
                </w:p>
              </w:tc>
              <w:tc>
                <w:tcPr>
                  <w:tcW w:w="1733" w:type="dxa"/>
                  <w:noWrap w:val="0"/>
                  <w:vAlign w:val="center"/>
                </w:tcPr>
                <w:p w14:paraId="4E6FFF0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9.58</w:t>
                  </w:r>
                </w:p>
              </w:tc>
            </w:tr>
            <w:tr w14:paraId="63E4A9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5B57C38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24</w:t>
                  </w:r>
                </w:p>
              </w:tc>
              <w:tc>
                <w:tcPr>
                  <w:tcW w:w="1828" w:type="dxa"/>
                  <w:vMerge w:val="continue"/>
                  <w:noWrap w:val="0"/>
                  <w:vAlign w:val="center"/>
                </w:tcPr>
                <w:p w14:paraId="5E2A491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BDB1E6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144.40</w:t>
                  </w:r>
                </w:p>
              </w:tc>
              <w:tc>
                <w:tcPr>
                  <w:tcW w:w="1792" w:type="dxa"/>
                  <w:noWrap w:val="0"/>
                  <w:vAlign w:val="center"/>
                </w:tcPr>
                <w:p w14:paraId="13261C3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277.13</w:t>
                  </w:r>
                </w:p>
              </w:tc>
              <w:tc>
                <w:tcPr>
                  <w:tcW w:w="1733" w:type="dxa"/>
                  <w:noWrap w:val="0"/>
                  <w:vAlign w:val="center"/>
                </w:tcPr>
                <w:p w14:paraId="7725EC6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10.09</w:t>
                  </w:r>
                </w:p>
              </w:tc>
            </w:tr>
            <w:tr w14:paraId="757474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3411719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25</w:t>
                  </w:r>
                </w:p>
              </w:tc>
              <w:tc>
                <w:tcPr>
                  <w:tcW w:w="1828" w:type="dxa"/>
                  <w:vMerge w:val="continue"/>
                  <w:noWrap w:val="0"/>
                  <w:vAlign w:val="center"/>
                </w:tcPr>
                <w:p w14:paraId="394E165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8C514D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143.07</w:t>
                  </w:r>
                </w:p>
              </w:tc>
              <w:tc>
                <w:tcPr>
                  <w:tcW w:w="1792" w:type="dxa"/>
                  <w:noWrap w:val="0"/>
                  <w:vAlign w:val="center"/>
                </w:tcPr>
                <w:p w14:paraId="4443882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279.05</w:t>
                  </w:r>
                </w:p>
              </w:tc>
              <w:tc>
                <w:tcPr>
                  <w:tcW w:w="1733" w:type="dxa"/>
                  <w:noWrap w:val="0"/>
                  <w:vAlign w:val="center"/>
                </w:tcPr>
                <w:p w14:paraId="18CEA42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10.11</w:t>
                  </w:r>
                </w:p>
              </w:tc>
            </w:tr>
            <w:tr w14:paraId="1E221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19" w:hRule="atLeast"/>
                <w:jc w:val="center"/>
              </w:trPr>
              <w:tc>
                <w:tcPr>
                  <w:tcW w:w="752" w:type="dxa"/>
                  <w:noWrap w:val="0"/>
                  <w:vAlign w:val="center"/>
                </w:tcPr>
                <w:p w14:paraId="64F6AE3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26</w:t>
                  </w:r>
                </w:p>
              </w:tc>
              <w:tc>
                <w:tcPr>
                  <w:tcW w:w="1828" w:type="dxa"/>
                  <w:vMerge w:val="continue"/>
                  <w:noWrap w:val="0"/>
                  <w:vAlign w:val="center"/>
                </w:tcPr>
                <w:p w14:paraId="343152D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75E182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150.28</w:t>
                  </w:r>
                </w:p>
              </w:tc>
              <w:tc>
                <w:tcPr>
                  <w:tcW w:w="1792" w:type="dxa"/>
                  <w:noWrap w:val="0"/>
                  <w:vAlign w:val="center"/>
                </w:tcPr>
                <w:p w14:paraId="1D35365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285.98</w:t>
                  </w:r>
                </w:p>
              </w:tc>
              <w:tc>
                <w:tcPr>
                  <w:tcW w:w="1733" w:type="dxa"/>
                  <w:noWrap w:val="0"/>
                  <w:vAlign w:val="center"/>
                </w:tcPr>
                <w:p w14:paraId="7CB7718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10.41</w:t>
                  </w:r>
                </w:p>
              </w:tc>
            </w:tr>
            <w:tr w14:paraId="488656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19" w:hRule="atLeast"/>
                <w:jc w:val="center"/>
              </w:trPr>
              <w:tc>
                <w:tcPr>
                  <w:tcW w:w="752" w:type="dxa"/>
                  <w:noWrap w:val="0"/>
                  <w:vAlign w:val="center"/>
                </w:tcPr>
                <w:p w14:paraId="25A7771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27</w:t>
                  </w:r>
                </w:p>
              </w:tc>
              <w:tc>
                <w:tcPr>
                  <w:tcW w:w="1828" w:type="dxa"/>
                  <w:vMerge w:val="continue"/>
                  <w:noWrap w:val="0"/>
                  <w:vAlign w:val="center"/>
                </w:tcPr>
                <w:p w14:paraId="009CFEB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50D355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157.49</w:t>
                  </w:r>
                </w:p>
              </w:tc>
              <w:tc>
                <w:tcPr>
                  <w:tcW w:w="1792" w:type="dxa"/>
                  <w:noWrap w:val="0"/>
                  <w:vAlign w:val="center"/>
                </w:tcPr>
                <w:p w14:paraId="75DED46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292.91</w:t>
                  </w:r>
                </w:p>
              </w:tc>
              <w:tc>
                <w:tcPr>
                  <w:tcW w:w="1733" w:type="dxa"/>
                  <w:noWrap w:val="0"/>
                  <w:vAlign w:val="center"/>
                </w:tcPr>
                <w:p w14:paraId="726BA27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9.74</w:t>
                  </w:r>
                </w:p>
              </w:tc>
            </w:tr>
            <w:tr w14:paraId="5455C8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3892356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28</w:t>
                  </w:r>
                </w:p>
              </w:tc>
              <w:tc>
                <w:tcPr>
                  <w:tcW w:w="1828" w:type="dxa"/>
                  <w:vMerge w:val="continue"/>
                  <w:noWrap w:val="0"/>
                  <w:vAlign w:val="center"/>
                </w:tcPr>
                <w:p w14:paraId="058E8B0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5C9833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164.70</w:t>
                  </w:r>
                </w:p>
              </w:tc>
              <w:tc>
                <w:tcPr>
                  <w:tcW w:w="1792" w:type="dxa"/>
                  <w:noWrap w:val="0"/>
                  <w:vAlign w:val="center"/>
                </w:tcPr>
                <w:p w14:paraId="19C4681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299.84</w:t>
                  </w:r>
                </w:p>
              </w:tc>
              <w:tc>
                <w:tcPr>
                  <w:tcW w:w="1733" w:type="dxa"/>
                  <w:noWrap w:val="0"/>
                  <w:vAlign w:val="center"/>
                </w:tcPr>
                <w:p w14:paraId="29FE71F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9.54</w:t>
                  </w:r>
                </w:p>
              </w:tc>
            </w:tr>
            <w:tr w14:paraId="2E36FD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179CB4B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29</w:t>
                  </w:r>
                </w:p>
              </w:tc>
              <w:tc>
                <w:tcPr>
                  <w:tcW w:w="1828" w:type="dxa"/>
                  <w:vMerge w:val="continue"/>
                  <w:noWrap w:val="0"/>
                  <w:vAlign w:val="center"/>
                </w:tcPr>
                <w:p w14:paraId="77930D7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B34AD2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171.90</w:t>
                  </w:r>
                </w:p>
              </w:tc>
              <w:tc>
                <w:tcPr>
                  <w:tcW w:w="1792" w:type="dxa"/>
                  <w:noWrap w:val="0"/>
                  <w:vAlign w:val="center"/>
                </w:tcPr>
                <w:p w14:paraId="1470601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306.77</w:t>
                  </w:r>
                </w:p>
              </w:tc>
              <w:tc>
                <w:tcPr>
                  <w:tcW w:w="1733" w:type="dxa"/>
                  <w:noWrap w:val="0"/>
                  <w:vAlign w:val="center"/>
                </w:tcPr>
                <w:p w14:paraId="7C17829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9.02</w:t>
                  </w:r>
                </w:p>
              </w:tc>
            </w:tr>
            <w:tr w14:paraId="05A84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DB980F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30</w:t>
                  </w:r>
                </w:p>
              </w:tc>
              <w:tc>
                <w:tcPr>
                  <w:tcW w:w="1828" w:type="dxa"/>
                  <w:vMerge w:val="continue"/>
                  <w:noWrap w:val="0"/>
                  <w:vAlign w:val="center"/>
                </w:tcPr>
                <w:p w14:paraId="2EA53E4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EE1014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178.41</w:t>
                  </w:r>
                </w:p>
              </w:tc>
              <w:tc>
                <w:tcPr>
                  <w:tcW w:w="1792" w:type="dxa"/>
                  <w:noWrap w:val="0"/>
                  <w:vAlign w:val="center"/>
                </w:tcPr>
                <w:p w14:paraId="0972AF0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313.03</w:t>
                  </w:r>
                </w:p>
              </w:tc>
              <w:tc>
                <w:tcPr>
                  <w:tcW w:w="1733" w:type="dxa"/>
                  <w:noWrap w:val="0"/>
                  <w:vAlign w:val="center"/>
                </w:tcPr>
                <w:p w14:paraId="4D24E28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8.65</w:t>
                  </w:r>
                </w:p>
              </w:tc>
            </w:tr>
            <w:tr w14:paraId="361771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5E12BEF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31</w:t>
                  </w:r>
                </w:p>
              </w:tc>
              <w:tc>
                <w:tcPr>
                  <w:tcW w:w="1828" w:type="dxa"/>
                  <w:vMerge w:val="continue"/>
                  <w:noWrap w:val="0"/>
                  <w:vAlign w:val="center"/>
                </w:tcPr>
                <w:p w14:paraId="1543AF8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1381F9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178.41</w:t>
                  </w:r>
                </w:p>
              </w:tc>
              <w:tc>
                <w:tcPr>
                  <w:tcW w:w="1792" w:type="dxa"/>
                  <w:noWrap w:val="0"/>
                  <w:vAlign w:val="center"/>
                </w:tcPr>
                <w:p w14:paraId="5BF60E6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323.03</w:t>
                  </w:r>
                </w:p>
              </w:tc>
              <w:tc>
                <w:tcPr>
                  <w:tcW w:w="1733" w:type="dxa"/>
                  <w:noWrap w:val="0"/>
                  <w:vAlign w:val="center"/>
                </w:tcPr>
                <w:p w14:paraId="1E23893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8.01</w:t>
                  </w:r>
                </w:p>
              </w:tc>
            </w:tr>
            <w:tr w14:paraId="021C84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5B18B1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32</w:t>
                  </w:r>
                </w:p>
              </w:tc>
              <w:tc>
                <w:tcPr>
                  <w:tcW w:w="1828" w:type="dxa"/>
                  <w:vMerge w:val="continue"/>
                  <w:noWrap w:val="0"/>
                  <w:vAlign w:val="center"/>
                </w:tcPr>
                <w:p w14:paraId="4667F9B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3A7B41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178.41</w:t>
                  </w:r>
                </w:p>
              </w:tc>
              <w:tc>
                <w:tcPr>
                  <w:tcW w:w="1792" w:type="dxa"/>
                  <w:noWrap w:val="0"/>
                  <w:vAlign w:val="center"/>
                </w:tcPr>
                <w:p w14:paraId="5EE3234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333.03</w:t>
                  </w:r>
                </w:p>
              </w:tc>
              <w:tc>
                <w:tcPr>
                  <w:tcW w:w="1733" w:type="dxa"/>
                  <w:noWrap w:val="0"/>
                  <w:vAlign w:val="center"/>
                </w:tcPr>
                <w:p w14:paraId="30E8D43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7.86</w:t>
                  </w:r>
                </w:p>
              </w:tc>
            </w:tr>
            <w:tr w14:paraId="76D788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24E933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33</w:t>
                  </w:r>
                </w:p>
              </w:tc>
              <w:tc>
                <w:tcPr>
                  <w:tcW w:w="1828" w:type="dxa"/>
                  <w:vMerge w:val="continue"/>
                  <w:noWrap w:val="0"/>
                  <w:vAlign w:val="center"/>
                </w:tcPr>
                <w:p w14:paraId="1D520C7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EC1B42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178.41</w:t>
                  </w:r>
                </w:p>
              </w:tc>
              <w:tc>
                <w:tcPr>
                  <w:tcW w:w="1792" w:type="dxa"/>
                  <w:noWrap w:val="0"/>
                  <w:vAlign w:val="center"/>
                </w:tcPr>
                <w:p w14:paraId="25F021C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343.03</w:t>
                  </w:r>
                </w:p>
              </w:tc>
              <w:tc>
                <w:tcPr>
                  <w:tcW w:w="1733" w:type="dxa"/>
                  <w:noWrap w:val="0"/>
                  <w:vAlign w:val="center"/>
                </w:tcPr>
                <w:p w14:paraId="7C88C11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8.14</w:t>
                  </w:r>
                </w:p>
              </w:tc>
            </w:tr>
            <w:tr w14:paraId="0C94D6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4288BEF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34</w:t>
                  </w:r>
                </w:p>
              </w:tc>
              <w:tc>
                <w:tcPr>
                  <w:tcW w:w="1828" w:type="dxa"/>
                  <w:vMerge w:val="continue"/>
                  <w:noWrap w:val="0"/>
                  <w:vAlign w:val="center"/>
                </w:tcPr>
                <w:p w14:paraId="2219230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01CA58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178.41</w:t>
                  </w:r>
                </w:p>
              </w:tc>
              <w:tc>
                <w:tcPr>
                  <w:tcW w:w="1792" w:type="dxa"/>
                  <w:noWrap w:val="0"/>
                  <w:vAlign w:val="center"/>
                </w:tcPr>
                <w:p w14:paraId="3E2C257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353.03</w:t>
                  </w:r>
                </w:p>
              </w:tc>
              <w:tc>
                <w:tcPr>
                  <w:tcW w:w="1733" w:type="dxa"/>
                  <w:noWrap w:val="0"/>
                  <w:vAlign w:val="center"/>
                </w:tcPr>
                <w:p w14:paraId="2ED801F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8.41</w:t>
                  </w:r>
                </w:p>
              </w:tc>
            </w:tr>
            <w:tr w14:paraId="50D250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7FE963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35</w:t>
                  </w:r>
                </w:p>
              </w:tc>
              <w:tc>
                <w:tcPr>
                  <w:tcW w:w="1828" w:type="dxa"/>
                  <w:vMerge w:val="continue"/>
                  <w:noWrap w:val="0"/>
                  <w:vAlign w:val="center"/>
                </w:tcPr>
                <w:p w14:paraId="2E2DD3A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69EF6D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178.41</w:t>
                  </w:r>
                </w:p>
              </w:tc>
              <w:tc>
                <w:tcPr>
                  <w:tcW w:w="1792" w:type="dxa"/>
                  <w:noWrap w:val="0"/>
                  <w:vAlign w:val="center"/>
                </w:tcPr>
                <w:p w14:paraId="56ABB79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360.59</w:t>
                  </w:r>
                </w:p>
              </w:tc>
              <w:tc>
                <w:tcPr>
                  <w:tcW w:w="1733" w:type="dxa"/>
                  <w:noWrap w:val="0"/>
                  <w:vAlign w:val="center"/>
                </w:tcPr>
                <w:p w14:paraId="626B92E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8.61</w:t>
                  </w:r>
                </w:p>
              </w:tc>
            </w:tr>
            <w:tr w14:paraId="2A442A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E0390E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36</w:t>
                  </w:r>
                </w:p>
              </w:tc>
              <w:tc>
                <w:tcPr>
                  <w:tcW w:w="1828" w:type="dxa"/>
                  <w:vMerge w:val="continue"/>
                  <w:noWrap w:val="0"/>
                  <w:vAlign w:val="center"/>
                </w:tcPr>
                <w:p w14:paraId="27B7024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659D91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171.09</w:t>
                  </w:r>
                </w:p>
              </w:tc>
              <w:tc>
                <w:tcPr>
                  <w:tcW w:w="1792" w:type="dxa"/>
                  <w:noWrap w:val="0"/>
                  <w:vAlign w:val="center"/>
                </w:tcPr>
                <w:p w14:paraId="786DFCB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367.40</w:t>
                  </w:r>
                </w:p>
              </w:tc>
              <w:tc>
                <w:tcPr>
                  <w:tcW w:w="1733" w:type="dxa"/>
                  <w:noWrap w:val="0"/>
                  <w:vAlign w:val="center"/>
                </w:tcPr>
                <w:p w14:paraId="007E7C1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8.54</w:t>
                  </w:r>
                </w:p>
              </w:tc>
            </w:tr>
            <w:tr w14:paraId="354768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007E98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37</w:t>
                  </w:r>
                </w:p>
              </w:tc>
              <w:tc>
                <w:tcPr>
                  <w:tcW w:w="1828" w:type="dxa"/>
                  <w:vMerge w:val="continue"/>
                  <w:noWrap w:val="0"/>
                  <w:vAlign w:val="center"/>
                </w:tcPr>
                <w:p w14:paraId="07C89FE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03BE4C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163.76</w:t>
                  </w:r>
                </w:p>
              </w:tc>
              <w:tc>
                <w:tcPr>
                  <w:tcW w:w="1792" w:type="dxa"/>
                  <w:noWrap w:val="0"/>
                  <w:vAlign w:val="center"/>
                </w:tcPr>
                <w:p w14:paraId="4A15FE4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374.21</w:t>
                  </w:r>
                </w:p>
              </w:tc>
              <w:tc>
                <w:tcPr>
                  <w:tcW w:w="1733" w:type="dxa"/>
                  <w:noWrap w:val="0"/>
                  <w:vAlign w:val="center"/>
                </w:tcPr>
                <w:p w14:paraId="5B3CD1F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8.56</w:t>
                  </w:r>
                </w:p>
              </w:tc>
            </w:tr>
            <w:tr w14:paraId="422A67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1D86445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38</w:t>
                  </w:r>
                </w:p>
              </w:tc>
              <w:tc>
                <w:tcPr>
                  <w:tcW w:w="1828" w:type="dxa"/>
                  <w:vMerge w:val="continue"/>
                  <w:noWrap w:val="0"/>
                  <w:vAlign w:val="center"/>
                </w:tcPr>
                <w:p w14:paraId="09456EE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A9C0EB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156.44</w:t>
                  </w:r>
                </w:p>
              </w:tc>
              <w:tc>
                <w:tcPr>
                  <w:tcW w:w="1792" w:type="dxa"/>
                  <w:noWrap w:val="0"/>
                  <w:vAlign w:val="center"/>
                </w:tcPr>
                <w:p w14:paraId="2986ACC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381.02</w:t>
                  </w:r>
                </w:p>
              </w:tc>
              <w:tc>
                <w:tcPr>
                  <w:tcW w:w="1733" w:type="dxa"/>
                  <w:noWrap w:val="0"/>
                  <w:vAlign w:val="center"/>
                </w:tcPr>
                <w:p w14:paraId="38756CD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8.46</w:t>
                  </w:r>
                </w:p>
              </w:tc>
            </w:tr>
            <w:tr w14:paraId="2D92A0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422FAFB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39</w:t>
                  </w:r>
                </w:p>
              </w:tc>
              <w:tc>
                <w:tcPr>
                  <w:tcW w:w="1828" w:type="dxa"/>
                  <w:vMerge w:val="continue"/>
                  <w:noWrap w:val="0"/>
                  <w:vAlign w:val="center"/>
                </w:tcPr>
                <w:p w14:paraId="3D96F39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787341A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149.12</w:t>
                  </w:r>
                </w:p>
              </w:tc>
              <w:tc>
                <w:tcPr>
                  <w:tcW w:w="1792" w:type="dxa"/>
                  <w:noWrap w:val="0"/>
                  <w:vAlign w:val="center"/>
                </w:tcPr>
                <w:p w14:paraId="0AE05C9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387.83</w:t>
                  </w:r>
                </w:p>
              </w:tc>
              <w:tc>
                <w:tcPr>
                  <w:tcW w:w="1733" w:type="dxa"/>
                  <w:noWrap w:val="0"/>
                  <w:vAlign w:val="center"/>
                </w:tcPr>
                <w:p w14:paraId="2577CA9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8.37</w:t>
                  </w:r>
                </w:p>
              </w:tc>
            </w:tr>
            <w:tr w14:paraId="34B73C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2681269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40</w:t>
                  </w:r>
                </w:p>
              </w:tc>
              <w:tc>
                <w:tcPr>
                  <w:tcW w:w="1828" w:type="dxa"/>
                  <w:vMerge w:val="continue"/>
                  <w:noWrap w:val="0"/>
                  <w:vAlign w:val="center"/>
                </w:tcPr>
                <w:p w14:paraId="48B348A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BA7E9A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141.80</w:t>
                  </w:r>
                </w:p>
              </w:tc>
              <w:tc>
                <w:tcPr>
                  <w:tcW w:w="1792" w:type="dxa"/>
                  <w:noWrap w:val="0"/>
                  <w:vAlign w:val="center"/>
                </w:tcPr>
                <w:p w14:paraId="652E156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394.64</w:t>
                  </w:r>
                </w:p>
              </w:tc>
              <w:tc>
                <w:tcPr>
                  <w:tcW w:w="1733" w:type="dxa"/>
                  <w:noWrap w:val="0"/>
                  <w:vAlign w:val="center"/>
                </w:tcPr>
                <w:p w14:paraId="3F8B3AD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8.28</w:t>
                  </w:r>
                </w:p>
              </w:tc>
            </w:tr>
            <w:tr w14:paraId="1C657D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D8D15A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41</w:t>
                  </w:r>
                </w:p>
              </w:tc>
              <w:tc>
                <w:tcPr>
                  <w:tcW w:w="1828" w:type="dxa"/>
                  <w:vMerge w:val="continue"/>
                  <w:noWrap w:val="0"/>
                  <w:vAlign w:val="center"/>
                </w:tcPr>
                <w:p w14:paraId="53DB7BA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C255FC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134.47</w:t>
                  </w:r>
                </w:p>
              </w:tc>
              <w:tc>
                <w:tcPr>
                  <w:tcW w:w="1792" w:type="dxa"/>
                  <w:noWrap w:val="0"/>
                  <w:vAlign w:val="center"/>
                </w:tcPr>
                <w:p w14:paraId="05E403B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401.45</w:t>
                  </w:r>
                </w:p>
              </w:tc>
              <w:tc>
                <w:tcPr>
                  <w:tcW w:w="1733" w:type="dxa"/>
                  <w:noWrap w:val="0"/>
                  <w:vAlign w:val="center"/>
                </w:tcPr>
                <w:p w14:paraId="21668B4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8.20</w:t>
                  </w:r>
                </w:p>
              </w:tc>
            </w:tr>
            <w:tr w14:paraId="69A29D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1BFB750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42</w:t>
                  </w:r>
                </w:p>
              </w:tc>
              <w:tc>
                <w:tcPr>
                  <w:tcW w:w="1828" w:type="dxa"/>
                  <w:vMerge w:val="continue"/>
                  <w:noWrap w:val="0"/>
                  <w:vAlign w:val="center"/>
                </w:tcPr>
                <w:p w14:paraId="5485E81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770CEEE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127.15</w:t>
                  </w:r>
                </w:p>
              </w:tc>
              <w:tc>
                <w:tcPr>
                  <w:tcW w:w="1792" w:type="dxa"/>
                  <w:noWrap w:val="0"/>
                  <w:vAlign w:val="center"/>
                </w:tcPr>
                <w:p w14:paraId="2BE5C90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408.26</w:t>
                  </w:r>
                </w:p>
              </w:tc>
              <w:tc>
                <w:tcPr>
                  <w:tcW w:w="1733" w:type="dxa"/>
                  <w:noWrap w:val="0"/>
                  <w:vAlign w:val="center"/>
                </w:tcPr>
                <w:p w14:paraId="7E2EB1A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8.13</w:t>
                  </w:r>
                </w:p>
              </w:tc>
            </w:tr>
            <w:tr w14:paraId="342D87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215D009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43</w:t>
                  </w:r>
                </w:p>
              </w:tc>
              <w:tc>
                <w:tcPr>
                  <w:tcW w:w="1828" w:type="dxa"/>
                  <w:vMerge w:val="continue"/>
                  <w:noWrap w:val="0"/>
                  <w:vAlign w:val="center"/>
                </w:tcPr>
                <w:p w14:paraId="231BC0B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A67942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119.83</w:t>
                  </w:r>
                </w:p>
              </w:tc>
              <w:tc>
                <w:tcPr>
                  <w:tcW w:w="1792" w:type="dxa"/>
                  <w:noWrap w:val="0"/>
                  <w:vAlign w:val="center"/>
                </w:tcPr>
                <w:p w14:paraId="1700CBD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415.07</w:t>
                  </w:r>
                </w:p>
              </w:tc>
              <w:tc>
                <w:tcPr>
                  <w:tcW w:w="1733" w:type="dxa"/>
                  <w:noWrap w:val="0"/>
                  <w:vAlign w:val="center"/>
                </w:tcPr>
                <w:p w14:paraId="12A405C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8.06</w:t>
                  </w:r>
                </w:p>
              </w:tc>
            </w:tr>
            <w:tr w14:paraId="353B9B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01394F9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44</w:t>
                  </w:r>
                </w:p>
              </w:tc>
              <w:tc>
                <w:tcPr>
                  <w:tcW w:w="1828" w:type="dxa"/>
                  <w:vMerge w:val="continue"/>
                  <w:noWrap w:val="0"/>
                  <w:vAlign w:val="center"/>
                </w:tcPr>
                <w:p w14:paraId="6D4A0E1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73C713C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112.51</w:t>
                  </w:r>
                </w:p>
              </w:tc>
              <w:tc>
                <w:tcPr>
                  <w:tcW w:w="1792" w:type="dxa"/>
                  <w:noWrap w:val="0"/>
                  <w:vAlign w:val="center"/>
                </w:tcPr>
                <w:p w14:paraId="4136739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421.88</w:t>
                  </w:r>
                </w:p>
              </w:tc>
              <w:tc>
                <w:tcPr>
                  <w:tcW w:w="1733" w:type="dxa"/>
                  <w:noWrap w:val="0"/>
                  <w:vAlign w:val="center"/>
                </w:tcPr>
                <w:p w14:paraId="771225B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8.00</w:t>
                  </w:r>
                </w:p>
              </w:tc>
            </w:tr>
            <w:tr w14:paraId="044C82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18D37C4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45</w:t>
                  </w:r>
                </w:p>
              </w:tc>
              <w:tc>
                <w:tcPr>
                  <w:tcW w:w="1828" w:type="dxa"/>
                  <w:vMerge w:val="continue"/>
                  <w:noWrap w:val="0"/>
                  <w:vAlign w:val="center"/>
                </w:tcPr>
                <w:p w14:paraId="499B83A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7986649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105.18</w:t>
                  </w:r>
                </w:p>
              </w:tc>
              <w:tc>
                <w:tcPr>
                  <w:tcW w:w="1792" w:type="dxa"/>
                  <w:noWrap w:val="0"/>
                  <w:vAlign w:val="center"/>
                </w:tcPr>
                <w:p w14:paraId="2AF26F1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428.69</w:t>
                  </w:r>
                </w:p>
              </w:tc>
              <w:tc>
                <w:tcPr>
                  <w:tcW w:w="1733" w:type="dxa"/>
                  <w:noWrap w:val="0"/>
                  <w:vAlign w:val="center"/>
                </w:tcPr>
                <w:p w14:paraId="5E5053A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7.95</w:t>
                  </w:r>
                </w:p>
              </w:tc>
            </w:tr>
            <w:tr w14:paraId="42C160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55AEF6D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46</w:t>
                  </w:r>
                </w:p>
              </w:tc>
              <w:tc>
                <w:tcPr>
                  <w:tcW w:w="1828" w:type="dxa"/>
                  <w:vMerge w:val="continue"/>
                  <w:noWrap w:val="0"/>
                  <w:vAlign w:val="center"/>
                </w:tcPr>
                <w:p w14:paraId="19098D9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8ABCB1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97.86</w:t>
                  </w:r>
                </w:p>
              </w:tc>
              <w:tc>
                <w:tcPr>
                  <w:tcW w:w="1792" w:type="dxa"/>
                  <w:noWrap w:val="0"/>
                  <w:vAlign w:val="center"/>
                </w:tcPr>
                <w:p w14:paraId="7CBDE78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435.50</w:t>
                  </w:r>
                </w:p>
              </w:tc>
              <w:tc>
                <w:tcPr>
                  <w:tcW w:w="1733" w:type="dxa"/>
                  <w:noWrap w:val="0"/>
                  <w:vAlign w:val="center"/>
                </w:tcPr>
                <w:p w14:paraId="4391CE7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7.90</w:t>
                  </w:r>
                </w:p>
              </w:tc>
            </w:tr>
            <w:tr w14:paraId="25E60A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19" w:hRule="atLeast"/>
                <w:jc w:val="center"/>
              </w:trPr>
              <w:tc>
                <w:tcPr>
                  <w:tcW w:w="752" w:type="dxa"/>
                  <w:noWrap w:val="0"/>
                  <w:vAlign w:val="center"/>
                </w:tcPr>
                <w:p w14:paraId="69DD44C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47</w:t>
                  </w:r>
                </w:p>
              </w:tc>
              <w:tc>
                <w:tcPr>
                  <w:tcW w:w="1828" w:type="dxa"/>
                  <w:vMerge w:val="continue"/>
                  <w:noWrap w:val="0"/>
                  <w:vAlign w:val="center"/>
                </w:tcPr>
                <w:p w14:paraId="2E4FBB5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C93403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90.54</w:t>
                  </w:r>
                </w:p>
              </w:tc>
              <w:tc>
                <w:tcPr>
                  <w:tcW w:w="1792" w:type="dxa"/>
                  <w:noWrap w:val="0"/>
                  <w:vAlign w:val="center"/>
                </w:tcPr>
                <w:p w14:paraId="717533C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442.31</w:t>
                  </w:r>
                </w:p>
              </w:tc>
              <w:tc>
                <w:tcPr>
                  <w:tcW w:w="1733" w:type="dxa"/>
                  <w:noWrap w:val="0"/>
                  <w:vAlign w:val="center"/>
                </w:tcPr>
                <w:p w14:paraId="7A67453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7.88</w:t>
                  </w:r>
                </w:p>
              </w:tc>
            </w:tr>
            <w:tr w14:paraId="7DD6BF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28759BD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48</w:t>
                  </w:r>
                </w:p>
              </w:tc>
              <w:tc>
                <w:tcPr>
                  <w:tcW w:w="1828" w:type="dxa"/>
                  <w:vMerge w:val="continue"/>
                  <w:noWrap w:val="0"/>
                  <w:vAlign w:val="center"/>
                </w:tcPr>
                <w:p w14:paraId="35DDA10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CED45D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83.22</w:t>
                  </w:r>
                </w:p>
              </w:tc>
              <w:tc>
                <w:tcPr>
                  <w:tcW w:w="1792" w:type="dxa"/>
                  <w:noWrap w:val="0"/>
                  <w:vAlign w:val="center"/>
                </w:tcPr>
                <w:p w14:paraId="48F2FAA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449.12</w:t>
                  </w:r>
                </w:p>
              </w:tc>
              <w:tc>
                <w:tcPr>
                  <w:tcW w:w="1733" w:type="dxa"/>
                  <w:noWrap w:val="0"/>
                  <w:vAlign w:val="center"/>
                </w:tcPr>
                <w:p w14:paraId="0E73CAC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7.88</w:t>
                  </w:r>
                </w:p>
              </w:tc>
            </w:tr>
            <w:tr w14:paraId="43CD50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589DB1E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49</w:t>
                  </w:r>
                </w:p>
              </w:tc>
              <w:tc>
                <w:tcPr>
                  <w:tcW w:w="1828" w:type="dxa"/>
                  <w:vMerge w:val="continue"/>
                  <w:noWrap w:val="0"/>
                  <w:vAlign w:val="center"/>
                </w:tcPr>
                <w:p w14:paraId="31CFCD3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6B1278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75.89</w:t>
                  </w:r>
                </w:p>
              </w:tc>
              <w:tc>
                <w:tcPr>
                  <w:tcW w:w="1792" w:type="dxa"/>
                  <w:noWrap w:val="0"/>
                  <w:vAlign w:val="center"/>
                </w:tcPr>
                <w:p w14:paraId="2270CE4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455.93</w:t>
                  </w:r>
                </w:p>
              </w:tc>
              <w:tc>
                <w:tcPr>
                  <w:tcW w:w="1733" w:type="dxa"/>
                  <w:noWrap w:val="0"/>
                  <w:vAlign w:val="center"/>
                </w:tcPr>
                <w:p w14:paraId="00144DF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7.98</w:t>
                  </w:r>
                </w:p>
              </w:tc>
            </w:tr>
            <w:tr w14:paraId="38AE69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13BADBB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50</w:t>
                  </w:r>
                </w:p>
              </w:tc>
              <w:tc>
                <w:tcPr>
                  <w:tcW w:w="1828" w:type="dxa"/>
                  <w:vMerge w:val="continue"/>
                  <w:noWrap w:val="0"/>
                  <w:vAlign w:val="center"/>
                </w:tcPr>
                <w:p w14:paraId="3710445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C3C118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68.57</w:t>
                  </w:r>
                </w:p>
              </w:tc>
              <w:tc>
                <w:tcPr>
                  <w:tcW w:w="1792" w:type="dxa"/>
                  <w:noWrap w:val="0"/>
                  <w:vAlign w:val="center"/>
                </w:tcPr>
                <w:p w14:paraId="3BFB8DA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462.74</w:t>
                  </w:r>
                </w:p>
              </w:tc>
              <w:tc>
                <w:tcPr>
                  <w:tcW w:w="1733" w:type="dxa"/>
                  <w:noWrap w:val="0"/>
                  <w:vAlign w:val="center"/>
                </w:tcPr>
                <w:p w14:paraId="23F5051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8.25</w:t>
                  </w:r>
                </w:p>
              </w:tc>
            </w:tr>
            <w:tr w14:paraId="752EFB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22F23E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51</w:t>
                  </w:r>
                </w:p>
              </w:tc>
              <w:tc>
                <w:tcPr>
                  <w:tcW w:w="1828" w:type="dxa"/>
                  <w:vMerge w:val="continue"/>
                  <w:noWrap w:val="0"/>
                  <w:vAlign w:val="center"/>
                </w:tcPr>
                <w:p w14:paraId="3B2F149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E60FA5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61.25</w:t>
                  </w:r>
                </w:p>
              </w:tc>
              <w:tc>
                <w:tcPr>
                  <w:tcW w:w="1792" w:type="dxa"/>
                  <w:noWrap w:val="0"/>
                  <w:vAlign w:val="center"/>
                </w:tcPr>
                <w:p w14:paraId="47AD02A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469.55</w:t>
                  </w:r>
                </w:p>
              </w:tc>
              <w:tc>
                <w:tcPr>
                  <w:tcW w:w="1733" w:type="dxa"/>
                  <w:noWrap w:val="0"/>
                  <w:vAlign w:val="center"/>
                </w:tcPr>
                <w:p w14:paraId="6FAF780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8.98</w:t>
                  </w:r>
                </w:p>
              </w:tc>
            </w:tr>
            <w:tr w14:paraId="4C6545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41F84B6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52</w:t>
                  </w:r>
                </w:p>
              </w:tc>
              <w:tc>
                <w:tcPr>
                  <w:tcW w:w="1828" w:type="dxa"/>
                  <w:vMerge w:val="continue"/>
                  <w:noWrap w:val="0"/>
                  <w:vAlign w:val="center"/>
                </w:tcPr>
                <w:p w14:paraId="5530FD5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17D178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53.93</w:t>
                  </w:r>
                </w:p>
              </w:tc>
              <w:tc>
                <w:tcPr>
                  <w:tcW w:w="1792" w:type="dxa"/>
                  <w:noWrap w:val="0"/>
                  <w:vAlign w:val="center"/>
                </w:tcPr>
                <w:p w14:paraId="751E4C2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476.36</w:t>
                  </w:r>
                </w:p>
              </w:tc>
              <w:tc>
                <w:tcPr>
                  <w:tcW w:w="1733" w:type="dxa"/>
                  <w:noWrap w:val="0"/>
                  <w:vAlign w:val="center"/>
                </w:tcPr>
                <w:p w14:paraId="29F2750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10.99</w:t>
                  </w:r>
                </w:p>
              </w:tc>
            </w:tr>
            <w:tr w14:paraId="683BDB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3A6579A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53</w:t>
                  </w:r>
                </w:p>
              </w:tc>
              <w:tc>
                <w:tcPr>
                  <w:tcW w:w="1828" w:type="dxa"/>
                  <w:vMerge w:val="continue"/>
                  <w:noWrap w:val="0"/>
                  <w:vAlign w:val="center"/>
                </w:tcPr>
                <w:p w14:paraId="7C5C50E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DB0DE4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46.60</w:t>
                  </w:r>
                </w:p>
              </w:tc>
              <w:tc>
                <w:tcPr>
                  <w:tcW w:w="1792" w:type="dxa"/>
                  <w:noWrap w:val="0"/>
                  <w:vAlign w:val="center"/>
                </w:tcPr>
                <w:p w14:paraId="65DEC7E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483.17</w:t>
                  </w:r>
                </w:p>
              </w:tc>
              <w:tc>
                <w:tcPr>
                  <w:tcW w:w="1733" w:type="dxa"/>
                  <w:noWrap w:val="0"/>
                  <w:vAlign w:val="center"/>
                </w:tcPr>
                <w:p w14:paraId="16579A4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17.47</w:t>
                  </w:r>
                </w:p>
              </w:tc>
            </w:tr>
            <w:tr w14:paraId="3CA9F6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19" w:hRule="atLeast"/>
                <w:jc w:val="center"/>
              </w:trPr>
              <w:tc>
                <w:tcPr>
                  <w:tcW w:w="752" w:type="dxa"/>
                  <w:noWrap w:val="0"/>
                  <w:vAlign w:val="center"/>
                </w:tcPr>
                <w:p w14:paraId="2736A5A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54</w:t>
                  </w:r>
                </w:p>
              </w:tc>
              <w:tc>
                <w:tcPr>
                  <w:tcW w:w="1828" w:type="dxa"/>
                  <w:vMerge w:val="continue"/>
                  <w:noWrap w:val="0"/>
                  <w:vAlign w:val="center"/>
                </w:tcPr>
                <w:p w14:paraId="1D0AED9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652204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42.51</w:t>
                  </w:r>
                </w:p>
              </w:tc>
              <w:tc>
                <w:tcPr>
                  <w:tcW w:w="1792" w:type="dxa"/>
                  <w:noWrap w:val="0"/>
                  <w:vAlign w:val="center"/>
                </w:tcPr>
                <w:p w14:paraId="31E405D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486.98</w:t>
                  </w:r>
                </w:p>
              </w:tc>
              <w:tc>
                <w:tcPr>
                  <w:tcW w:w="1733" w:type="dxa"/>
                  <w:noWrap w:val="0"/>
                  <w:vAlign w:val="center"/>
                </w:tcPr>
                <w:p w14:paraId="12C4A58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18.13</w:t>
                  </w:r>
                </w:p>
              </w:tc>
            </w:tr>
            <w:tr w14:paraId="6E5613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274A0A7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55</w:t>
                  </w:r>
                </w:p>
              </w:tc>
              <w:tc>
                <w:tcPr>
                  <w:tcW w:w="1828" w:type="dxa"/>
                  <w:vMerge w:val="continue"/>
                  <w:noWrap w:val="0"/>
                  <w:vAlign w:val="center"/>
                </w:tcPr>
                <w:p w14:paraId="39D7C2D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7BA233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32.90</w:t>
                  </w:r>
                </w:p>
              </w:tc>
              <w:tc>
                <w:tcPr>
                  <w:tcW w:w="1792" w:type="dxa"/>
                  <w:noWrap w:val="0"/>
                  <w:vAlign w:val="center"/>
                </w:tcPr>
                <w:p w14:paraId="523BDD8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484.20</w:t>
                  </w:r>
                </w:p>
              </w:tc>
              <w:tc>
                <w:tcPr>
                  <w:tcW w:w="1733" w:type="dxa"/>
                  <w:noWrap w:val="0"/>
                  <w:vAlign w:val="center"/>
                </w:tcPr>
                <w:p w14:paraId="1D37874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18.32</w:t>
                  </w:r>
                </w:p>
              </w:tc>
            </w:tr>
            <w:tr w14:paraId="1553AE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787F79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56</w:t>
                  </w:r>
                </w:p>
              </w:tc>
              <w:tc>
                <w:tcPr>
                  <w:tcW w:w="1828" w:type="dxa"/>
                  <w:vMerge w:val="continue"/>
                  <w:noWrap w:val="0"/>
                  <w:vAlign w:val="center"/>
                </w:tcPr>
                <w:p w14:paraId="5C310B3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C4AF92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23.30</w:t>
                  </w:r>
                </w:p>
              </w:tc>
              <w:tc>
                <w:tcPr>
                  <w:tcW w:w="1792" w:type="dxa"/>
                  <w:noWrap w:val="0"/>
                  <w:vAlign w:val="center"/>
                </w:tcPr>
                <w:p w14:paraId="4E95120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481.42</w:t>
                  </w:r>
                </w:p>
              </w:tc>
              <w:tc>
                <w:tcPr>
                  <w:tcW w:w="1733" w:type="dxa"/>
                  <w:noWrap w:val="0"/>
                  <w:vAlign w:val="center"/>
                </w:tcPr>
                <w:p w14:paraId="63F59F2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18.53</w:t>
                  </w:r>
                </w:p>
              </w:tc>
            </w:tr>
            <w:tr w14:paraId="2F1BE7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0877785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57</w:t>
                  </w:r>
                </w:p>
              </w:tc>
              <w:tc>
                <w:tcPr>
                  <w:tcW w:w="1828" w:type="dxa"/>
                  <w:vMerge w:val="continue"/>
                  <w:noWrap w:val="0"/>
                  <w:vAlign w:val="center"/>
                </w:tcPr>
                <w:p w14:paraId="1D9FD26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235B7F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13.69</w:t>
                  </w:r>
                </w:p>
              </w:tc>
              <w:tc>
                <w:tcPr>
                  <w:tcW w:w="1792" w:type="dxa"/>
                  <w:noWrap w:val="0"/>
                  <w:vAlign w:val="center"/>
                </w:tcPr>
                <w:p w14:paraId="209FF0E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478.64</w:t>
                  </w:r>
                </w:p>
              </w:tc>
              <w:tc>
                <w:tcPr>
                  <w:tcW w:w="1733" w:type="dxa"/>
                  <w:noWrap w:val="0"/>
                  <w:vAlign w:val="center"/>
                </w:tcPr>
                <w:p w14:paraId="4AF4847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18.76</w:t>
                  </w:r>
                </w:p>
              </w:tc>
            </w:tr>
            <w:tr w14:paraId="585D79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C90B0B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58</w:t>
                  </w:r>
                </w:p>
              </w:tc>
              <w:tc>
                <w:tcPr>
                  <w:tcW w:w="1828" w:type="dxa"/>
                  <w:vMerge w:val="continue"/>
                  <w:noWrap w:val="0"/>
                  <w:vAlign w:val="center"/>
                </w:tcPr>
                <w:p w14:paraId="7DD2F1A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117424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4.09</w:t>
                  </w:r>
                </w:p>
              </w:tc>
              <w:tc>
                <w:tcPr>
                  <w:tcW w:w="1792" w:type="dxa"/>
                  <w:noWrap w:val="0"/>
                  <w:vAlign w:val="center"/>
                </w:tcPr>
                <w:p w14:paraId="6276508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475.86</w:t>
                  </w:r>
                </w:p>
              </w:tc>
              <w:tc>
                <w:tcPr>
                  <w:tcW w:w="1733" w:type="dxa"/>
                  <w:noWrap w:val="0"/>
                  <w:vAlign w:val="center"/>
                </w:tcPr>
                <w:p w14:paraId="274EC2C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19.01</w:t>
                  </w:r>
                </w:p>
              </w:tc>
            </w:tr>
            <w:tr w14:paraId="4519D7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19" w:hRule="atLeast"/>
                <w:jc w:val="center"/>
              </w:trPr>
              <w:tc>
                <w:tcPr>
                  <w:tcW w:w="752" w:type="dxa"/>
                  <w:noWrap w:val="0"/>
                  <w:vAlign w:val="center"/>
                </w:tcPr>
                <w:p w14:paraId="783480A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59</w:t>
                  </w:r>
                </w:p>
              </w:tc>
              <w:tc>
                <w:tcPr>
                  <w:tcW w:w="1828" w:type="dxa"/>
                  <w:vMerge w:val="continue"/>
                  <w:noWrap w:val="0"/>
                  <w:vAlign w:val="center"/>
                </w:tcPr>
                <w:p w14:paraId="1C3748F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D62A7A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-5.52</w:t>
                  </w:r>
                </w:p>
              </w:tc>
              <w:tc>
                <w:tcPr>
                  <w:tcW w:w="1792" w:type="dxa"/>
                  <w:noWrap w:val="0"/>
                  <w:vAlign w:val="center"/>
                </w:tcPr>
                <w:p w14:paraId="51C5CB5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473.08</w:t>
                  </w:r>
                </w:p>
              </w:tc>
              <w:tc>
                <w:tcPr>
                  <w:tcW w:w="1733" w:type="dxa"/>
                  <w:noWrap w:val="0"/>
                  <w:vAlign w:val="center"/>
                </w:tcPr>
                <w:p w14:paraId="254281D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18.99</w:t>
                  </w:r>
                </w:p>
              </w:tc>
            </w:tr>
            <w:tr w14:paraId="7C514A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1251606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60</w:t>
                  </w:r>
                </w:p>
              </w:tc>
              <w:tc>
                <w:tcPr>
                  <w:tcW w:w="1828" w:type="dxa"/>
                  <w:vMerge w:val="continue"/>
                  <w:noWrap w:val="0"/>
                  <w:vAlign w:val="center"/>
                </w:tcPr>
                <w:p w14:paraId="31223EF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D939A9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-9.13</w:t>
                  </w:r>
                </w:p>
              </w:tc>
              <w:tc>
                <w:tcPr>
                  <w:tcW w:w="1792" w:type="dxa"/>
                  <w:noWrap w:val="0"/>
                  <w:vAlign w:val="center"/>
                </w:tcPr>
                <w:p w14:paraId="2612EE8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472.03</w:t>
                  </w:r>
                </w:p>
              </w:tc>
              <w:tc>
                <w:tcPr>
                  <w:tcW w:w="1733" w:type="dxa"/>
                  <w:noWrap w:val="0"/>
                  <w:vAlign w:val="center"/>
                </w:tcPr>
                <w:p w14:paraId="59EB8B8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19.11</w:t>
                  </w:r>
                </w:p>
              </w:tc>
            </w:tr>
            <w:tr w14:paraId="0B861B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532DE48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61</w:t>
                  </w:r>
                </w:p>
              </w:tc>
              <w:tc>
                <w:tcPr>
                  <w:tcW w:w="1828" w:type="dxa"/>
                  <w:vMerge w:val="continue"/>
                  <w:noWrap w:val="0"/>
                  <w:vAlign w:val="center"/>
                </w:tcPr>
                <w:p w14:paraId="727AC17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5E2255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-16.92</w:t>
                  </w:r>
                </w:p>
              </w:tc>
              <w:tc>
                <w:tcPr>
                  <w:tcW w:w="1792" w:type="dxa"/>
                  <w:noWrap w:val="0"/>
                  <w:vAlign w:val="center"/>
                </w:tcPr>
                <w:p w14:paraId="71EB08B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478.30</w:t>
                  </w:r>
                </w:p>
              </w:tc>
              <w:tc>
                <w:tcPr>
                  <w:tcW w:w="1733" w:type="dxa"/>
                  <w:noWrap w:val="0"/>
                  <w:vAlign w:val="center"/>
                </w:tcPr>
                <w:p w14:paraId="0336E2F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21.19</w:t>
                  </w:r>
                </w:p>
              </w:tc>
            </w:tr>
            <w:tr w14:paraId="59D66E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1A60F0F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62</w:t>
                  </w:r>
                </w:p>
              </w:tc>
              <w:tc>
                <w:tcPr>
                  <w:tcW w:w="1828" w:type="dxa"/>
                  <w:vMerge w:val="continue"/>
                  <w:noWrap w:val="0"/>
                  <w:vAlign w:val="center"/>
                </w:tcPr>
                <w:p w14:paraId="43C8359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7297FCA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-24.72</w:t>
                  </w:r>
                </w:p>
              </w:tc>
              <w:tc>
                <w:tcPr>
                  <w:tcW w:w="1792" w:type="dxa"/>
                  <w:noWrap w:val="0"/>
                  <w:vAlign w:val="center"/>
                </w:tcPr>
                <w:p w14:paraId="0FD953B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484.56</w:t>
                  </w:r>
                </w:p>
              </w:tc>
              <w:tc>
                <w:tcPr>
                  <w:tcW w:w="1733" w:type="dxa"/>
                  <w:noWrap w:val="0"/>
                  <w:vAlign w:val="center"/>
                </w:tcPr>
                <w:p w14:paraId="2D8B202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23.94</w:t>
                  </w:r>
                </w:p>
              </w:tc>
            </w:tr>
            <w:tr w14:paraId="2579EE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99B63B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63</w:t>
                  </w:r>
                </w:p>
              </w:tc>
              <w:tc>
                <w:tcPr>
                  <w:tcW w:w="1828" w:type="dxa"/>
                  <w:vMerge w:val="continue"/>
                  <w:noWrap w:val="0"/>
                  <w:vAlign w:val="center"/>
                </w:tcPr>
                <w:p w14:paraId="07D6257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BC96E9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-32.51</w:t>
                  </w:r>
                </w:p>
              </w:tc>
              <w:tc>
                <w:tcPr>
                  <w:tcW w:w="1792" w:type="dxa"/>
                  <w:noWrap w:val="0"/>
                  <w:vAlign w:val="center"/>
                </w:tcPr>
                <w:p w14:paraId="3E97F7B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490.83</w:t>
                  </w:r>
                </w:p>
              </w:tc>
              <w:tc>
                <w:tcPr>
                  <w:tcW w:w="1733" w:type="dxa"/>
                  <w:noWrap w:val="0"/>
                  <w:vAlign w:val="center"/>
                </w:tcPr>
                <w:p w14:paraId="721EB22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25.63</w:t>
                  </w:r>
                </w:p>
              </w:tc>
            </w:tr>
            <w:tr w14:paraId="11E925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531840B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64</w:t>
                  </w:r>
                </w:p>
              </w:tc>
              <w:tc>
                <w:tcPr>
                  <w:tcW w:w="1828" w:type="dxa"/>
                  <w:vMerge w:val="continue"/>
                  <w:noWrap w:val="0"/>
                  <w:vAlign w:val="center"/>
                </w:tcPr>
                <w:p w14:paraId="2928CB9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5B73BE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-40.30</w:t>
                  </w:r>
                </w:p>
              </w:tc>
              <w:tc>
                <w:tcPr>
                  <w:tcW w:w="1792" w:type="dxa"/>
                  <w:noWrap w:val="0"/>
                  <w:vAlign w:val="center"/>
                </w:tcPr>
                <w:p w14:paraId="3E6020A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497.09</w:t>
                  </w:r>
                </w:p>
              </w:tc>
              <w:tc>
                <w:tcPr>
                  <w:tcW w:w="1733" w:type="dxa"/>
                  <w:noWrap w:val="0"/>
                  <w:vAlign w:val="center"/>
                </w:tcPr>
                <w:p w14:paraId="60F9AE4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23.78</w:t>
                  </w:r>
                </w:p>
              </w:tc>
            </w:tr>
            <w:tr w14:paraId="5363BB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7F438E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65</w:t>
                  </w:r>
                </w:p>
              </w:tc>
              <w:tc>
                <w:tcPr>
                  <w:tcW w:w="1828" w:type="dxa"/>
                  <w:vMerge w:val="continue"/>
                  <w:noWrap w:val="0"/>
                  <w:vAlign w:val="center"/>
                </w:tcPr>
                <w:p w14:paraId="139A13D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5C103C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-48.10</w:t>
                  </w:r>
                </w:p>
              </w:tc>
              <w:tc>
                <w:tcPr>
                  <w:tcW w:w="1792" w:type="dxa"/>
                  <w:noWrap w:val="0"/>
                  <w:vAlign w:val="center"/>
                </w:tcPr>
                <w:p w14:paraId="62D0773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503.36</w:t>
                  </w:r>
                </w:p>
              </w:tc>
              <w:tc>
                <w:tcPr>
                  <w:tcW w:w="1733" w:type="dxa"/>
                  <w:noWrap w:val="0"/>
                  <w:vAlign w:val="center"/>
                </w:tcPr>
                <w:p w14:paraId="79DCA86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19.81</w:t>
                  </w:r>
                </w:p>
              </w:tc>
            </w:tr>
            <w:tr w14:paraId="6E590F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3DABDAA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66</w:t>
                  </w:r>
                </w:p>
              </w:tc>
              <w:tc>
                <w:tcPr>
                  <w:tcW w:w="1828" w:type="dxa"/>
                  <w:vMerge w:val="continue"/>
                  <w:noWrap w:val="0"/>
                  <w:vAlign w:val="center"/>
                </w:tcPr>
                <w:p w14:paraId="5B7E46D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276062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-55.89</w:t>
                  </w:r>
                </w:p>
              </w:tc>
              <w:tc>
                <w:tcPr>
                  <w:tcW w:w="1792" w:type="dxa"/>
                  <w:noWrap w:val="0"/>
                  <w:vAlign w:val="center"/>
                </w:tcPr>
                <w:p w14:paraId="64229D7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509.62</w:t>
                  </w:r>
                </w:p>
              </w:tc>
              <w:tc>
                <w:tcPr>
                  <w:tcW w:w="1733" w:type="dxa"/>
                  <w:noWrap w:val="0"/>
                  <w:vAlign w:val="center"/>
                </w:tcPr>
                <w:p w14:paraId="3F14EC1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17.75</w:t>
                  </w:r>
                </w:p>
              </w:tc>
            </w:tr>
            <w:tr w14:paraId="0C8E5A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5DBC645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67</w:t>
                  </w:r>
                </w:p>
              </w:tc>
              <w:tc>
                <w:tcPr>
                  <w:tcW w:w="1828" w:type="dxa"/>
                  <w:vMerge w:val="continue"/>
                  <w:noWrap w:val="0"/>
                  <w:vAlign w:val="center"/>
                </w:tcPr>
                <w:p w14:paraId="7B924F6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A0EFB7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-63.69</w:t>
                  </w:r>
                </w:p>
              </w:tc>
              <w:tc>
                <w:tcPr>
                  <w:tcW w:w="1792" w:type="dxa"/>
                  <w:noWrap w:val="0"/>
                  <w:vAlign w:val="center"/>
                </w:tcPr>
                <w:p w14:paraId="4081172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515.89</w:t>
                  </w:r>
                </w:p>
              </w:tc>
              <w:tc>
                <w:tcPr>
                  <w:tcW w:w="1733" w:type="dxa"/>
                  <w:noWrap w:val="0"/>
                  <w:vAlign w:val="center"/>
                </w:tcPr>
                <w:p w14:paraId="411D900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16.87</w:t>
                  </w:r>
                </w:p>
              </w:tc>
            </w:tr>
            <w:tr w14:paraId="60E33A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14A8606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68</w:t>
                  </w:r>
                </w:p>
              </w:tc>
              <w:tc>
                <w:tcPr>
                  <w:tcW w:w="1828" w:type="dxa"/>
                  <w:vMerge w:val="continue"/>
                  <w:noWrap w:val="0"/>
                  <w:vAlign w:val="center"/>
                </w:tcPr>
                <w:p w14:paraId="53E73A9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D71EFC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-71.48</w:t>
                  </w:r>
                </w:p>
              </w:tc>
              <w:tc>
                <w:tcPr>
                  <w:tcW w:w="1792" w:type="dxa"/>
                  <w:noWrap w:val="0"/>
                  <w:vAlign w:val="center"/>
                </w:tcPr>
                <w:p w14:paraId="268409A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522.15</w:t>
                  </w:r>
                </w:p>
              </w:tc>
              <w:tc>
                <w:tcPr>
                  <w:tcW w:w="1733" w:type="dxa"/>
                  <w:noWrap w:val="0"/>
                  <w:vAlign w:val="center"/>
                </w:tcPr>
                <w:p w14:paraId="281DE48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16.47</w:t>
                  </w:r>
                </w:p>
              </w:tc>
            </w:tr>
            <w:tr w14:paraId="74413E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D4DD4E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69</w:t>
                  </w:r>
                </w:p>
              </w:tc>
              <w:tc>
                <w:tcPr>
                  <w:tcW w:w="1828" w:type="dxa"/>
                  <w:vMerge w:val="continue"/>
                  <w:noWrap w:val="0"/>
                  <w:vAlign w:val="center"/>
                </w:tcPr>
                <w:p w14:paraId="60EE5E7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BA6D58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-79.27</w:t>
                  </w:r>
                </w:p>
              </w:tc>
              <w:tc>
                <w:tcPr>
                  <w:tcW w:w="1792" w:type="dxa"/>
                  <w:noWrap w:val="0"/>
                  <w:vAlign w:val="center"/>
                </w:tcPr>
                <w:p w14:paraId="404DE7A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528.42</w:t>
                  </w:r>
                </w:p>
              </w:tc>
              <w:tc>
                <w:tcPr>
                  <w:tcW w:w="1733" w:type="dxa"/>
                  <w:noWrap w:val="0"/>
                  <w:vAlign w:val="center"/>
                </w:tcPr>
                <w:p w14:paraId="24EC78B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17.26</w:t>
                  </w:r>
                </w:p>
              </w:tc>
            </w:tr>
            <w:tr w14:paraId="4B5B0C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20622B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70</w:t>
                  </w:r>
                </w:p>
              </w:tc>
              <w:tc>
                <w:tcPr>
                  <w:tcW w:w="1828" w:type="dxa"/>
                  <w:vMerge w:val="continue"/>
                  <w:noWrap w:val="0"/>
                  <w:vAlign w:val="center"/>
                </w:tcPr>
                <w:p w14:paraId="103E083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7D9966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-87.07</w:t>
                  </w:r>
                </w:p>
              </w:tc>
              <w:tc>
                <w:tcPr>
                  <w:tcW w:w="1792" w:type="dxa"/>
                  <w:noWrap w:val="0"/>
                  <w:vAlign w:val="center"/>
                </w:tcPr>
                <w:p w14:paraId="50E831E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534.69</w:t>
                  </w:r>
                </w:p>
              </w:tc>
              <w:tc>
                <w:tcPr>
                  <w:tcW w:w="1733" w:type="dxa"/>
                  <w:noWrap w:val="0"/>
                  <w:vAlign w:val="center"/>
                </w:tcPr>
                <w:p w14:paraId="7F3CB84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19.78</w:t>
                  </w:r>
                </w:p>
              </w:tc>
            </w:tr>
            <w:tr w14:paraId="75F4B0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4A123C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71</w:t>
                  </w:r>
                </w:p>
              </w:tc>
              <w:tc>
                <w:tcPr>
                  <w:tcW w:w="1828" w:type="dxa"/>
                  <w:vMerge w:val="continue"/>
                  <w:noWrap w:val="0"/>
                  <w:vAlign w:val="center"/>
                </w:tcPr>
                <w:p w14:paraId="76CF8C3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E6ACD7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-94.86</w:t>
                  </w:r>
                </w:p>
              </w:tc>
              <w:tc>
                <w:tcPr>
                  <w:tcW w:w="1792" w:type="dxa"/>
                  <w:noWrap w:val="0"/>
                  <w:vAlign w:val="center"/>
                </w:tcPr>
                <w:p w14:paraId="3EFF20C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540.95</w:t>
                  </w:r>
                </w:p>
              </w:tc>
              <w:tc>
                <w:tcPr>
                  <w:tcW w:w="1733" w:type="dxa"/>
                  <w:noWrap w:val="0"/>
                  <w:vAlign w:val="center"/>
                </w:tcPr>
                <w:p w14:paraId="1183DF9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23.09</w:t>
                  </w:r>
                </w:p>
              </w:tc>
            </w:tr>
            <w:tr w14:paraId="0E8ADC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5B63182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72</w:t>
                  </w:r>
                </w:p>
              </w:tc>
              <w:tc>
                <w:tcPr>
                  <w:tcW w:w="1828" w:type="dxa"/>
                  <w:vMerge w:val="continue"/>
                  <w:noWrap w:val="0"/>
                  <w:vAlign w:val="center"/>
                </w:tcPr>
                <w:p w14:paraId="0361111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A2CC54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-102.65</w:t>
                  </w:r>
                </w:p>
              </w:tc>
              <w:tc>
                <w:tcPr>
                  <w:tcW w:w="1792" w:type="dxa"/>
                  <w:noWrap w:val="0"/>
                  <w:vAlign w:val="center"/>
                </w:tcPr>
                <w:p w14:paraId="753CAF3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547.22</w:t>
                  </w:r>
                </w:p>
              </w:tc>
              <w:tc>
                <w:tcPr>
                  <w:tcW w:w="1733" w:type="dxa"/>
                  <w:noWrap w:val="0"/>
                  <w:vAlign w:val="center"/>
                </w:tcPr>
                <w:p w14:paraId="44C2EB0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25.54</w:t>
                  </w:r>
                </w:p>
              </w:tc>
            </w:tr>
            <w:tr w14:paraId="6ABFAE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38067A9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73</w:t>
                  </w:r>
                </w:p>
              </w:tc>
              <w:tc>
                <w:tcPr>
                  <w:tcW w:w="1828" w:type="dxa"/>
                  <w:vMerge w:val="continue"/>
                  <w:noWrap w:val="0"/>
                  <w:vAlign w:val="center"/>
                </w:tcPr>
                <w:p w14:paraId="164895F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8EA06F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-110.45</w:t>
                  </w:r>
                </w:p>
              </w:tc>
              <w:tc>
                <w:tcPr>
                  <w:tcW w:w="1792" w:type="dxa"/>
                  <w:noWrap w:val="0"/>
                  <w:vAlign w:val="center"/>
                </w:tcPr>
                <w:p w14:paraId="7F4B198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553.48</w:t>
                  </w:r>
                </w:p>
              </w:tc>
              <w:tc>
                <w:tcPr>
                  <w:tcW w:w="1733" w:type="dxa"/>
                  <w:noWrap w:val="0"/>
                  <w:vAlign w:val="center"/>
                </w:tcPr>
                <w:p w14:paraId="29BE80B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25.93</w:t>
                  </w:r>
                </w:p>
              </w:tc>
            </w:tr>
            <w:tr w14:paraId="518DC8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752" w:type="dxa"/>
                  <w:noWrap w:val="0"/>
                  <w:vAlign w:val="center"/>
                </w:tcPr>
                <w:p w14:paraId="0CFB1D8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74</w:t>
                  </w:r>
                </w:p>
              </w:tc>
              <w:tc>
                <w:tcPr>
                  <w:tcW w:w="1828" w:type="dxa"/>
                  <w:vMerge w:val="continue"/>
                  <w:noWrap w:val="0"/>
                  <w:vAlign w:val="center"/>
                </w:tcPr>
                <w:p w14:paraId="5813065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7A411E4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-118.24</w:t>
                  </w:r>
                </w:p>
              </w:tc>
              <w:tc>
                <w:tcPr>
                  <w:tcW w:w="1792" w:type="dxa"/>
                  <w:noWrap w:val="0"/>
                  <w:vAlign w:val="center"/>
                </w:tcPr>
                <w:p w14:paraId="5F6A3B9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559.75</w:t>
                  </w:r>
                </w:p>
              </w:tc>
              <w:tc>
                <w:tcPr>
                  <w:tcW w:w="1733" w:type="dxa"/>
                  <w:noWrap w:val="0"/>
                  <w:vAlign w:val="center"/>
                </w:tcPr>
                <w:p w14:paraId="1FF0205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26.33</w:t>
                  </w:r>
                </w:p>
              </w:tc>
            </w:tr>
            <w:tr w14:paraId="359955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DBCB4C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75</w:t>
                  </w:r>
                </w:p>
              </w:tc>
              <w:tc>
                <w:tcPr>
                  <w:tcW w:w="1828" w:type="dxa"/>
                  <w:vMerge w:val="continue"/>
                  <w:noWrap w:val="0"/>
                  <w:vAlign w:val="center"/>
                </w:tcPr>
                <w:p w14:paraId="3D486A4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53F545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-126.04</w:t>
                  </w:r>
                </w:p>
              </w:tc>
              <w:tc>
                <w:tcPr>
                  <w:tcW w:w="1792" w:type="dxa"/>
                  <w:noWrap w:val="0"/>
                  <w:vAlign w:val="center"/>
                </w:tcPr>
                <w:p w14:paraId="065A731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566.01</w:t>
                  </w:r>
                </w:p>
              </w:tc>
              <w:tc>
                <w:tcPr>
                  <w:tcW w:w="1733" w:type="dxa"/>
                  <w:noWrap w:val="0"/>
                  <w:vAlign w:val="center"/>
                </w:tcPr>
                <w:p w14:paraId="7FDDCC0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26.70</w:t>
                  </w:r>
                </w:p>
              </w:tc>
            </w:tr>
            <w:tr w14:paraId="3EC412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08F2982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76</w:t>
                  </w:r>
                </w:p>
              </w:tc>
              <w:tc>
                <w:tcPr>
                  <w:tcW w:w="1828" w:type="dxa"/>
                  <w:vMerge w:val="continue"/>
                  <w:noWrap w:val="0"/>
                  <w:vAlign w:val="center"/>
                </w:tcPr>
                <w:p w14:paraId="15B4A2B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C34A86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-133.83</w:t>
                  </w:r>
                </w:p>
              </w:tc>
              <w:tc>
                <w:tcPr>
                  <w:tcW w:w="1792" w:type="dxa"/>
                  <w:noWrap w:val="0"/>
                  <w:vAlign w:val="center"/>
                </w:tcPr>
                <w:p w14:paraId="79F7EDE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572.28</w:t>
                  </w:r>
                </w:p>
              </w:tc>
              <w:tc>
                <w:tcPr>
                  <w:tcW w:w="1733" w:type="dxa"/>
                  <w:noWrap w:val="0"/>
                  <w:vAlign w:val="center"/>
                </w:tcPr>
                <w:p w14:paraId="0EA8966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27.13</w:t>
                  </w:r>
                </w:p>
              </w:tc>
            </w:tr>
            <w:tr w14:paraId="5B70FD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47EE1A2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77</w:t>
                  </w:r>
                </w:p>
              </w:tc>
              <w:tc>
                <w:tcPr>
                  <w:tcW w:w="1828" w:type="dxa"/>
                  <w:vMerge w:val="continue"/>
                  <w:noWrap w:val="0"/>
                  <w:vAlign w:val="center"/>
                </w:tcPr>
                <w:p w14:paraId="6ECA14E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759EC43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-141.62</w:t>
                  </w:r>
                </w:p>
              </w:tc>
              <w:tc>
                <w:tcPr>
                  <w:tcW w:w="1792" w:type="dxa"/>
                  <w:noWrap w:val="0"/>
                  <w:vAlign w:val="center"/>
                </w:tcPr>
                <w:p w14:paraId="6AA8589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578.54</w:t>
                  </w:r>
                </w:p>
              </w:tc>
              <w:tc>
                <w:tcPr>
                  <w:tcW w:w="1733" w:type="dxa"/>
                  <w:noWrap w:val="0"/>
                  <w:vAlign w:val="center"/>
                </w:tcPr>
                <w:p w14:paraId="1A0E2F2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27.45</w:t>
                  </w:r>
                </w:p>
              </w:tc>
            </w:tr>
            <w:tr w14:paraId="5CC509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5137B81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78</w:t>
                  </w:r>
                </w:p>
              </w:tc>
              <w:tc>
                <w:tcPr>
                  <w:tcW w:w="1828" w:type="dxa"/>
                  <w:vMerge w:val="continue"/>
                  <w:noWrap w:val="0"/>
                  <w:vAlign w:val="center"/>
                </w:tcPr>
                <w:p w14:paraId="171B485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7EAD598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-149.42</w:t>
                  </w:r>
                </w:p>
              </w:tc>
              <w:tc>
                <w:tcPr>
                  <w:tcW w:w="1792" w:type="dxa"/>
                  <w:noWrap w:val="0"/>
                  <w:vAlign w:val="center"/>
                </w:tcPr>
                <w:p w14:paraId="33AA90C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584.81</w:t>
                  </w:r>
                </w:p>
              </w:tc>
              <w:tc>
                <w:tcPr>
                  <w:tcW w:w="1733" w:type="dxa"/>
                  <w:noWrap w:val="0"/>
                  <w:vAlign w:val="center"/>
                </w:tcPr>
                <w:p w14:paraId="2A6C0BE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27.79</w:t>
                  </w:r>
                </w:p>
              </w:tc>
            </w:tr>
            <w:tr w14:paraId="12C917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AA7236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79</w:t>
                  </w:r>
                </w:p>
              </w:tc>
              <w:tc>
                <w:tcPr>
                  <w:tcW w:w="1828" w:type="dxa"/>
                  <w:vMerge w:val="continue"/>
                  <w:noWrap w:val="0"/>
                  <w:vAlign w:val="center"/>
                </w:tcPr>
                <w:p w14:paraId="446FCE8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E1FD09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-157.21</w:t>
                  </w:r>
                </w:p>
              </w:tc>
              <w:tc>
                <w:tcPr>
                  <w:tcW w:w="1792" w:type="dxa"/>
                  <w:noWrap w:val="0"/>
                  <w:vAlign w:val="center"/>
                </w:tcPr>
                <w:p w14:paraId="03B0311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591.08</w:t>
                  </w:r>
                </w:p>
              </w:tc>
              <w:tc>
                <w:tcPr>
                  <w:tcW w:w="1733" w:type="dxa"/>
                  <w:noWrap w:val="0"/>
                  <w:vAlign w:val="center"/>
                </w:tcPr>
                <w:p w14:paraId="5229520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28.04</w:t>
                  </w:r>
                </w:p>
              </w:tc>
            </w:tr>
            <w:tr w14:paraId="150300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199F479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80</w:t>
                  </w:r>
                </w:p>
              </w:tc>
              <w:tc>
                <w:tcPr>
                  <w:tcW w:w="1828" w:type="dxa"/>
                  <w:vMerge w:val="continue"/>
                  <w:noWrap w:val="0"/>
                  <w:vAlign w:val="center"/>
                </w:tcPr>
                <w:p w14:paraId="6A1D67B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8612E7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-165.00</w:t>
                  </w:r>
                </w:p>
              </w:tc>
              <w:tc>
                <w:tcPr>
                  <w:tcW w:w="1792" w:type="dxa"/>
                  <w:noWrap w:val="0"/>
                  <w:vAlign w:val="center"/>
                </w:tcPr>
                <w:p w14:paraId="50AA338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597.34</w:t>
                  </w:r>
                </w:p>
              </w:tc>
              <w:tc>
                <w:tcPr>
                  <w:tcW w:w="1733" w:type="dxa"/>
                  <w:noWrap w:val="0"/>
                  <w:vAlign w:val="center"/>
                </w:tcPr>
                <w:p w14:paraId="6817568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28.46</w:t>
                  </w:r>
                </w:p>
              </w:tc>
            </w:tr>
            <w:tr w14:paraId="763AD4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4DF6A56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81</w:t>
                  </w:r>
                </w:p>
              </w:tc>
              <w:tc>
                <w:tcPr>
                  <w:tcW w:w="1828" w:type="dxa"/>
                  <w:vMerge w:val="continue"/>
                  <w:noWrap w:val="0"/>
                  <w:vAlign w:val="center"/>
                </w:tcPr>
                <w:p w14:paraId="73F8633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3DEBC5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-172.80</w:t>
                  </w:r>
                </w:p>
              </w:tc>
              <w:tc>
                <w:tcPr>
                  <w:tcW w:w="1792" w:type="dxa"/>
                  <w:noWrap w:val="0"/>
                  <w:vAlign w:val="center"/>
                </w:tcPr>
                <w:p w14:paraId="10122F3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603.61</w:t>
                  </w:r>
                </w:p>
              </w:tc>
              <w:tc>
                <w:tcPr>
                  <w:tcW w:w="1733" w:type="dxa"/>
                  <w:noWrap w:val="0"/>
                  <w:vAlign w:val="center"/>
                </w:tcPr>
                <w:p w14:paraId="5CB685F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29.09</w:t>
                  </w:r>
                </w:p>
              </w:tc>
            </w:tr>
            <w:tr w14:paraId="708773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5F50D7A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82</w:t>
                  </w:r>
                </w:p>
              </w:tc>
              <w:tc>
                <w:tcPr>
                  <w:tcW w:w="1828" w:type="dxa"/>
                  <w:vMerge w:val="continue"/>
                  <w:noWrap w:val="0"/>
                  <w:vAlign w:val="center"/>
                </w:tcPr>
                <w:p w14:paraId="2F89AED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00AC89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-180.59</w:t>
                  </w:r>
                </w:p>
              </w:tc>
              <w:tc>
                <w:tcPr>
                  <w:tcW w:w="1792" w:type="dxa"/>
                  <w:noWrap w:val="0"/>
                  <w:vAlign w:val="center"/>
                </w:tcPr>
                <w:p w14:paraId="31EA3E1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609.87</w:t>
                  </w:r>
                </w:p>
              </w:tc>
              <w:tc>
                <w:tcPr>
                  <w:tcW w:w="1733" w:type="dxa"/>
                  <w:noWrap w:val="0"/>
                  <w:vAlign w:val="center"/>
                </w:tcPr>
                <w:p w14:paraId="3AB71C3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29.51</w:t>
                  </w:r>
                </w:p>
              </w:tc>
            </w:tr>
            <w:tr w14:paraId="4F57A5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2DE54B2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83</w:t>
                  </w:r>
                </w:p>
              </w:tc>
              <w:tc>
                <w:tcPr>
                  <w:tcW w:w="1828" w:type="dxa"/>
                  <w:vMerge w:val="continue"/>
                  <w:noWrap w:val="0"/>
                  <w:vAlign w:val="center"/>
                </w:tcPr>
                <w:p w14:paraId="1C2A6DF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EA2E8B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-188.39</w:t>
                  </w:r>
                </w:p>
              </w:tc>
              <w:tc>
                <w:tcPr>
                  <w:tcW w:w="1792" w:type="dxa"/>
                  <w:noWrap w:val="0"/>
                  <w:vAlign w:val="center"/>
                </w:tcPr>
                <w:p w14:paraId="20F782E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616.14</w:t>
                  </w:r>
                </w:p>
              </w:tc>
              <w:tc>
                <w:tcPr>
                  <w:tcW w:w="1733" w:type="dxa"/>
                  <w:noWrap w:val="0"/>
                  <w:vAlign w:val="center"/>
                </w:tcPr>
                <w:p w14:paraId="3020B14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29.32</w:t>
                  </w:r>
                </w:p>
              </w:tc>
            </w:tr>
            <w:tr w14:paraId="2696E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0ED38BD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84</w:t>
                  </w:r>
                </w:p>
              </w:tc>
              <w:tc>
                <w:tcPr>
                  <w:tcW w:w="1828" w:type="dxa"/>
                  <w:vMerge w:val="continue"/>
                  <w:noWrap w:val="0"/>
                  <w:vAlign w:val="center"/>
                </w:tcPr>
                <w:p w14:paraId="3CC8A79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2A8961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-196.18</w:t>
                  </w:r>
                </w:p>
              </w:tc>
              <w:tc>
                <w:tcPr>
                  <w:tcW w:w="1792" w:type="dxa"/>
                  <w:noWrap w:val="0"/>
                  <w:vAlign w:val="center"/>
                </w:tcPr>
                <w:p w14:paraId="5C0D4C8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622.40</w:t>
                  </w:r>
                </w:p>
              </w:tc>
              <w:tc>
                <w:tcPr>
                  <w:tcW w:w="1733" w:type="dxa"/>
                  <w:noWrap w:val="0"/>
                  <w:vAlign w:val="center"/>
                </w:tcPr>
                <w:p w14:paraId="7058F20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29.08</w:t>
                  </w:r>
                </w:p>
              </w:tc>
            </w:tr>
            <w:tr w14:paraId="57BCE6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2620819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85</w:t>
                  </w:r>
                </w:p>
              </w:tc>
              <w:tc>
                <w:tcPr>
                  <w:tcW w:w="1828" w:type="dxa"/>
                  <w:vMerge w:val="continue"/>
                  <w:noWrap w:val="0"/>
                  <w:vAlign w:val="center"/>
                </w:tcPr>
                <w:p w14:paraId="4853121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283907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-203.97</w:t>
                  </w:r>
                </w:p>
              </w:tc>
              <w:tc>
                <w:tcPr>
                  <w:tcW w:w="1792" w:type="dxa"/>
                  <w:noWrap w:val="0"/>
                  <w:vAlign w:val="center"/>
                </w:tcPr>
                <w:p w14:paraId="4BC42C3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628.67</w:t>
                  </w:r>
                </w:p>
              </w:tc>
              <w:tc>
                <w:tcPr>
                  <w:tcW w:w="1733" w:type="dxa"/>
                  <w:noWrap w:val="0"/>
                  <w:vAlign w:val="center"/>
                </w:tcPr>
                <w:p w14:paraId="2C5C9A4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26.71</w:t>
                  </w:r>
                </w:p>
              </w:tc>
            </w:tr>
            <w:tr w14:paraId="5EF005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9B7347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86</w:t>
                  </w:r>
                </w:p>
              </w:tc>
              <w:tc>
                <w:tcPr>
                  <w:tcW w:w="1828" w:type="dxa"/>
                  <w:vMerge w:val="continue"/>
                  <w:noWrap w:val="0"/>
                  <w:vAlign w:val="center"/>
                </w:tcPr>
                <w:p w14:paraId="23AC9C5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559676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-211.77</w:t>
                  </w:r>
                </w:p>
              </w:tc>
              <w:tc>
                <w:tcPr>
                  <w:tcW w:w="1792" w:type="dxa"/>
                  <w:noWrap w:val="0"/>
                  <w:vAlign w:val="center"/>
                </w:tcPr>
                <w:p w14:paraId="55FD3A0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634.94</w:t>
                  </w:r>
                </w:p>
              </w:tc>
              <w:tc>
                <w:tcPr>
                  <w:tcW w:w="1733" w:type="dxa"/>
                  <w:noWrap w:val="0"/>
                  <w:vAlign w:val="center"/>
                </w:tcPr>
                <w:p w14:paraId="5CCC7DA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25.17</w:t>
                  </w:r>
                </w:p>
              </w:tc>
            </w:tr>
            <w:tr w14:paraId="09A444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6FB180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87</w:t>
                  </w:r>
                </w:p>
              </w:tc>
              <w:tc>
                <w:tcPr>
                  <w:tcW w:w="1828" w:type="dxa"/>
                  <w:vMerge w:val="continue"/>
                  <w:noWrap w:val="0"/>
                  <w:vAlign w:val="center"/>
                </w:tcPr>
                <w:p w14:paraId="27373C6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FF93BA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-219.56</w:t>
                  </w:r>
                </w:p>
              </w:tc>
              <w:tc>
                <w:tcPr>
                  <w:tcW w:w="1792" w:type="dxa"/>
                  <w:noWrap w:val="0"/>
                  <w:vAlign w:val="center"/>
                </w:tcPr>
                <w:p w14:paraId="60BDFA4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641.20</w:t>
                  </w:r>
                </w:p>
              </w:tc>
              <w:tc>
                <w:tcPr>
                  <w:tcW w:w="1733" w:type="dxa"/>
                  <w:noWrap w:val="0"/>
                  <w:vAlign w:val="center"/>
                </w:tcPr>
                <w:p w14:paraId="21D5C35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23.94</w:t>
                  </w:r>
                </w:p>
              </w:tc>
            </w:tr>
            <w:tr w14:paraId="0F6873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060B898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88</w:t>
                  </w:r>
                </w:p>
              </w:tc>
              <w:tc>
                <w:tcPr>
                  <w:tcW w:w="1828" w:type="dxa"/>
                  <w:vMerge w:val="continue"/>
                  <w:noWrap w:val="0"/>
                  <w:vAlign w:val="center"/>
                </w:tcPr>
                <w:p w14:paraId="764C166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B8F311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-227.35</w:t>
                  </w:r>
                </w:p>
              </w:tc>
              <w:tc>
                <w:tcPr>
                  <w:tcW w:w="1792" w:type="dxa"/>
                  <w:noWrap w:val="0"/>
                  <w:vAlign w:val="center"/>
                </w:tcPr>
                <w:p w14:paraId="69FE7FB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647.47</w:t>
                  </w:r>
                </w:p>
              </w:tc>
              <w:tc>
                <w:tcPr>
                  <w:tcW w:w="1733" w:type="dxa"/>
                  <w:noWrap w:val="0"/>
                  <w:vAlign w:val="center"/>
                </w:tcPr>
                <w:p w14:paraId="009245E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23.31</w:t>
                  </w:r>
                </w:p>
              </w:tc>
            </w:tr>
            <w:tr w14:paraId="719CF7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299F309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89</w:t>
                  </w:r>
                </w:p>
              </w:tc>
              <w:tc>
                <w:tcPr>
                  <w:tcW w:w="1828" w:type="dxa"/>
                  <w:vMerge w:val="continue"/>
                  <w:noWrap w:val="0"/>
                  <w:vAlign w:val="center"/>
                </w:tcPr>
                <w:p w14:paraId="3D3FF99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FC8E0C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-235.15</w:t>
                  </w:r>
                </w:p>
              </w:tc>
              <w:tc>
                <w:tcPr>
                  <w:tcW w:w="1792" w:type="dxa"/>
                  <w:noWrap w:val="0"/>
                  <w:vAlign w:val="center"/>
                </w:tcPr>
                <w:p w14:paraId="455EDE2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653.73</w:t>
                  </w:r>
                </w:p>
              </w:tc>
              <w:tc>
                <w:tcPr>
                  <w:tcW w:w="1733" w:type="dxa"/>
                  <w:noWrap w:val="0"/>
                  <w:vAlign w:val="center"/>
                </w:tcPr>
                <w:p w14:paraId="6215571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18.59</w:t>
                  </w:r>
                </w:p>
              </w:tc>
            </w:tr>
            <w:tr w14:paraId="654A20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0D99098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90</w:t>
                  </w:r>
                </w:p>
              </w:tc>
              <w:tc>
                <w:tcPr>
                  <w:tcW w:w="1828" w:type="dxa"/>
                  <w:vMerge w:val="continue"/>
                  <w:noWrap w:val="0"/>
                  <w:vAlign w:val="center"/>
                </w:tcPr>
                <w:p w14:paraId="6632DE1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04F5B0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-242.94</w:t>
                  </w:r>
                </w:p>
              </w:tc>
              <w:tc>
                <w:tcPr>
                  <w:tcW w:w="1792" w:type="dxa"/>
                  <w:noWrap w:val="0"/>
                  <w:vAlign w:val="center"/>
                </w:tcPr>
                <w:p w14:paraId="1F86468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660.00</w:t>
                  </w:r>
                </w:p>
              </w:tc>
              <w:tc>
                <w:tcPr>
                  <w:tcW w:w="1733" w:type="dxa"/>
                  <w:noWrap w:val="0"/>
                  <w:vAlign w:val="center"/>
                </w:tcPr>
                <w:p w14:paraId="0ADF5A8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15.77</w:t>
                  </w:r>
                </w:p>
              </w:tc>
            </w:tr>
            <w:tr w14:paraId="6E54CF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2765310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91</w:t>
                  </w:r>
                </w:p>
              </w:tc>
              <w:tc>
                <w:tcPr>
                  <w:tcW w:w="1828" w:type="dxa"/>
                  <w:vMerge w:val="continue"/>
                  <w:noWrap w:val="0"/>
                  <w:vAlign w:val="center"/>
                </w:tcPr>
                <w:p w14:paraId="0B4D79C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46BE90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-250.74</w:t>
                  </w:r>
                </w:p>
              </w:tc>
              <w:tc>
                <w:tcPr>
                  <w:tcW w:w="1792" w:type="dxa"/>
                  <w:noWrap w:val="0"/>
                  <w:vAlign w:val="center"/>
                </w:tcPr>
                <w:p w14:paraId="16F46E1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666.26</w:t>
                  </w:r>
                </w:p>
              </w:tc>
              <w:tc>
                <w:tcPr>
                  <w:tcW w:w="1733" w:type="dxa"/>
                  <w:noWrap w:val="0"/>
                  <w:vAlign w:val="center"/>
                </w:tcPr>
                <w:p w14:paraId="15961FD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14.56</w:t>
                  </w:r>
                </w:p>
              </w:tc>
            </w:tr>
            <w:tr w14:paraId="2DA35B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5455E11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92</w:t>
                  </w:r>
                </w:p>
              </w:tc>
              <w:tc>
                <w:tcPr>
                  <w:tcW w:w="1828" w:type="dxa"/>
                  <w:vMerge w:val="continue"/>
                  <w:noWrap w:val="0"/>
                  <w:vAlign w:val="center"/>
                </w:tcPr>
                <w:p w14:paraId="734B1AD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3D0E0B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-258.53</w:t>
                  </w:r>
                </w:p>
              </w:tc>
              <w:tc>
                <w:tcPr>
                  <w:tcW w:w="1792" w:type="dxa"/>
                  <w:noWrap w:val="0"/>
                  <w:vAlign w:val="center"/>
                </w:tcPr>
                <w:p w14:paraId="3005113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672.53</w:t>
                  </w:r>
                </w:p>
              </w:tc>
              <w:tc>
                <w:tcPr>
                  <w:tcW w:w="1733" w:type="dxa"/>
                  <w:noWrap w:val="0"/>
                  <w:vAlign w:val="center"/>
                </w:tcPr>
                <w:p w14:paraId="2F88BE0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13.93</w:t>
                  </w:r>
                </w:p>
              </w:tc>
            </w:tr>
            <w:tr w14:paraId="63FFDE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569DA94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93</w:t>
                  </w:r>
                </w:p>
              </w:tc>
              <w:tc>
                <w:tcPr>
                  <w:tcW w:w="1828" w:type="dxa"/>
                  <w:vMerge w:val="continue"/>
                  <w:noWrap w:val="0"/>
                  <w:vAlign w:val="center"/>
                </w:tcPr>
                <w:p w14:paraId="7D1E30F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B2665B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-266.32</w:t>
                  </w:r>
                </w:p>
              </w:tc>
              <w:tc>
                <w:tcPr>
                  <w:tcW w:w="1792" w:type="dxa"/>
                  <w:noWrap w:val="0"/>
                  <w:vAlign w:val="center"/>
                </w:tcPr>
                <w:p w14:paraId="3EC921B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678.79</w:t>
                  </w:r>
                </w:p>
              </w:tc>
              <w:tc>
                <w:tcPr>
                  <w:tcW w:w="1733" w:type="dxa"/>
                  <w:noWrap w:val="0"/>
                  <w:vAlign w:val="center"/>
                </w:tcPr>
                <w:p w14:paraId="0E6BBF0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13.48</w:t>
                  </w:r>
                </w:p>
              </w:tc>
            </w:tr>
            <w:tr w14:paraId="26DF2D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18A26FF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94</w:t>
                  </w:r>
                </w:p>
              </w:tc>
              <w:tc>
                <w:tcPr>
                  <w:tcW w:w="1828" w:type="dxa"/>
                  <w:vMerge w:val="continue"/>
                  <w:noWrap w:val="0"/>
                  <w:vAlign w:val="center"/>
                </w:tcPr>
                <w:p w14:paraId="16E43B0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4B5380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-274.12</w:t>
                  </w:r>
                </w:p>
              </w:tc>
              <w:tc>
                <w:tcPr>
                  <w:tcW w:w="1792" w:type="dxa"/>
                  <w:noWrap w:val="0"/>
                  <w:vAlign w:val="center"/>
                </w:tcPr>
                <w:p w14:paraId="7FC5A51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685.06</w:t>
                  </w:r>
                </w:p>
              </w:tc>
              <w:tc>
                <w:tcPr>
                  <w:tcW w:w="1733" w:type="dxa"/>
                  <w:noWrap w:val="0"/>
                  <w:vAlign w:val="center"/>
                </w:tcPr>
                <w:p w14:paraId="2430CC9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12.99</w:t>
                  </w:r>
                </w:p>
              </w:tc>
            </w:tr>
            <w:tr w14:paraId="274382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7B5DE8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95</w:t>
                  </w:r>
                </w:p>
              </w:tc>
              <w:tc>
                <w:tcPr>
                  <w:tcW w:w="1828" w:type="dxa"/>
                  <w:vMerge w:val="continue"/>
                  <w:noWrap w:val="0"/>
                  <w:vAlign w:val="center"/>
                </w:tcPr>
                <w:p w14:paraId="4746302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2C0A7C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-281.91</w:t>
                  </w:r>
                </w:p>
              </w:tc>
              <w:tc>
                <w:tcPr>
                  <w:tcW w:w="1792" w:type="dxa"/>
                  <w:noWrap w:val="0"/>
                  <w:vAlign w:val="center"/>
                </w:tcPr>
                <w:p w14:paraId="57EB722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691.33</w:t>
                  </w:r>
                </w:p>
              </w:tc>
              <w:tc>
                <w:tcPr>
                  <w:tcW w:w="1733" w:type="dxa"/>
                  <w:noWrap w:val="0"/>
                  <w:vAlign w:val="center"/>
                </w:tcPr>
                <w:p w14:paraId="7327108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12.68</w:t>
                  </w:r>
                </w:p>
              </w:tc>
            </w:tr>
            <w:tr w14:paraId="3A45F4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EA6DC0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96</w:t>
                  </w:r>
                </w:p>
              </w:tc>
              <w:tc>
                <w:tcPr>
                  <w:tcW w:w="1828" w:type="dxa"/>
                  <w:vMerge w:val="continue"/>
                  <w:noWrap w:val="0"/>
                  <w:vAlign w:val="center"/>
                </w:tcPr>
                <w:p w14:paraId="1CDDB7D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F4B88F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-286.37</w:t>
                  </w:r>
                </w:p>
              </w:tc>
              <w:tc>
                <w:tcPr>
                  <w:tcW w:w="1792" w:type="dxa"/>
                  <w:noWrap w:val="0"/>
                  <w:vAlign w:val="center"/>
                </w:tcPr>
                <w:p w14:paraId="6250002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694.91</w:t>
                  </w:r>
                </w:p>
              </w:tc>
              <w:tc>
                <w:tcPr>
                  <w:tcW w:w="1733" w:type="dxa"/>
                  <w:noWrap w:val="0"/>
                  <w:vAlign w:val="center"/>
                </w:tcPr>
                <w:p w14:paraId="2FCDE5B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12.52</w:t>
                  </w:r>
                </w:p>
              </w:tc>
            </w:tr>
            <w:tr w14:paraId="6F63C9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019EB82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bookmarkStart w:id="40" w:name="OLE_LINK211" w:colFirst="4" w:colLast="4"/>
                  <w:bookmarkStart w:id="41" w:name="OLE_LINK212" w:colFirst="5" w:colLast="5"/>
                  <w:r>
                    <w:rPr>
                      <w:rFonts w:hint="default" w:ascii="Times New Roman" w:hAnsi="Times New Roman" w:eastAsia="宋体" w:cs="Times New Roman"/>
                      <w:snapToGrid w:val="0"/>
                      <w:color w:val="auto"/>
                      <w:kern w:val="0"/>
                      <w:sz w:val="21"/>
                      <w:szCs w:val="21"/>
                      <w:highlight w:val="none"/>
                      <w:lang w:val="en-US" w:eastAsia="zh-CN"/>
                    </w:rPr>
                    <w:t>1</w:t>
                  </w:r>
                </w:p>
              </w:tc>
              <w:tc>
                <w:tcPr>
                  <w:tcW w:w="1828" w:type="dxa"/>
                  <w:vMerge w:val="restart"/>
                  <w:noWrap w:val="0"/>
                  <w:vAlign w:val="center"/>
                </w:tcPr>
                <w:p w14:paraId="560F050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西厂界</w:t>
                  </w:r>
                </w:p>
              </w:tc>
              <w:tc>
                <w:tcPr>
                  <w:tcW w:w="1692" w:type="dxa"/>
                  <w:noWrap w:val="0"/>
                  <w:vAlign w:val="center"/>
                </w:tcPr>
                <w:p w14:paraId="11147BA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-528.27</w:t>
                  </w:r>
                </w:p>
              </w:tc>
              <w:tc>
                <w:tcPr>
                  <w:tcW w:w="1792" w:type="dxa"/>
                  <w:noWrap w:val="0"/>
                  <w:vAlign w:val="center"/>
                </w:tcPr>
                <w:p w14:paraId="743AC5A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530.47</w:t>
                  </w:r>
                </w:p>
              </w:tc>
              <w:tc>
                <w:tcPr>
                  <w:tcW w:w="1733" w:type="dxa"/>
                  <w:noWrap w:val="0"/>
                  <w:vAlign w:val="center"/>
                </w:tcPr>
                <w:p w14:paraId="3F1C7CB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21.22</w:t>
                  </w:r>
                </w:p>
              </w:tc>
            </w:tr>
            <w:tr w14:paraId="0522E6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1FCB683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w:t>
                  </w:r>
                </w:p>
              </w:tc>
              <w:tc>
                <w:tcPr>
                  <w:tcW w:w="1828" w:type="dxa"/>
                  <w:vMerge w:val="continue"/>
                  <w:noWrap w:val="0"/>
                  <w:vAlign w:val="center"/>
                </w:tcPr>
                <w:p w14:paraId="601E8C3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EC407D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-531.68</w:t>
                  </w:r>
                </w:p>
              </w:tc>
              <w:tc>
                <w:tcPr>
                  <w:tcW w:w="1792" w:type="dxa"/>
                  <w:noWrap w:val="0"/>
                  <w:vAlign w:val="center"/>
                </w:tcPr>
                <w:p w14:paraId="55A0610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521.07</w:t>
                  </w:r>
                </w:p>
              </w:tc>
              <w:tc>
                <w:tcPr>
                  <w:tcW w:w="1733" w:type="dxa"/>
                  <w:noWrap w:val="0"/>
                  <w:vAlign w:val="center"/>
                </w:tcPr>
                <w:p w14:paraId="21B6299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21.21</w:t>
                  </w:r>
                </w:p>
              </w:tc>
            </w:tr>
            <w:tr w14:paraId="1293CD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3C75D47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w:t>
                  </w:r>
                </w:p>
              </w:tc>
              <w:tc>
                <w:tcPr>
                  <w:tcW w:w="1828" w:type="dxa"/>
                  <w:vMerge w:val="continue"/>
                  <w:noWrap w:val="0"/>
                  <w:vAlign w:val="center"/>
                </w:tcPr>
                <w:p w14:paraId="4AD32DA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AD18B7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-535.08</w:t>
                  </w:r>
                </w:p>
              </w:tc>
              <w:tc>
                <w:tcPr>
                  <w:tcW w:w="1792" w:type="dxa"/>
                  <w:noWrap w:val="0"/>
                  <w:vAlign w:val="center"/>
                </w:tcPr>
                <w:p w14:paraId="6406F2E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511.67</w:t>
                  </w:r>
                </w:p>
              </w:tc>
              <w:tc>
                <w:tcPr>
                  <w:tcW w:w="1733" w:type="dxa"/>
                  <w:noWrap w:val="0"/>
                  <w:vAlign w:val="center"/>
                </w:tcPr>
                <w:p w14:paraId="1AAAF08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21.24</w:t>
                  </w:r>
                </w:p>
              </w:tc>
            </w:tr>
            <w:tr w14:paraId="4C379C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354A03E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w:t>
                  </w:r>
                </w:p>
              </w:tc>
              <w:tc>
                <w:tcPr>
                  <w:tcW w:w="1828" w:type="dxa"/>
                  <w:vMerge w:val="continue"/>
                  <w:noWrap w:val="0"/>
                  <w:vAlign w:val="center"/>
                </w:tcPr>
                <w:p w14:paraId="1D156E7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42BC1E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-538.49</w:t>
                  </w:r>
                </w:p>
              </w:tc>
              <w:tc>
                <w:tcPr>
                  <w:tcW w:w="1792" w:type="dxa"/>
                  <w:noWrap w:val="0"/>
                  <w:vAlign w:val="center"/>
                </w:tcPr>
                <w:p w14:paraId="2FECD89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502.26</w:t>
                  </w:r>
                </w:p>
              </w:tc>
              <w:tc>
                <w:tcPr>
                  <w:tcW w:w="1733" w:type="dxa"/>
                  <w:noWrap w:val="0"/>
                  <w:vAlign w:val="center"/>
                </w:tcPr>
                <w:p w14:paraId="7482C46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21.24</w:t>
                  </w:r>
                </w:p>
              </w:tc>
            </w:tr>
            <w:tr w14:paraId="0626C3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4F0285D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w:t>
                  </w:r>
                </w:p>
              </w:tc>
              <w:tc>
                <w:tcPr>
                  <w:tcW w:w="1828" w:type="dxa"/>
                  <w:vMerge w:val="continue"/>
                  <w:noWrap w:val="0"/>
                  <w:vAlign w:val="center"/>
                </w:tcPr>
                <w:p w14:paraId="3430C0E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74E9FB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-541.90</w:t>
                  </w:r>
                </w:p>
              </w:tc>
              <w:tc>
                <w:tcPr>
                  <w:tcW w:w="1792" w:type="dxa"/>
                  <w:noWrap w:val="0"/>
                  <w:vAlign w:val="center"/>
                </w:tcPr>
                <w:p w14:paraId="6319382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492.86</w:t>
                  </w:r>
                </w:p>
              </w:tc>
              <w:tc>
                <w:tcPr>
                  <w:tcW w:w="1733" w:type="dxa"/>
                  <w:noWrap w:val="0"/>
                  <w:vAlign w:val="center"/>
                </w:tcPr>
                <w:p w14:paraId="52FFF00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21.25</w:t>
                  </w:r>
                </w:p>
              </w:tc>
            </w:tr>
            <w:tr w14:paraId="3E37D0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3C2F2DE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6</w:t>
                  </w:r>
                </w:p>
              </w:tc>
              <w:tc>
                <w:tcPr>
                  <w:tcW w:w="1828" w:type="dxa"/>
                  <w:vMerge w:val="continue"/>
                  <w:noWrap w:val="0"/>
                  <w:vAlign w:val="center"/>
                </w:tcPr>
                <w:p w14:paraId="514123E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4FABB9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-545.30</w:t>
                  </w:r>
                </w:p>
              </w:tc>
              <w:tc>
                <w:tcPr>
                  <w:tcW w:w="1792" w:type="dxa"/>
                  <w:noWrap w:val="0"/>
                  <w:vAlign w:val="center"/>
                </w:tcPr>
                <w:p w14:paraId="327F801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483.46</w:t>
                  </w:r>
                </w:p>
              </w:tc>
              <w:tc>
                <w:tcPr>
                  <w:tcW w:w="1733" w:type="dxa"/>
                  <w:noWrap w:val="0"/>
                  <w:vAlign w:val="center"/>
                </w:tcPr>
                <w:p w14:paraId="7CE30AA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21.26</w:t>
                  </w:r>
                </w:p>
              </w:tc>
            </w:tr>
            <w:tr w14:paraId="604061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3A715B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7</w:t>
                  </w:r>
                </w:p>
              </w:tc>
              <w:tc>
                <w:tcPr>
                  <w:tcW w:w="1828" w:type="dxa"/>
                  <w:vMerge w:val="continue"/>
                  <w:noWrap w:val="0"/>
                  <w:vAlign w:val="center"/>
                </w:tcPr>
                <w:p w14:paraId="2D15B0E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E2CDC9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-548.71</w:t>
                  </w:r>
                </w:p>
              </w:tc>
              <w:tc>
                <w:tcPr>
                  <w:tcW w:w="1792" w:type="dxa"/>
                  <w:noWrap w:val="0"/>
                  <w:vAlign w:val="center"/>
                </w:tcPr>
                <w:p w14:paraId="096531D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474.06</w:t>
                  </w:r>
                </w:p>
              </w:tc>
              <w:tc>
                <w:tcPr>
                  <w:tcW w:w="1733" w:type="dxa"/>
                  <w:noWrap w:val="0"/>
                  <w:vAlign w:val="center"/>
                </w:tcPr>
                <w:p w14:paraId="7FA93D7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21.27</w:t>
                  </w:r>
                </w:p>
              </w:tc>
            </w:tr>
            <w:tr w14:paraId="30D54C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4E6303E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8</w:t>
                  </w:r>
                </w:p>
              </w:tc>
              <w:tc>
                <w:tcPr>
                  <w:tcW w:w="1828" w:type="dxa"/>
                  <w:vMerge w:val="continue"/>
                  <w:noWrap w:val="0"/>
                  <w:vAlign w:val="center"/>
                </w:tcPr>
                <w:p w14:paraId="2CB6CEA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8FAB99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-552.12</w:t>
                  </w:r>
                </w:p>
              </w:tc>
              <w:tc>
                <w:tcPr>
                  <w:tcW w:w="1792" w:type="dxa"/>
                  <w:noWrap w:val="0"/>
                  <w:vAlign w:val="center"/>
                </w:tcPr>
                <w:p w14:paraId="27B66AC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464.66</w:t>
                  </w:r>
                </w:p>
              </w:tc>
              <w:tc>
                <w:tcPr>
                  <w:tcW w:w="1733" w:type="dxa"/>
                  <w:noWrap w:val="0"/>
                  <w:vAlign w:val="center"/>
                </w:tcPr>
                <w:p w14:paraId="277509B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21.26</w:t>
                  </w:r>
                </w:p>
              </w:tc>
            </w:tr>
            <w:tr w14:paraId="47AE35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45FA7C8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9</w:t>
                  </w:r>
                </w:p>
              </w:tc>
              <w:tc>
                <w:tcPr>
                  <w:tcW w:w="1828" w:type="dxa"/>
                  <w:vMerge w:val="continue"/>
                  <w:noWrap w:val="0"/>
                  <w:vAlign w:val="center"/>
                </w:tcPr>
                <w:p w14:paraId="1BDB833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E2E3C9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-555.52</w:t>
                  </w:r>
                </w:p>
              </w:tc>
              <w:tc>
                <w:tcPr>
                  <w:tcW w:w="1792" w:type="dxa"/>
                  <w:noWrap w:val="0"/>
                  <w:vAlign w:val="center"/>
                </w:tcPr>
                <w:p w14:paraId="06103DD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455.25</w:t>
                  </w:r>
                </w:p>
              </w:tc>
              <w:tc>
                <w:tcPr>
                  <w:tcW w:w="1733" w:type="dxa"/>
                  <w:noWrap w:val="0"/>
                  <w:vAlign w:val="center"/>
                </w:tcPr>
                <w:p w14:paraId="0D6FDDD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21.20</w:t>
                  </w:r>
                </w:p>
              </w:tc>
            </w:tr>
            <w:tr w14:paraId="7A9371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3EAEFE2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10</w:t>
                  </w:r>
                </w:p>
              </w:tc>
              <w:tc>
                <w:tcPr>
                  <w:tcW w:w="1828" w:type="dxa"/>
                  <w:vMerge w:val="continue"/>
                  <w:noWrap w:val="0"/>
                  <w:vAlign w:val="center"/>
                </w:tcPr>
                <w:p w14:paraId="5A8A342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1347DD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-558.93</w:t>
                  </w:r>
                </w:p>
              </w:tc>
              <w:tc>
                <w:tcPr>
                  <w:tcW w:w="1792" w:type="dxa"/>
                  <w:noWrap w:val="0"/>
                  <w:vAlign w:val="center"/>
                </w:tcPr>
                <w:p w14:paraId="0803784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445.85</w:t>
                  </w:r>
                </w:p>
              </w:tc>
              <w:tc>
                <w:tcPr>
                  <w:tcW w:w="1733" w:type="dxa"/>
                  <w:noWrap w:val="0"/>
                  <w:vAlign w:val="center"/>
                </w:tcPr>
                <w:p w14:paraId="430D085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21.72</w:t>
                  </w:r>
                </w:p>
              </w:tc>
            </w:tr>
            <w:tr w14:paraId="3564FD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30D08CF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11</w:t>
                  </w:r>
                </w:p>
              </w:tc>
              <w:tc>
                <w:tcPr>
                  <w:tcW w:w="1828" w:type="dxa"/>
                  <w:vMerge w:val="continue"/>
                  <w:noWrap w:val="0"/>
                  <w:vAlign w:val="center"/>
                </w:tcPr>
                <w:p w14:paraId="22DD2F8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6ACAE3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-562.34</w:t>
                  </w:r>
                </w:p>
              </w:tc>
              <w:tc>
                <w:tcPr>
                  <w:tcW w:w="1792" w:type="dxa"/>
                  <w:noWrap w:val="0"/>
                  <w:vAlign w:val="center"/>
                </w:tcPr>
                <w:p w14:paraId="7CFF5C4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436.45</w:t>
                  </w:r>
                </w:p>
              </w:tc>
              <w:tc>
                <w:tcPr>
                  <w:tcW w:w="1733" w:type="dxa"/>
                  <w:noWrap w:val="0"/>
                  <w:vAlign w:val="center"/>
                </w:tcPr>
                <w:p w14:paraId="4E76768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21.63</w:t>
                  </w:r>
                </w:p>
              </w:tc>
            </w:tr>
            <w:tr w14:paraId="0AF586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4727DFF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12</w:t>
                  </w:r>
                </w:p>
              </w:tc>
              <w:tc>
                <w:tcPr>
                  <w:tcW w:w="1828" w:type="dxa"/>
                  <w:vMerge w:val="continue"/>
                  <w:noWrap w:val="0"/>
                  <w:vAlign w:val="center"/>
                </w:tcPr>
                <w:p w14:paraId="18FF726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69DF0B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-565.74</w:t>
                  </w:r>
                </w:p>
              </w:tc>
              <w:tc>
                <w:tcPr>
                  <w:tcW w:w="1792" w:type="dxa"/>
                  <w:noWrap w:val="0"/>
                  <w:vAlign w:val="center"/>
                </w:tcPr>
                <w:p w14:paraId="1B97B75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427.05</w:t>
                  </w:r>
                </w:p>
              </w:tc>
              <w:tc>
                <w:tcPr>
                  <w:tcW w:w="1733" w:type="dxa"/>
                  <w:noWrap w:val="0"/>
                  <w:vAlign w:val="center"/>
                </w:tcPr>
                <w:p w14:paraId="485751C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21.54</w:t>
                  </w:r>
                </w:p>
              </w:tc>
            </w:tr>
            <w:tr w14:paraId="2E177A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43AF38B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13</w:t>
                  </w:r>
                </w:p>
              </w:tc>
              <w:tc>
                <w:tcPr>
                  <w:tcW w:w="1828" w:type="dxa"/>
                  <w:vMerge w:val="continue"/>
                  <w:noWrap w:val="0"/>
                  <w:vAlign w:val="center"/>
                </w:tcPr>
                <w:p w14:paraId="6EBA25A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5FA6D9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-569.15</w:t>
                  </w:r>
                </w:p>
              </w:tc>
              <w:tc>
                <w:tcPr>
                  <w:tcW w:w="1792" w:type="dxa"/>
                  <w:noWrap w:val="0"/>
                  <w:vAlign w:val="center"/>
                </w:tcPr>
                <w:p w14:paraId="7D8DA7F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417.65</w:t>
                  </w:r>
                </w:p>
              </w:tc>
              <w:tc>
                <w:tcPr>
                  <w:tcW w:w="1733" w:type="dxa"/>
                  <w:noWrap w:val="0"/>
                  <w:vAlign w:val="center"/>
                </w:tcPr>
                <w:p w14:paraId="256A467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21.44</w:t>
                  </w:r>
                </w:p>
              </w:tc>
            </w:tr>
            <w:tr w14:paraId="57D0C3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1FB7D11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14</w:t>
                  </w:r>
                </w:p>
              </w:tc>
              <w:tc>
                <w:tcPr>
                  <w:tcW w:w="1828" w:type="dxa"/>
                  <w:vMerge w:val="continue"/>
                  <w:noWrap w:val="0"/>
                  <w:vAlign w:val="center"/>
                </w:tcPr>
                <w:p w14:paraId="2C14CC3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1C5E0B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-572.55</w:t>
                  </w:r>
                </w:p>
              </w:tc>
              <w:tc>
                <w:tcPr>
                  <w:tcW w:w="1792" w:type="dxa"/>
                  <w:noWrap w:val="0"/>
                  <w:vAlign w:val="center"/>
                </w:tcPr>
                <w:p w14:paraId="05EE5F1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408.25</w:t>
                  </w:r>
                </w:p>
              </w:tc>
              <w:tc>
                <w:tcPr>
                  <w:tcW w:w="1733" w:type="dxa"/>
                  <w:noWrap w:val="0"/>
                  <w:vAlign w:val="center"/>
                </w:tcPr>
                <w:p w14:paraId="0832802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21.34</w:t>
                  </w:r>
                </w:p>
              </w:tc>
            </w:tr>
            <w:tr w14:paraId="26A3B4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0C0741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15</w:t>
                  </w:r>
                </w:p>
              </w:tc>
              <w:tc>
                <w:tcPr>
                  <w:tcW w:w="1828" w:type="dxa"/>
                  <w:vMerge w:val="continue"/>
                  <w:noWrap w:val="0"/>
                  <w:vAlign w:val="center"/>
                </w:tcPr>
                <w:p w14:paraId="3ACC3F3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B7929B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-575.96</w:t>
                  </w:r>
                </w:p>
              </w:tc>
              <w:tc>
                <w:tcPr>
                  <w:tcW w:w="1792" w:type="dxa"/>
                  <w:noWrap w:val="0"/>
                  <w:vAlign w:val="center"/>
                </w:tcPr>
                <w:p w14:paraId="5497521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398.84</w:t>
                  </w:r>
                </w:p>
              </w:tc>
              <w:tc>
                <w:tcPr>
                  <w:tcW w:w="1733" w:type="dxa"/>
                  <w:noWrap w:val="0"/>
                  <w:vAlign w:val="center"/>
                </w:tcPr>
                <w:p w14:paraId="5690A5F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21.24</w:t>
                  </w:r>
                </w:p>
              </w:tc>
            </w:tr>
            <w:tr w14:paraId="767734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22F4EC8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16</w:t>
                  </w:r>
                </w:p>
              </w:tc>
              <w:tc>
                <w:tcPr>
                  <w:tcW w:w="1828" w:type="dxa"/>
                  <w:vMerge w:val="continue"/>
                  <w:noWrap w:val="0"/>
                  <w:vAlign w:val="center"/>
                </w:tcPr>
                <w:p w14:paraId="4EE7C8D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2D2F23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-579.37</w:t>
                  </w:r>
                </w:p>
              </w:tc>
              <w:tc>
                <w:tcPr>
                  <w:tcW w:w="1792" w:type="dxa"/>
                  <w:noWrap w:val="0"/>
                  <w:vAlign w:val="center"/>
                </w:tcPr>
                <w:p w14:paraId="39AC365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389.44</w:t>
                  </w:r>
                </w:p>
              </w:tc>
              <w:tc>
                <w:tcPr>
                  <w:tcW w:w="1733" w:type="dxa"/>
                  <w:noWrap w:val="0"/>
                  <w:vAlign w:val="center"/>
                </w:tcPr>
                <w:p w14:paraId="2BE7671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21.14</w:t>
                  </w:r>
                </w:p>
              </w:tc>
            </w:tr>
            <w:tr w14:paraId="2FBDD2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44ED72E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17</w:t>
                  </w:r>
                </w:p>
              </w:tc>
              <w:tc>
                <w:tcPr>
                  <w:tcW w:w="1828" w:type="dxa"/>
                  <w:vMerge w:val="continue"/>
                  <w:noWrap w:val="0"/>
                  <w:vAlign w:val="center"/>
                </w:tcPr>
                <w:p w14:paraId="6CD18D9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6E4B59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-582.77</w:t>
                  </w:r>
                </w:p>
              </w:tc>
              <w:tc>
                <w:tcPr>
                  <w:tcW w:w="1792" w:type="dxa"/>
                  <w:noWrap w:val="0"/>
                  <w:vAlign w:val="center"/>
                </w:tcPr>
                <w:p w14:paraId="2D32AD5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380.04</w:t>
                  </w:r>
                </w:p>
              </w:tc>
              <w:tc>
                <w:tcPr>
                  <w:tcW w:w="1733" w:type="dxa"/>
                  <w:noWrap w:val="0"/>
                  <w:vAlign w:val="center"/>
                </w:tcPr>
                <w:p w14:paraId="0A51DEF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21.04</w:t>
                  </w:r>
                </w:p>
              </w:tc>
            </w:tr>
            <w:tr w14:paraId="5496A7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974F1B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18</w:t>
                  </w:r>
                </w:p>
              </w:tc>
              <w:tc>
                <w:tcPr>
                  <w:tcW w:w="1828" w:type="dxa"/>
                  <w:vMerge w:val="continue"/>
                  <w:noWrap w:val="0"/>
                  <w:vAlign w:val="center"/>
                </w:tcPr>
                <w:p w14:paraId="436D10A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4389C6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-586.18</w:t>
                  </w:r>
                </w:p>
              </w:tc>
              <w:tc>
                <w:tcPr>
                  <w:tcW w:w="1792" w:type="dxa"/>
                  <w:noWrap w:val="0"/>
                  <w:vAlign w:val="center"/>
                </w:tcPr>
                <w:p w14:paraId="5990AB0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370.64</w:t>
                  </w:r>
                </w:p>
              </w:tc>
              <w:tc>
                <w:tcPr>
                  <w:tcW w:w="1733" w:type="dxa"/>
                  <w:noWrap w:val="0"/>
                  <w:vAlign w:val="center"/>
                </w:tcPr>
                <w:p w14:paraId="619E193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20.96</w:t>
                  </w:r>
                </w:p>
              </w:tc>
            </w:tr>
            <w:tr w14:paraId="38DD91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2F90490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19</w:t>
                  </w:r>
                </w:p>
              </w:tc>
              <w:tc>
                <w:tcPr>
                  <w:tcW w:w="1828" w:type="dxa"/>
                  <w:vMerge w:val="continue"/>
                  <w:noWrap w:val="0"/>
                  <w:vAlign w:val="center"/>
                </w:tcPr>
                <w:p w14:paraId="492F782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95067E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-589.59</w:t>
                  </w:r>
                </w:p>
              </w:tc>
              <w:tc>
                <w:tcPr>
                  <w:tcW w:w="1792" w:type="dxa"/>
                  <w:noWrap w:val="0"/>
                  <w:vAlign w:val="center"/>
                </w:tcPr>
                <w:p w14:paraId="28C0E1E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361.24</w:t>
                  </w:r>
                </w:p>
              </w:tc>
              <w:tc>
                <w:tcPr>
                  <w:tcW w:w="1733" w:type="dxa"/>
                  <w:noWrap w:val="0"/>
                  <w:vAlign w:val="center"/>
                </w:tcPr>
                <w:p w14:paraId="50B6A6C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20.87</w:t>
                  </w:r>
                </w:p>
              </w:tc>
            </w:tr>
            <w:tr w14:paraId="61C260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0C6A30D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20</w:t>
                  </w:r>
                </w:p>
              </w:tc>
              <w:tc>
                <w:tcPr>
                  <w:tcW w:w="1828" w:type="dxa"/>
                  <w:vMerge w:val="continue"/>
                  <w:noWrap w:val="0"/>
                  <w:vAlign w:val="center"/>
                </w:tcPr>
                <w:p w14:paraId="4C118E2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24FC03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-592.99</w:t>
                  </w:r>
                </w:p>
              </w:tc>
              <w:tc>
                <w:tcPr>
                  <w:tcW w:w="1792" w:type="dxa"/>
                  <w:noWrap w:val="0"/>
                  <w:vAlign w:val="center"/>
                </w:tcPr>
                <w:p w14:paraId="6DAD212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351.83</w:t>
                  </w:r>
                </w:p>
              </w:tc>
              <w:tc>
                <w:tcPr>
                  <w:tcW w:w="1733" w:type="dxa"/>
                  <w:noWrap w:val="0"/>
                  <w:vAlign w:val="center"/>
                </w:tcPr>
                <w:p w14:paraId="5D89F9F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20.77</w:t>
                  </w:r>
                </w:p>
              </w:tc>
            </w:tr>
            <w:tr w14:paraId="0BCAC8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70EC4A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21</w:t>
                  </w:r>
                </w:p>
              </w:tc>
              <w:tc>
                <w:tcPr>
                  <w:tcW w:w="1828" w:type="dxa"/>
                  <w:vMerge w:val="continue"/>
                  <w:noWrap w:val="0"/>
                  <w:vAlign w:val="center"/>
                </w:tcPr>
                <w:p w14:paraId="44E5965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EB8FFF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-596.22</w:t>
                  </w:r>
                </w:p>
              </w:tc>
              <w:tc>
                <w:tcPr>
                  <w:tcW w:w="1792" w:type="dxa"/>
                  <w:noWrap w:val="0"/>
                  <w:vAlign w:val="center"/>
                </w:tcPr>
                <w:p w14:paraId="4BA92A0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342.93</w:t>
                  </w:r>
                </w:p>
              </w:tc>
              <w:tc>
                <w:tcPr>
                  <w:tcW w:w="1733" w:type="dxa"/>
                  <w:noWrap w:val="0"/>
                  <w:vAlign w:val="center"/>
                </w:tcPr>
                <w:p w14:paraId="4AB67CD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20.67</w:t>
                  </w:r>
                </w:p>
              </w:tc>
            </w:tr>
            <w:tr w14:paraId="69C130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22AE2ED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22</w:t>
                  </w:r>
                </w:p>
              </w:tc>
              <w:tc>
                <w:tcPr>
                  <w:tcW w:w="1828" w:type="dxa"/>
                  <w:vMerge w:val="continue"/>
                  <w:noWrap w:val="0"/>
                  <w:vAlign w:val="center"/>
                </w:tcPr>
                <w:p w14:paraId="442CDB8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F6E0D1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-586.46</w:t>
                  </w:r>
                </w:p>
              </w:tc>
              <w:tc>
                <w:tcPr>
                  <w:tcW w:w="1792" w:type="dxa"/>
                  <w:noWrap w:val="0"/>
                  <w:vAlign w:val="center"/>
                </w:tcPr>
                <w:p w14:paraId="6AE9C0E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340.75</w:t>
                  </w:r>
                </w:p>
              </w:tc>
              <w:tc>
                <w:tcPr>
                  <w:tcW w:w="1733" w:type="dxa"/>
                  <w:noWrap w:val="0"/>
                  <w:vAlign w:val="center"/>
                </w:tcPr>
                <w:p w14:paraId="09B3176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20.92</w:t>
                  </w:r>
                </w:p>
              </w:tc>
            </w:tr>
            <w:tr w14:paraId="489B64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87F6A1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23</w:t>
                  </w:r>
                </w:p>
              </w:tc>
              <w:tc>
                <w:tcPr>
                  <w:tcW w:w="1828" w:type="dxa"/>
                  <w:vMerge w:val="continue"/>
                  <w:noWrap w:val="0"/>
                  <w:vAlign w:val="center"/>
                </w:tcPr>
                <w:p w14:paraId="62D6CB5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0AA254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-576.70</w:t>
                  </w:r>
                </w:p>
              </w:tc>
              <w:tc>
                <w:tcPr>
                  <w:tcW w:w="1792" w:type="dxa"/>
                  <w:noWrap w:val="0"/>
                  <w:vAlign w:val="center"/>
                </w:tcPr>
                <w:p w14:paraId="5E7073B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338.58</w:t>
                  </w:r>
                </w:p>
              </w:tc>
              <w:tc>
                <w:tcPr>
                  <w:tcW w:w="1733" w:type="dxa"/>
                  <w:noWrap w:val="0"/>
                  <w:vAlign w:val="center"/>
                </w:tcPr>
                <w:p w14:paraId="044FBE6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21.17</w:t>
                  </w:r>
                </w:p>
              </w:tc>
            </w:tr>
            <w:tr w14:paraId="2AA29E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0C9CD60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24</w:t>
                  </w:r>
                </w:p>
              </w:tc>
              <w:tc>
                <w:tcPr>
                  <w:tcW w:w="1828" w:type="dxa"/>
                  <w:vMerge w:val="continue"/>
                  <w:noWrap w:val="0"/>
                  <w:vAlign w:val="center"/>
                </w:tcPr>
                <w:p w14:paraId="176FF06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CC8C93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-566.94</w:t>
                  </w:r>
                </w:p>
              </w:tc>
              <w:tc>
                <w:tcPr>
                  <w:tcW w:w="1792" w:type="dxa"/>
                  <w:noWrap w:val="0"/>
                  <w:vAlign w:val="center"/>
                </w:tcPr>
                <w:p w14:paraId="10615AB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336.40</w:t>
                  </w:r>
                </w:p>
              </w:tc>
              <w:tc>
                <w:tcPr>
                  <w:tcW w:w="1733" w:type="dxa"/>
                  <w:noWrap w:val="0"/>
                  <w:vAlign w:val="center"/>
                </w:tcPr>
                <w:p w14:paraId="62F6655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21.43</w:t>
                  </w:r>
                </w:p>
              </w:tc>
            </w:tr>
            <w:tr w14:paraId="633F37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4102CEF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25</w:t>
                  </w:r>
                </w:p>
              </w:tc>
              <w:tc>
                <w:tcPr>
                  <w:tcW w:w="1828" w:type="dxa"/>
                  <w:vMerge w:val="continue"/>
                  <w:noWrap w:val="0"/>
                  <w:vAlign w:val="center"/>
                </w:tcPr>
                <w:p w14:paraId="5193C5A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CDA769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-557.18</w:t>
                  </w:r>
                </w:p>
              </w:tc>
              <w:tc>
                <w:tcPr>
                  <w:tcW w:w="1792" w:type="dxa"/>
                  <w:noWrap w:val="0"/>
                  <w:vAlign w:val="center"/>
                </w:tcPr>
                <w:p w14:paraId="353E07A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334.22</w:t>
                  </w:r>
                </w:p>
              </w:tc>
              <w:tc>
                <w:tcPr>
                  <w:tcW w:w="1733" w:type="dxa"/>
                  <w:noWrap w:val="0"/>
                  <w:vAlign w:val="center"/>
                </w:tcPr>
                <w:p w14:paraId="0C24F44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21.70</w:t>
                  </w:r>
                </w:p>
              </w:tc>
            </w:tr>
            <w:tr w14:paraId="00C611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02ACFDD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26</w:t>
                  </w:r>
                </w:p>
              </w:tc>
              <w:tc>
                <w:tcPr>
                  <w:tcW w:w="1828" w:type="dxa"/>
                  <w:vMerge w:val="continue"/>
                  <w:noWrap w:val="0"/>
                  <w:vAlign w:val="center"/>
                </w:tcPr>
                <w:p w14:paraId="4C15663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477DE7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-547.42</w:t>
                  </w:r>
                </w:p>
              </w:tc>
              <w:tc>
                <w:tcPr>
                  <w:tcW w:w="1792" w:type="dxa"/>
                  <w:noWrap w:val="0"/>
                  <w:vAlign w:val="center"/>
                </w:tcPr>
                <w:p w14:paraId="6EAA892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332.04</w:t>
                  </w:r>
                </w:p>
              </w:tc>
              <w:tc>
                <w:tcPr>
                  <w:tcW w:w="1733" w:type="dxa"/>
                  <w:noWrap w:val="0"/>
                  <w:vAlign w:val="center"/>
                </w:tcPr>
                <w:p w14:paraId="1C604F7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21.97</w:t>
                  </w:r>
                </w:p>
              </w:tc>
            </w:tr>
            <w:tr w14:paraId="31E15C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0C1D194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27</w:t>
                  </w:r>
                </w:p>
              </w:tc>
              <w:tc>
                <w:tcPr>
                  <w:tcW w:w="1828" w:type="dxa"/>
                  <w:vMerge w:val="continue"/>
                  <w:noWrap w:val="0"/>
                  <w:vAlign w:val="center"/>
                </w:tcPr>
                <w:p w14:paraId="6CBE79B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E3FABD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-537.66</w:t>
                  </w:r>
                </w:p>
              </w:tc>
              <w:tc>
                <w:tcPr>
                  <w:tcW w:w="1792" w:type="dxa"/>
                  <w:noWrap w:val="0"/>
                  <w:vAlign w:val="center"/>
                </w:tcPr>
                <w:p w14:paraId="3581720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329.87</w:t>
                  </w:r>
                </w:p>
              </w:tc>
              <w:tc>
                <w:tcPr>
                  <w:tcW w:w="1733" w:type="dxa"/>
                  <w:noWrap w:val="0"/>
                  <w:vAlign w:val="center"/>
                </w:tcPr>
                <w:p w14:paraId="293A645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22.25</w:t>
                  </w:r>
                </w:p>
              </w:tc>
            </w:tr>
            <w:tr w14:paraId="7D59A3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42E4B1B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28</w:t>
                  </w:r>
                </w:p>
              </w:tc>
              <w:tc>
                <w:tcPr>
                  <w:tcW w:w="1828" w:type="dxa"/>
                  <w:vMerge w:val="continue"/>
                  <w:noWrap w:val="0"/>
                  <w:vAlign w:val="center"/>
                </w:tcPr>
                <w:p w14:paraId="44E98AB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20155D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-527.90</w:t>
                  </w:r>
                </w:p>
              </w:tc>
              <w:tc>
                <w:tcPr>
                  <w:tcW w:w="1792" w:type="dxa"/>
                  <w:noWrap w:val="0"/>
                  <w:vAlign w:val="center"/>
                </w:tcPr>
                <w:p w14:paraId="598DC94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327.69</w:t>
                  </w:r>
                </w:p>
              </w:tc>
              <w:tc>
                <w:tcPr>
                  <w:tcW w:w="1733" w:type="dxa"/>
                  <w:noWrap w:val="0"/>
                  <w:vAlign w:val="center"/>
                </w:tcPr>
                <w:p w14:paraId="1A48D08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22.54</w:t>
                  </w:r>
                </w:p>
              </w:tc>
            </w:tr>
            <w:tr w14:paraId="641A10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508F414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29</w:t>
                  </w:r>
                </w:p>
              </w:tc>
              <w:tc>
                <w:tcPr>
                  <w:tcW w:w="1828" w:type="dxa"/>
                  <w:vMerge w:val="continue"/>
                  <w:noWrap w:val="0"/>
                  <w:vAlign w:val="center"/>
                </w:tcPr>
                <w:p w14:paraId="23BB7C4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0ACAF5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-518.14</w:t>
                  </w:r>
                </w:p>
              </w:tc>
              <w:tc>
                <w:tcPr>
                  <w:tcW w:w="1792" w:type="dxa"/>
                  <w:noWrap w:val="0"/>
                  <w:vAlign w:val="center"/>
                </w:tcPr>
                <w:p w14:paraId="0CBDBAD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325.51</w:t>
                  </w:r>
                </w:p>
              </w:tc>
              <w:tc>
                <w:tcPr>
                  <w:tcW w:w="1733" w:type="dxa"/>
                  <w:noWrap w:val="0"/>
                  <w:vAlign w:val="center"/>
                </w:tcPr>
                <w:p w14:paraId="3D3F1F9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22.84</w:t>
                  </w:r>
                </w:p>
              </w:tc>
            </w:tr>
            <w:tr w14:paraId="2FD5C5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212F031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30</w:t>
                  </w:r>
                </w:p>
              </w:tc>
              <w:tc>
                <w:tcPr>
                  <w:tcW w:w="1828" w:type="dxa"/>
                  <w:vMerge w:val="continue"/>
                  <w:noWrap w:val="0"/>
                  <w:vAlign w:val="center"/>
                </w:tcPr>
                <w:p w14:paraId="5EF1C51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8A0D45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-508.38</w:t>
                  </w:r>
                </w:p>
              </w:tc>
              <w:tc>
                <w:tcPr>
                  <w:tcW w:w="1792" w:type="dxa"/>
                  <w:noWrap w:val="0"/>
                  <w:vAlign w:val="center"/>
                </w:tcPr>
                <w:p w14:paraId="34CD7FC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323.34</w:t>
                  </w:r>
                </w:p>
              </w:tc>
              <w:tc>
                <w:tcPr>
                  <w:tcW w:w="1733" w:type="dxa"/>
                  <w:noWrap w:val="0"/>
                  <w:vAlign w:val="center"/>
                </w:tcPr>
                <w:p w14:paraId="6F5ADFB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23.55</w:t>
                  </w:r>
                </w:p>
              </w:tc>
            </w:tr>
            <w:tr w14:paraId="7458C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233DB69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31</w:t>
                  </w:r>
                </w:p>
              </w:tc>
              <w:tc>
                <w:tcPr>
                  <w:tcW w:w="1828" w:type="dxa"/>
                  <w:vMerge w:val="continue"/>
                  <w:noWrap w:val="0"/>
                  <w:vAlign w:val="center"/>
                </w:tcPr>
                <w:p w14:paraId="59C78AD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8AE4CD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-498.62</w:t>
                  </w:r>
                </w:p>
              </w:tc>
              <w:tc>
                <w:tcPr>
                  <w:tcW w:w="1792" w:type="dxa"/>
                  <w:noWrap w:val="0"/>
                  <w:vAlign w:val="center"/>
                </w:tcPr>
                <w:p w14:paraId="471F0E8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321.16</w:t>
                  </w:r>
                </w:p>
              </w:tc>
              <w:tc>
                <w:tcPr>
                  <w:tcW w:w="1733" w:type="dxa"/>
                  <w:noWrap w:val="0"/>
                  <w:vAlign w:val="center"/>
                </w:tcPr>
                <w:p w14:paraId="6C45554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23.88</w:t>
                  </w:r>
                </w:p>
              </w:tc>
            </w:tr>
            <w:tr w14:paraId="1F0BE4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752" w:type="dxa"/>
                  <w:noWrap w:val="0"/>
                  <w:vAlign w:val="center"/>
                </w:tcPr>
                <w:p w14:paraId="6635BBF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32</w:t>
                  </w:r>
                </w:p>
              </w:tc>
              <w:tc>
                <w:tcPr>
                  <w:tcW w:w="1828" w:type="dxa"/>
                  <w:vMerge w:val="continue"/>
                  <w:noWrap w:val="0"/>
                  <w:vAlign w:val="center"/>
                </w:tcPr>
                <w:p w14:paraId="3FDABF1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CD0154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-488.86</w:t>
                  </w:r>
                </w:p>
              </w:tc>
              <w:tc>
                <w:tcPr>
                  <w:tcW w:w="1792" w:type="dxa"/>
                  <w:noWrap w:val="0"/>
                  <w:vAlign w:val="center"/>
                </w:tcPr>
                <w:p w14:paraId="2C4D163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318.98</w:t>
                  </w:r>
                </w:p>
              </w:tc>
              <w:tc>
                <w:tcPr>
                  <w:tcW w:w="1733" w:type="dxa"/>
                  <w:noWrap w:val="0"/>
                  <w:vAlign w:val="center"/>
                </w:tcPr>
                <w:p w14:paraId="633AA48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24.23</w:t>
                  </w:r>
                </w:p>
              </w:tc>
            </w:tr>
            <w:tr w14:paraId="24A6B8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6C977C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33</w:t>
                  </w:r>
                </w:p>
              </w:tc>
              <w:tc>
                <w:tcPr>
                  <w:tcW w:w="1828" w:type="dxa"/>
                  <w:vMerge w:val="continue"/>
                  <w:noWrap w:val="0"/>
                  <w:vAlign w:val="center"/>
                </w:tcPr>
                <w:p w14:paraId="42DABC5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C6033E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-479.10</w:t>
                  </w:r>
                </w:p>
              </w:tc>
              <w:tc>
                <w:tcPr>
                  <w:tcW w:w="1792" w:type="dxa"/>
                  <w:noWrap w:val="0"/>
                  <w:vAlign w:val="center"/>
                </w:tcPr>
                <w:p w14:paraId="76DA283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316.80</w:t>
                  </w:r>
                </w:p>
              </w:tc>
              <w:tc>
                <w:tcPr>
                  <w:tcW w:w="1733" w:type="dxa"/>
                  <w:noWrap w:val="0"/>
                  <w:vAlign w:val="center"/>
                </w:tcPr>
                <w:p w14:paraId="157BCE7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24.60</w:t>
                  </w:r>
                </w:p>
              </w:tc>
            </w:tr>
            <w:tr w14:paraId="276878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1F5ACE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34</w:t>
                  </w:r>
                </w:p>
              </w:tc>
              <w:tc>
                <w:tcPr>
                  <w:tcW w:w="1828" w:type="dxa"/>
                  <w:vMerge w:val="continue"/>
                  <w:noWrap w:val="0"/>
                  <w:vAlign w:val="center"/>
                </w:tcPr>
                <w:p w14:paraId="0C3F4A8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FDE953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-469.34</w:t>
                  </w:r>
                </w:p>
              </w:tc>
              <w:tc>
                <w:tcPr>
                  <w:tcW w:w="1792" w:type="dxa"/>
                  <w:noWrap w:val="0"/>
                  <w:vAlign w:val="center"/>
                </w:tcPr>
                <w:p w14:paraId="2CC9AC1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314.63</w:t>
                  </w:r>
                </w:p>
              </w:tc>
              <w:tc>
                <w:tcPr>
                  <w:tcW w:w="1733" w:type="dxa"/>
                  <w:noWrap w:val="0"/>
                  <w:vAlign w:val="center"/>
                </w:tcPr>
                <w:p w14:paraId="6D778AF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24.95</w:t>
                  </w:r>
                </w:p>
              </w:tc>
            </w:tr>
            <w:tr w14:paraId="69A79E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04366FB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35</w:t>
                  </w:r>
                </w:p>
              </w:tc>
              <w:tc>
                <w:tcPr>
                  <w:tcW w:w="1828" w:type="dxa"/>
                  <w:vMerge w:val="continue"/>
                  <w:noWrap w:val="0"/>
                  <w:vAlign w:val="center"/>
                </w:tcPr>
                <w:p w14:paraId="6F4009B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B1B008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-459.58</w:t>
                  </w:r>
                </w:p>
              </w:tc>
              <w:tc>
                <w:tcPr>
                  <w:tcW w:w="1792" w:type="dxa"/>
                  <w:noWrap w:val="0"/>
                  <w:vAlign w:val="center"/>
                </w:tcPr>
                <w:p w14:paraId="2BF60ED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312.45</w:t>
                  </w:r>
                </w:p>
              </w:tc>
              <w:tc>
                <w:tcPr>
                  <w:tcW w:w="1733" w:type="dxa"/>
                  <w:noWrap w:val="0"/>
                  <w:vAlign w:val="center"/>
                </w:tcPr>
                <w:p w14:paraId="280C4A6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25.40</w:t>
                  </w:r>
                </w:p>
              </w:tc>
            </w:tr>
            <w:tr w14:paraId="7F5414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69B382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36</w:t>
                  </w:r>
                </w:p>
              </w:tc>
              <w:tc>
                <w:tcPr>
                  <w:tcW w:w="1828" w:type="dxa"/>
                  <w:vMerge w:val="continue"/>
                  <w:noWrap w:val="0"/>
                  <w:vAlign w:val="center"/>
                </w:tcPr>
                <w:p w14:paraId="0AEE062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E7E7A7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-449.82</w:t>
                  </w:r>
                </w:p>
              </w:tc>
              <w:tc>
                <w:tcPr>
                  <w:tcW w:w="1792" w:type="dxa"/>
                  <w:noWrap w:val="0"/>
                  <w:vAlign w:val="center"/>
                </w:tcPr>
                <w:p w14:paraId="008EA12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310.27</w:t>
                  </w:r>
                </w:p>
              </w:tc>
              <w:tc>
                <w:tcPr>
                  <w:tcW w:w="1733" w:type="dxa"/>
                  <w:noWrap w:val="0"/>
                  <w:vAlign w:val="center"/>
                </w:tcPr>
                <w:p w14:paraId="4AEEB90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25.73</w:t>
                  </w:r>
                </w:p>
              </w:tc>
            </w:tr>
            <w:tr w14:paraId="274CCC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0ADE076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37</w:t>
                  </w:r>
                </w:p>
              </w:tc>
              <w:tc>
                <w:tcPr>
                  <w:tcW w:w="1828" w:type="dxa"/>
                  <w:vMerge w:val="continue"/>
                  <w:noWrap w:val="0"/>
                  <w:vAlign w:val="center"/>
                </w:tcPr>
                <w:p w14:paraId="10EEA03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76ACC4D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-440.06</w:t>
                  </w:r>
                </w:p>
              </w:tc>
              <w:tc>
                <w:tcPr>
                  <w:tcW w:w="1792" w:type="dxa"/>
                  <w:noWrap w:val="0"/>
                  <w:vAlign w:val="center"/>
                </w:tcPr>
                <w:p w14:paraId="0E6F75B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308.09</w:t>
                  </w:r>
                </w:p>
              </w:tc>
              <w:tc>
                <w:tcPr>
                  <w:tcW w:w="1733" w:type="dxa"/>
                  <w:noWrap w:val="0"/>
                  <w:vAlign w:val="center"/>
                </w:tcPr>
                <w:p w14:paraId="0579B43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25.77</w:t>
                  </w:r>
                </w:p>
              </w:tc>
            </w:tr>
            <w:tr w14:paraId="697303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9B0196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38</w:t>
                  </w:r>
                </w:p>
              </w:tc>
              <w:tc>
                <w:tcPr>
                  <w:tcW w:w="1828" w:type="dxa"/>
                  <w:vMerge w:val="continue"/>
                  <w:noWrap w:val="0"/>
                  <w:vAlign w:val="center"/>
                </w:tcPr>
                <w:p w14:paraId="134A968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9ADE0C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-430.30</w:t>
                  </w:r>
                </w:p>
              </w:tc>
              <w:tc>
                <w:tcPr>
                  <w:tcW w:w="1792" w:type="dxa"/>
                  <w:noWrap w:val="0"/>
                  <w:vAlign w:val="center"/>
                </w:tcPr>
                <w:p w14:paraId="2602A4C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305.92</w:t>
                  </w:r>
                </w:p>
              </w:tc>
              <w:tc>
                <w:tcPr>
                  <w:tcW w:w="1733" w:type="dxa"/>
                  <w:noWrap w:val="0"/>
                  <w:vAlign w:val="center"/>
                </w:tcPr>
                <w:p w14:paraId="6D498F3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26.18</w:t>
                  </w:r>
                </w:p>
              </w:tc>
            </w:tr>
            <w:tr w14:paraId="07B998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F0B5FE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39</w:t>
                  </w:r>
                </w:p>
              </w:tc>
              <w:tc>
                <w:tcPr>
                  <w:tcW w:w="1828" w:type="dxa"/>
                  <w:vMerge w:val="continue"/>
                  <w:noWrap w:val="0"/>
                  <w:vAlign w:val="center"/>
                </w:tcPr>
                <w:p w14:paraId="134C095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FD32B4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-420.54</w:t>
                  </w:r>
                </w:p>
              </w:tc>
              <w:tc>
                <w:tcPr>
                  <w:tcW w:w="1792" w:type="dxa"/>
                  <w:noWrap w:val="0"/>
                  <w:vAlign w:val="center"/>
                </w:tcPr>
                <w:p w14:paraId="489B762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303.74</w:t>
                  </w:r>
                </w:p>
              </w:tc>
              <w:tc>
                <w:tcPr>
                  <w:tcW w:w="1733" w:type="dxa"/>
                  <w:noWrap w:val="0"/>
                  <w:vAlign w:val="center"/>
                </w:tcPr>
                <w:p w14:paraId="3A55E56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26.83</w:t>
                  </w:r>
                </w:p>
              </w:tc>
            </w:tr>
            <w:tr w14:paraId="34A6FB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4BAAABE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40</w:t>
                  </w:r>
                </w:p>
              </w:tc>
              <w:tc>
                <w:tcPr>
                  <w:tcW w:w="1828" w:type="dxa"/>
                  <w:vMerge w:val="continue"/>
                  <w:noWrap w:val="0"/>
                  <w:vAlign w:val="center"/>
                </w:tcPr>
                <w:p w14:paraId="13F3515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B8D00F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-419.55</w:t>
                  </w:r>
                </w:p>
              </w:tc>
              <w:tc>
                <w:tcPr>
                  <w:tcW w:w="1792" w:type="dxa"/>
                  <w:noWrap w:val="0"/>
                  <w:vAlign w:val="center"/>
                </w:tcPr>
                <w:p w14:paraId="0F5C2A3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303.52</w:t>
                  </w:r>
                </w:p>
              </w:tc>
              <w:tc>
                <w:tcPr>
                  <w:tcW w:w="1733" w:type="dxa"/>
                  <w:noWrap w:val="0"/>
                  <w:vAlign w:val="center"/>
                </w:tcPr>
                <w:p w14:paraId="4E224B5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27.13</w:t>
                  </w:r>
                </w:p>
              </w:tc>
            </w:tr>
            <w:tr w14:paraId="7BC33D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1D82DB0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41</w:t>
                  </w:r>
                </w:p>
              </w:tc>
              <w:tc>
                <w:tcPr>
                  <w:tcW w:w="1828" w:type="dxa"/>
                  <w:vMerge w:val="continue"/>
                  <w:noWrap w:val="0"/>
                  <w:vAlign w:val="center"/>
                </w:tcPr>
                <w:p w14:paraId="2A7959F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19D9CC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-418.78</w:t>
                  </w:r>
                </w:p>
              </w:tc>
              <w:tc>
                <w:tcPr>
                  <w:tcW w:w="1792" w:type="dxa"/>
                  <w:noWrap w:val="0"/>
                  <w:vAlign w:val="center"/>
                </w:tcPr>
                <w:p w14:paraId="0EB6A17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313.49</w:t>
                  </w:r>
                </w:p>
              </w:tc>
              <w:tc>
                <w:tcPr>
                  <w:tcW w:w="1733" w:type="dxa"/>
                  <w:noWrap w:val="0"/>
                  <w:vAlign w:val="center"/>
                </w:tcPr>
                <w:p w14:paraId="6432FFF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26.73</w:t>
                  </w:r>
                </w:p>
              </w:tc>
            </w:tr>
            <w:tr w14:paraId="5CF272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42BC591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42</w:t>
                  </w:r>
                </w:p>
              </w:tc>
              <w:tc>
                <w:tcPr>
                  <w:tcW w:w="1828" w:type="dxa"/>
                  <w:vMerge w:val="continue"/>
                  <w:noWrap w:val="0"/>
                  <w:vAlign w:val="center"/>
                </w:tcPr>
                <w:p w14:paraId="7CB7309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925700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-418.02</w:t>
                  </w:r>
                </w:p>
              </w:tc>
              <w:tc>
                <w:tcPr>
                  <w:tcW w:w="1792" w:type="dxa"/>
                  <w:noWrap w:val="0"/>
                  <w:vAlign w:val="center"/>
                </w:tcPr>
                <w:p w14:paraId="639236B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323.46</w:t>
                  </w:r>
                </w:p>
              </w:tc>
              <w:tc>
                <w:tcPr>
                  <w:tcW w:w="1733" w:type="dxa"/>
                  <w:noWrap w:val="0"/>
                  <w:vAlign w:val="center"/>
                </w:tcPr>
                <w:p w14:paraId="2F1648C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26.79</w:t>
                  </w:r>
                </w:p>
              </w:tc>
            </w:tr>
            <w:tr w14:paraId="191B4E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21E7A2F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43</w:t>
                  </w:r>
                </w:p>
              </w:tc>
              <w:tc>
                <w:tcPr>
                  <w:tcW w:w="1828" w:type="dxa"/>
                  <w:vMerge w:val="continue"/>
                  <w:noWrap w:val="0"/>
                  <w:vAlign w:val="center"/>
                </w:tcPr>
                <w:p w14:paraId="3DBEB01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F09CCA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-417.25</w:t>
                  </w:r>
                </w:p>
              </w:tc>
              <w:tc>
                <w:tcPr>
                  <w:tcW w:w="1792" w:type="dxa"/>
                  <w:noWrap w:val="0"/>
                  <w:vAlign w:val="center"/>
                </w:tcPr>
                <w:p w14:paraId="3682418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333.43</w:t>
                  </w:r>
                </w:p>
              </w:tc>
              <w:tc>
                <w:tcPr>
                  <w:tcW w:w="1733" w:type="dxa"/>
                  <w:noWrap w:val="0"/>
                  <w:vAlign w:val="center"/>
                </w:tcPr>
                <w:p w14:paraId="2A30700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27.32</w:t>
                  </w:r>
                </w:p>
              </w:tc>
            </w:tr>
            <w:tr w14:paraId="7C5D97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8E87F5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44</w:t>
                  </w:r>
                </w:p>
              </w:tc>
              <w:tc>
                <w:tcPr>
                  <w:tcW w:w="1828" w:type="dxa"/>
                  <w:vMerge w:val="continue"/>
                  <w:noWrap w:val="0"/>
                  <w:vAlign w:val="center"/>
                </w:tcPr>
                <w:p w14:paraId="3A440B5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6D1B46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-416.48</w:t>
                  </w:r>
                </w:p>
              </w:tc>
              <w:tc>
                <w:tcPr>
                  <w:tcW w:w="1792" w:type="dxa"/>
                  <w:noWrap w:val="0"/>
                  <w:vAlign w:val="center"/>
                </w:tcPr>
                <w:p w14:paraId="70D0D00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343.40</w:t>
                  </w:r>
                </w:p>
              </w:tc>
              <w:tc>
                <w:tcPr>
                  <w:tcW w:w="1733" w:type="dxa"/>
                  <w:noWrap w:val="0"/>
                  <w:vAlign w:val="center"/>
                </w:tcPr>
                <w:p w14:paraId="025D6A4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27.29</w:t>
                  </w:r>
                </w:p>
              </w:tc>
            </w:tr>
            <w:tr w14:paraId="06AB91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C0EB4D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45</w:t>
                  </w:r>
                </w:p>
              </w:tc>
              <w:tc>
                <w:tcPr>
                  <w:tcW w:w="1828" w:type="dxa"/>
                  <w:vMerge w:val="continue"/>
                  <w:noWrap w:val="0"/>
                  <w:vAlign w:val="center"/>
                </w:tcPr>
                <w:p w14:paraId="0ABCBE5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B311A4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-415.72</w:t>
                  </w:r>
                </w:p>
              </w:tc>
              <w:tc>
                <w:tcPr>
                  <w:tcW w:w="1792" w:type="dxa"/>
                  <w:noWrap w:val="0"/>
                  <w:vAlign w:val="center"/>
                </w:tcPr>
                <w:p w14:paraId="638F8B3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353.37</w:t>
                  </w:r>
                </w:p>
              </w:tc>
              <w:tc>
                <w:tcPr>
                  <w:tcW w:w="1733" w:type="dxa"/>
                  <w:noWrap w:val="0"/>
                  <w:vAlign w:val="center"/>
                </w:tcPr>
                <w:p w14:paraId="7B319A6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26.92</w:t>
                  </w:r>
                </w:p>
              </w:tc>
            </w:tr>
            <w:tr w14:paraId="5276D0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0C04574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46</w:t>
                  </w:r>
                </w:p>
              </w:tc>
              <w:tc>
                <w:tcPr>
                  <w:tcW w:w="1828" w:type="dxa"/>
                  <w:vMerge w:val="continue"/>
                  <w:noWrap w:val="0"/>
                  <w:vAlign w:val="center"/>
                </w:tcPr>
                <w:p w14:paraId="1F66BAA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776BC29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-414.95</w:t>
                  </w:r>
                </w:p>
              </w:tc>
              <w:tc>
                <w:tcPr>
                  <w:tcW w:w="1792" w:type="dxa"/>
                  <w:noWrap w:val="0"/>
                  <w:vAlign w:val="center"/>
                </w:tcPr>
                <w:p w14:paraId="095BFCB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363.34</w:t>
                  </w:r>
                </w:p>
              </w:tc>
              <w:tc>
                <w:tcPr>
                  <w:tcW w:w="1733" w:type="dxa"/>
                  <w:noWrap w:val="0"/>
                  <w:vAlign w:val="center"/>
                </w:tcPr>
                <w:p w14:paraId="0F113A0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26.97</w:t>
                  </w:r>
                </w:p>
              </w:tc>
            </w:tr>
            <w:tr w14:paraId="042168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714DB0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47</w:t>
                  </w:r>
                </w:p>
              </w:tc>
              <w:tc>
                <w:tcPr>
                  <w:tcW w:w="1828" w:type="dxa"/>
                  <w:vMerge w:val="continue"/>
                  <w:noWrap w:val="0"/>
                  <w:vAlign w:val="center"/>
                </w:tcPr>
                <w:p w14:paraId="77A1279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F62F9B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-414.18</w:t>
                  </w:r>
                </w:p>
              </w:tc>
              <w:tc>
                <w:tcPr>
                  <w:tcW w:w="1792" w:type="dxa"/>
                  <w:noWrap w:val="0"/>
                  <w:vAlign w:val="center"/>
                </w:tcPr>
                <w:p w14:paraId="23D0FB6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373.31</w:t>
                  </w:r>
                </w:p>
              </w:tc>
              <w:tc>
                <w:tcPr>
                  <w:tcW w:w="1733" w:type="dxa"/>
                  <w:noWrap w:val="0"/>
                  <w:vAlign w:val="center"/>
                </w:tcPr>
                <w:p w14:paraId="1FAF1FB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27.03</w:t>
                  </w:r>
                </w:p>
              </w:tc>
            </w:tr>
            <w:tr w14:paraId="40BEF7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675CB1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48</w:t>
                  </w:r>
                </w:p>
              </w:tc>
              <w:tc>
                <w:tcPr>
                  <w:tcW w:w="1828" w:type="dxa"/>
                  <w:vMerge w:val="continue"/>
                  <w:noWrap w:val="0"/>
                  <w:vAlign w:val="center"/>
                </w:tcPr>
                <w:p w14:paraId="3F537E6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7FAA5B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-413.42</w:t>
                  </w:r>
                </w:p>
              </w:tc>
              <w:tc>
                <w:tcPr>
                  <w:tcW w:w="1792" w:type="dxa"/>
                  <w:noWrap w:val="0"/>
                  <w:vAlign w:val="center"/>
                </w:tcPr>
                <w:p w14:paraId="3B4D808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383.28</w:t>
                  </w:r>
                </w:p>
              </w:tc>
              <w:tc>
                <w:tcPr>
                  <w:tcW w:w="1733" w:type="dxa"/>
                  <w:noWrap w:val="0"/>
                  <w:vAlign w:val="center"/>
                </w:tcPr>
                <w:p w14:paraId="432DAE8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27.12</w:t>
                  </w:r>
                </w:p>
              </w:tc>
            </w:tr>
            <w:tr w14:paraId="675BD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3CDA2F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49</w:t>
                  </w:r>
                </w:p>
              </w:tc>
              <w:tc>
                <w:tcPr>
                  <w:tcW w:w="1828" w:type="dxa"/>
                  <w:vMerge w:val="continue"/>
                  <w:noWrap w:val="0"/>
                  <w:vAlign w:val="center"/>
                </w:tcPr>
                <w:p w14:paraId="59770B4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759F7CD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-412.76</w:t>
                  </w:r>
                </w:p>
              </w:tc>
              <w:tc>
                <w:tcPr>
                  <w:tcW w:w="1792" w:type="dxa"/>
                  <w:noWrap w:val="0"/>
                  <w:vAlign w:val="center"/>
                </w:tcPr>
                <w:p w14:paraId="294F67F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391.85</w:t>
                  </w:r>
                </w:p>
              </w:tc>
              <w:tc>
                <w:tcPr>
                  <w:tcW w:w="1733" w:type="dxa"/>
                  <w:noWrap w:val="0"/>
                  <w:vAlign w:val="center"/>
                </w:tcPr>
                <w:p w14:paraId="5A42007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27.18</w:t>
                  </w:r>
                </w:p>
              </w:tc>
            </w:tr>
            <w:tr w14:paraId="0322A4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3DE58F4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50</w:t>
                  </w:r>
                </w:p>
              </w:tc>
              <w:tc>
                <w:tcPr>
                  <w:tcW w:w="1828" w:type="dxa"/>
                  <w:vMerge w:val="continue"/>
                  <w:noWrap w:val="0"/>
                  <w:vAlign w:val="center"/>
                </w:tcPr>
                <w:p w14:paraId="3597D23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715A62B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-402.84</w:t>
                  </w:r>
                </w:p>
              </w:tc>
              <w:tc>
                <w:tcPr>
                  <w:tcW w:w="1792" w:type="dxa"/>
                  <w:noWrap w:val="0"/>
                  <w:vAlign w:val="center"/>
                </w:tcPr>
                <w:p w14:paraId="3529F7E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390.56</w:t>
                  </w:r>
                </w:p>
              </w:tc>
              <w:tc>
                <w:tcPr>
                  <w:tcW w:w="1733" w:type="dxa"/>
                  <w:noWrap w:val="0"/>
                  <w:vAlign w:val="center"/>
                </w:tcPr>
                <w:p w14:paraId="6B7592E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27.69</w:t>
                  </w:r>
                </w:p>
              </w:tc>
            </w:tr>
            <w:tr w14:paraId="40D1E7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A221B3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51</w:t>
                  </w:r>
                </w:p>
              </w:tc>
              <w:tc>
                <w:tcPr>
                  <w:tcW w:w="1828" w:type="dxa"/>
                  <w:vMerge w:val="continue"/>
                  <w:noWrap w:val="0"/>
                  <w:vAlign w:val="center"/>
                </w:tcPr>
                <w:p w14:paraId="6202EBE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CA6823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-392.93</w:t>
                  </w:r>
                </w:p>
              </w:tc>
              <w:tc>
                <w:tcPr>
                  <w:tcW w:w="1792" w:type="dxa"/>
                  <w:noWrap w:val="0"/>
                  <w:vAlign w:val="center"/>
                </w:tcPr>
                <w:p w14:paraId="6E6A7B9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389.26</w:t>
                  </w:r>
                </w:p>
              </w:tc>
              <w:tc>
                <w:tcPr>
                  <w:tcW w:w="1733" w:type="dxa"/>
                  <w:noWrap w:val="0"/>
                  <w:vAlign w:val="center"/>
                </w:tcPr>
                <w:p w14:paraId="05BC321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28.22</w:t>
                  </w:r>
                </w:p>
              </w:tc>
            </w:tr>
            <w:tr w14:paraId="29E897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19A849C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52</w:t>
                  </w:r>
                </w:p>
              </w:tc>
              <w:tc>
                <w:tcPr>
                  <w:tcW w:w="1828" w:type="dxa"/>
                  <w:vMerge w:val="continue"/>
                  <w:noWrap w:val="0"/>
                  <w:vAlign w:val="center"/>
                </w:tcPr>
                <w:p w14:paraId="29512C4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D87F36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-383.01</w:t>
                  </w:r>
                </w:p>
              </w:tc>
              <w:tc>
                <w:tcPr>
                  <w:tcW w:w="1792" w:type="dxa"/>
                  <w:noWrap w:val="0"/>
                  <w:vAlign w:val="center"/>
                </w:tcPr>
                <w:p w14:paraId="76A678A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387.97</w:t>
                  </w:r>
                </w:p>
              </w:tc>
              <w:tc>
                <w:tcPr>
                  <w:tcW w:w="1733" w:type="dxa"/>
                  <w:noWrap w:val="0"/>
                  <w:vAlign w:val="center"/>
                </w:tcPr>
                <w:p w14:paraId="0A2043F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28.81</w:t>
                  </w:r>
                </w:p>
              </w:tc>
            </w:tr>
            <w:tr w14:paraId="4AABCB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177512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53</w:t>
                  </w:r>
                </w:p>
              </w:tc>
              <w:tc>
                <w:tcPr>
                  <w:tcW w:w="1828" w:type="dxa"/>
                  <w:vMerge w:val="continue"/>
                  <w:noWrap w:val="0"/>
                  <w:vAlign w:val="center"/>
                </w:tcPr>
                <w:p w14:paraId="1465BB0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A27617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-373.10</w:t>
                  </w:r>
                </w:p>
              </w:tc>
              <w:tc>
                <w:tcPr>
                  <w:tcW w:w="1792" w:type="dxa"/>
                  <w:noWrap w:val="0"/>
                  <w:vAlign w:val="center"/>
                </w:tcPr>
                <w:p w14:paraId="63F92D0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386.68</w:t>
                  </w:r>
                </w:p>
              </w:tc>
              <w:tc>
                <w:tcPr>
                  <w:tcW w:w="1733" w:type="dxa"/>
                  <w:noWrap w:val="0"/>
                  <w:vAlign w:val="center"/>
                </w:tcPr>
                <w:p w14:paraId="35DAA8C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29.45</w:t>
                  </w:r>
                </w:p>
              </w:tc>
            </w:tr>
            <w:tr w14:paraId="51036E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4A5CB5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54</w:t>
                  </w:r>
                </w:p>
              </w:tc>
              <w:tc>
                <w:tcPr>
                  <w:tcW w:w="1828" w:type="dxa"/>
                  <w:vMerge w:val="continue"/>
                  <w:noWrap w:val="0"/>
                  <w:vAlign w:val="center"/>
                </w:tcPr>
                <w:p w14:paraId="265BC09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6957B9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-363.18</w:t>
                  </w:r>
                </w:p>
              </w:tc>
              <w:tc>
                <w:tcPr>
                  <w:tcW w:w="1792" w:type="dxa"/>
                  <w:noWrap w:val="0"/>
                  <w:vAlign w:val="center"/>
                </w:tcPr>
                <w:p w14:paraId="2D7FA82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385.39</w:t>
                  </w:r>
                </w:p>
              </w:tc>
              <w:tc>
                <w:tcPr>
                  <w:tcW w:w="1733" w:type="dxa"/>
                  <w:noWrap w:val="0"/>
                  <w:vAlign w:val="center"/>
                </w:tcPr>
                <w:p w14:paraId="17C53C3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30.14</w:t>
                  </w:r>
                </w:p>
              </w:tc>
            </w:tr>
            <w:tr w14:paraId="733AA7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3EED436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55</w:t>
                  </w:r>
                </w:p>
              </w:tc>
              <w:tc>
                <w:tcPr>
                  <w:tcW w:w="1828" w:type="dxa"/>
                  <w:vMerge w:val="continue"/>
                  <w:noWrap w:val="0"/>
                  <w:vAlign w:val="center"/>
                </w:tcPr>
                <w:p w14:paraId="2898E4B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D64F69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-353.26</w:t>
                  </w:r>
                </w:p>
              </w:tc>
              <w:tc>
                <w:tcPr>
                  <w:tcW w:w="1792" w:type="dxa"/>
                  <w:noWrap w:val="0"/>
                  <w:vAlign w:val="center"/>
                </w:tcPr>
                <w:p w14:paraId="5129365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384.09</w:t>
                  </w:r>
                </w:p>
              </w:tc>
              <w:tc>
                <w:tcPr>
                  <w:tcW w:w="1733" w:type="dxa"/>
                  <w:noWrap w:val="0"/>
                  <w:vAlign w:val="center"/>
                </w:tcPr>
                <w:p w14:paraId="67FC5DD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30.91</w:t>
                  </w:r>
                </w:p>
              </w:tc>
            </w:tr>
            <w:tr w14:paraId="72F271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19" w:hRule="atLeast"/>
                <w:jc w:val="center"/>
              </w:trPr>
              <w:tc>
                <w:tcPr>
                  <w:tcW w:w="752" w:type="dxa"/>
                  <w:noWrap w:val="0"/>
                  <w:vAlign w:val="center"/>
                </w:tcPr>
                <w:p w14:paraId="0E615F4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56</w:t>
                  </w:r>
                </w:p>
              </w:tc>
              <w:tc>
                <w:tcPr>
                  <w:tcW w:w="1828" w:type="dxa"/>
                  <w:vMerge w:val="continue"/>
                  <w:noWrap w:val="0"/>
                  <w:vAlign w:val="center"/>
                </w:tcPr>
                <w:p w14:paraId="6F6BD27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73A4325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-350.24</w:t>
                  </w:r>
                </w:p>
              </w:tc>
              <w:tc>
                <w:tcPr>
                  <w:tcW w:w="1792" w:type="dxa"/>
                  <w:noWrap w:val="0"/>
                  <w:vAlign w:val="center"/>
                </w:tcPr>
                <w:p w14:paraId="5A8FF2C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383.70</w:t>
                  </w:r>
                </w:p>
              </w:tc>
              <w:tc>
                <w:tcPr>
                  <w:tcW w:w="1733" w:type="dxa"/>
                  <w:noWrap w:val="0"/>
                  <w:vAlign w:val="center"/>
                </w:tcPr>
                <w:p w14:paraId="1492DBD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31.17</w:t>
                  </w:r>
                </w:p>
              </w:tc>
            </w:tr>
            <w:tr w14:paraId="6A0360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06A1234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57</w:t>
                  </w:r>
                </w:p>
              </w:tc>
              <w:tc>
                <w:tcPr>
                  <w:tcW w:w="1828" w:type="dxa"/>
                  <w:vMerge w:val="continue"/>
                  <w:noWrap w:val="0"/>
                  <w:vAlign w:val="center"/>
                </w:tcPr>
                <w:p w14:paraId="12623F1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309A58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-341.14</w:t>
                  </w:r>
                </w:p>
              </w:tc>
              <w:tc>
                <w:tcPr>
                  <w:tcW w:w="1792" w:type="dxa"/>
                  <w:noWrap w:val="0"/>
                  <w:vAlign w:val="center"/>
                </w:tcPr>
                <w:p w14:paraId="223FEFF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379.56</w:t>
                  </w:r>
                </w:p>
              </w:tc>
              <w:tc>
                <w:tcPr>
                  <w:tcW w:w="1733" w:type="dxa"/>
                  <w:noWrap w:val="0"/>
                  <w:vAlign w:val="center"/>
                </w:tcPr>
                <w:p w14:paraId="70BDD8B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31.96</w:t>
                  </w:r>
                </w:p>
              </w:tc>
            </w:tr>
            <w:tr w14:paraId="11E91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FD2082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58</w:t>
                  </w:r>
                </w:p>
              </w:tc>
              <w:tc>
                <w:tcPr>
                  <w:tcW w:w="1828" w:type="dxa"/>
                  <w:vMerge w:val="continue"/>
                  <w:noWrap w:val="0"/>
                  <w:vAlign w:val="center"/>
                </w:tcPr>
                <w:p w14:paraId="19A1129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5B162F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-332.03</w:t>
                  </w:r>
                </w:p>
              </w:tc>
              <w:tc>
                <w:tcPr>
                  <w:tcW w:w="1792" w:type="dxa"/>
                  <w:noWrap w:val="0"/>
                  <w:vAlign w:val="center"/>
                </w:tcPr>
                <w:p w14:paraId="17D8F7F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375.42</w:t>
                  </w:r>
                </w:p>
              </w:tc>
              <w:tc>
                <w:tcPr>
                  <w:tcW w:w="1733" w:type="dxa"/>
                  <w:noWrap w:val="0"/>
                  <w:vAlign w:val="center"/>
                </w:tcPr>
                <w:p w14:paraId="09E033B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32.93</w:t>
                  </w:r>
                </w:p>
              </w:tc>
            </w:tr>
            <w:tr w14:paraId="7377BE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44BB3A0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59</w:t>
                  </w:r>
                </w:p>
              </w:tc>
              <w:tc>
                <w:tcPr>
                  <w:tcW w:w="1828" w:type="dxa"/>
                  <w:vMerge w:val="continue"/>
                  <w:noWrap w:val="0"/>
                  <w:vAlign w:val="center"/>
                </w:tcPr>
                <w:p w14:paraId="36EBFCD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59BA18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-322.93</w:t>
                  </w:r>
                </w:p>
              </w:tc>
              <w:tc>
                <w:tcPr>
                  <w:tcW w:w="1792" w:type="dxa"/>
                  <w:noWrap w:val="0"/>
                  <w:vAlign w:val="center"/>
                </w:tcPr>
                <w:p w14:paraId="41091A4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371.28</w:t>
                  </w:r>
                </w:p>
              </w:tc>
              <w:tc>
                <w:tcPr>
                  <w:tcW w:w="1733" w:type="dxa"/>
                  <w:noWrap w:val="0"/>
                  <w:vAlign w:val="center"/>
                </w:tcPr>
                <w:p w14:paraId="00D6F6D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33.71</w:t>
                  </w:r>
                </w:p>
              </w:tc>
            </w:tr>
            <w:tr w14:paraId="71C3AE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3BEF878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60</w:t>
                  </w:r>
                </w:p>
              </w:tc>
              <w:tc>
                <w:tcPr>
                  <w:tcW w:w="1828" w:type="dxa"/>
                  <w:vMerge w:val="continue"/>
                  <w:noWrap w:val="0"/>
                  <w:vAlign w:val="center"/>
                </w:tcPr>
                <w:p w14:paraId="0E5F8C5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7B521F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-313.83</w:t>
                  </w:r>
                </w:p>
              </w:tc>
              <w:tc>
                <w:tcPr>
                  <w:tcW w:w="1792" w:type="dxa"/>
                  <w:noWrap w:val="0"/>
                  <w:vAlign w:val="center"/>
                </w:tcPr>
                <w:p w14:paraId="6A9CB0A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367.14</w:t>
                  </w:r>
                </w:p>
              </w:tc>
              <w:tc>
                <w:tcPr>
                  <w:tcW w:w="1733" w:type="dxa"/>
                  <w:noWrap w:val="0"/>
                  <w:vAlign w:val="center"/>
                </w:tcPr>
                <w:p w14:paraId="2F6C9E8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34.58</w:t>
                  </w:r>
                </w:p>
              </w:tc>
            </w:tr>
            <w:tr w14:paraId="4C1D1C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62C589E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61</w:t>
                  </w:r>
                </w:p>
              </w:tc>
              <w:tc>
                <w:tcPr>
                  <w:tcW w:w="1828" w:type="dxa"/>
                  <w:vMerge w:val="continue"/>
                  <w:noWrap w:val="0"/>
                  <w:vAlign w:val="center"/>
                </w:tcPr>
                <w:p w14:paraId="0AD5D18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09D255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-305.40</w:t>
                  </w:r>
                </w:p>
              </w:tc>
              <w:tc>
                <w:tcPr>
                  <w:tcW w:w="1792" w:type="dxa"/>
                  <w:noWrap w:val="0"/>
                  <w:vAlign w:val="center"/>
                </w:tcPr>
                <w:p w14:paraId="274D545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363.31</w:t>
                  </w:r>
                </w:p>
              </w:tc>
              <w:tc>
                <w:tcPr>
                  <w:tcW w:w="1733" w:type="dxa"/>
                  <w:noWrap w:val="0"/>
                  <w:vAlign w:val="center"/>
                </w:tcPr>
                <w:p w14:paraId="57BC2E8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36.16</w:t>
                  </w:r>
                </w:p>
              </w:tc>
            </w:tr>
            <w:tr w14:paraId="336F55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790A42F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62</w:t>
                  </w:r>
                </w:p>
              </w:tc>
              <w:tc>
                <w:tcPr>
                  <w:tcW w:w="1828" w:type="dxa"/>
                  <w:vMerge w:val="continue"/>
                  <w:noWrap w:val="0"/>
                  <w:vAlign w:val="center"/>
                </w:tcPr>
                <w:p w14:paraId="0B0E3D6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5BC171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-298.58</w:t>
                  </w:r>
                </w:p>
              </w:tc>
              <w:tc>
                <w:tcPr>
                  <w:tcW w:w="1792" w:type="dxa"/>
                  <w:noWrap w:val="0"/>
                  <w:vAlign w:val="center"/>
                </w:tcPr>
                <w:p w14:paraId="093B799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356.00</w:t>
                  </w:r>
                </w:p>
              </w:tc>
              <w:tc>
                <w:tcPr>
                  <w:tcW w:w="1733" w:type="dxa"/>
                  <w:noWrap w:val="0"/>
                  <w:vAlign w:val="center"/>
                </w:tcPr>
                <w:p w14:paraId="1793497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36.14</w:t>
                  </w:r>
                </w:p>
              </w:tc>
            </w:tr>
            <w:tr w14:paraId="569875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21F6769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63</w:t>
                  </w:r>
                </w:p>
              </w:tc>
              <w:tc>
                <w:tcPr>
                  <w:tcW w:w="1828" w:type="dxa"/>
                  <w:vMerge w:val="continue"/>
                  <w:noWrap w:val="0"/>
                  <w:vAlign w:val="center"/>
                </w:tcPr>
                <w:p w14:paraId="1776F16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0ADBE0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-291.75</w:t>
                  </w:r>
                </w:p>
              </w:tc>
              <w:tc>
                <w:tcPr>
                  <w:tcW w:w="1792" w:type="dxa"/>
                  <w:noWrap w:val="0"/>
                  <w:vAlign w:val="center"/>
                </w:tcPr>
                <w:p w14:paraId="51F9931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348.69</w:t>
                  </w:r>
                </w:p>
              </w:tc>
              <w:tc>
                <w:tcPr>
                  <w:tcW w:w="1733" w:type="dxa"/>
                  <w:noWrap w:val="0"/>
                  <w:vAlign w:val="center"/>
                </w:tcPr>
                <w:p w14:paraId="1DEEFA5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36.03</w:t>
                  </w:r>
                </w:p>
              </w:tc>
            </w:tr>
            <w:tr w14:paraId="436A68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1B927CA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64</w:t>
                  </w:r>
                </w:p>
              </w:tc>
              <w:tc>
                <w:tcPr>
                  <w:tcW w:w="1828" w:type="dxa"/>
                  <w:vMerge w:val="continue"/>
                  <w:noWrap w:val="0"/>
                  <w:vAlign w:val="center"/>
                </w:tcPr>
                <w:p w14:paraId="026F1AB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C269F1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-284.93</w:t>
                  </w:r>
                </w:p>
              </w:tc>
              <w:tc>
                <w:tcPr>
                  <w:tcW w:w="1792" w:type="dxa"/>
                  <w:noWrap w:val="0"/>
                  <w:vAlign w:val="center"/>
                </w:tcPr>
                <w:p w14:paraId="18E8B0D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341.38</w:t>
                  </w:r>
                </w:p>
              </w:tc>
              <w:tc>
                <w:tcPr>
                  <w:tcW w:w="1733" w:type="dxa"/>
                  <w:noWrap w:val="0"/>
                  <w:vAlign w:val="center"/>
                </w:tcPr>
                <w:p w14:paraId="113C091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35.83</w:t>
                  </w:r>
                </w:p>
              </w:tc>
            </w:tr>
            <w:tr w14:paraId="4E537C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21E7EF3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65</w:t>
                  </w:r>
                </w:p>
              </w:tc>
              <w:tc>
                <w:tcPr>
                  <w:tcW w:w="1828" w:type="dxa"/>
                  <w:vMerge w:val="continue"/>
                  <w:noWrap w:val="0"/>
                  <w:vAlign w:val="center"/>
                </w:tcPr>
                <w:p w14:paraId="76E51BA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140A99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-278.11</w:t>
                  </w:r>
                </w:p>
              </w:tc>
              <w:tc>
                <w:tcPr>
                  <w:tcW w:w="1792" w:type="dxa"/>
                  <w:noWrap w:val="0"/>
                  <w:vAlign w:val="center"/>
                </w:tcPr>
                <w:p w14:paraId="3AD0A62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334.07</w:t>
                  </w:r>
                </w:p>
              </w:tc>
              <w:tc>
                <w:tcPr>
                  <w:tcW w:w="1733" w:type="dxa"/>
                  <w:noWrap w:val="0"/>
                  <w:vAlign w:val="center"/>
                </w:tcPr>
                <w:p w14:paraId="1E676C2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35.52</w:t>
                  </w:r>
                </w:p>
              </w:tc>
            </w:tr>
            <w:tr w14:paraId="0C253E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752" w:type="dxa"/>
                  <w:noWrap w:val="0"/>
                  <w:vAlign w:val="center"/>
                </w:tcPr>
                <w:p w14:paraId="366E0F9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66</w:t>
                  </w:r>
                </w:p>
              </w:tc>
              <w:tc>
                <w:tcPr>
                  <w:tcW w:w="1828" w:type="dxa"/>
                  <w:vMerge w:val="continue"/>
                  <w:noWrap w:val="0"/>
                  <w:vAlign w:val="center"/>
                </w:tcPr>
                <w:p w14:paraId="599EB58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D9F283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-271.28</w:t>
                  </w:r>
                </w:p>
              </w:tc>
              <w:tc>
                <w:tcPr>
                  <w:tcW w:w="1792" w:type="dxa"/>
                  <w:noWrap w:val="0"/>
                  <w:vAlign w:val="center"/>
                </w:tcPr>
                <w:p w14:paraId="261EB98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326.76</w:t>
                  </w:r>
                </w:p>
              </w:tc>
              <w:tc>
                <w:tcPr>
                  <w:tcW w:w="1733" w:type="dxa"/>
                  <w:noWrap w:val="0"/>
                  <w:vAlign w:val="center"/>
                </w:tcPr>
                <w:p w14:paraId="63E01DD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35.13</w:t>
                  </w:r>
                  <w:bookmarkEnd w:id="40"/>
                  <w:bookmarkEnd w:id="41"/>
                </w:p>
              </w:tc>
            </w:tr>
            <w:tr w14:paraId="00D260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1B8ED61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w:t>
                  </w:r>
                </w:p>
              </w:tc>
              <w:tc>
                <w:tcPr>
                  <w:tcW w:w="1828" w:type="dxa"/>
                  <w:vMerge w:val="restart"/>
                  <w:noWrap w:val="0"/>
                  <w:vAlign w:val="center"/>
                </w:tcPr>
                <w:p w14:paraId="4E4A9BF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南厂界</w:t>
                  </w:r>
                </w:p>
              </w:tc>
              <w:tc>
                <w:tcPr>
                  <w:tcW w:w="1692" w:type="dxa"/>
                  <w:noWrap w:val="0"/>
                  <w:vAlign w:val="center"/>
                </w:tcPr>
                <w:p w14:paraId="053972E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0.38</w:t>
                  </w:r>
                </w:p>
              </w:tc>
              <w:tc>
                <w:tcPr>
                  <w:tcW w:w="1792" w:type="dxa"/>
                  <w:noWrap w:val="0"/>
                  <w:vAlign w:val="center"/>
                </w:tcPr>
                <w:p w14:paraId="1112A43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-15.85</w:t>
                  </w:r>
                </w:p>
              </w:tc>
              <w:tc>
                <w:tcPr>
                  <w:tcW w:w="1733" w:type="dxa"/>
                  <w:noWrap w:val="0"/>
                  <w:vAlign w:val="center"/>
                </w:tcPr>
                <w:p w14:paraId="445B762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20.32</w:t>
                  </w:r>
                </w:p>
              </w:tc>
            </w:tr>
            <w:tr w14:paraId="2017D5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051943B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w:t>
                  </w:r>
                </w:p>
              </w:tc>
              <w:tc>
                <w:tcPr>
                  <w:tcW w:w="1828" w:type="dxa"/>
                  <w:vMerge w:val="continue"/>
                  <w:noWrap w:val="0"/>
                  <w:vAlign w:val="center"/>
                </w:tcPr>
                <w:p w14:paraId="742DF33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D251ED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9.94</w:t>
                  </w:r>
                </w:p>
              </w:tc>
              <w:tc>
                <w:tcPr>
                  <w:tcW w:w="1792" w:type="dxa"/>
                  <w:noWrap w:val="0"/>
                  <w:vAlign w:val="center"/>
                </w:tcPr>
                <w:p w14:paraId="070BDCE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-12.93</w:t>
                  </w:r>
                </w:p>
              </w:tc>
              <w:tc>
                <w:tcPr>
                  <w:tcW w:w="1733" w:type="dxa"/>
                  <w:noWrap w:val="0"/>
                  <w:vAlign w:val="center"/>
                </w:tcPr>
                <w:p w14:paraId="7251B78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20.32</w:t>
                  </w:r>
                </w:p>
              </w:tc>
            </w:tr>
            <w:tr w14:paraId="7722A0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16184D3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w:t>
                  </w:r>
                </w:p>
              </w:tc>
              <w:tc>
                <w:tcPr>
                  <w:tcW w:w="1828" w:type="dxa"/>
                  <w:vMerge w:val="continue"/>
                  <w:noWrap w:val="0"/>
                  <w:vAlign w:val="center"/>
                </w:tcPr>
                <w:p w14:paraId="4FA66AB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0AE8E4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19.51</w:t>
                  </w:r>
                </w:p>
              </w:tc>
              <w:tc>
                <w:tcPr>
                  <w:tcW w:w="1792" w:type="dxa"/>
                  <w:noWrap w:val="0"/>
                  <w:vAlign w:val="center"/>
                </w:tcPr>
                <w:p w14:paraId="7BBD33A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-10.01</w:t>
                  </w:r>
                </w:p>
              </w:tc>
              <w:tc>
                <w:tcPr>
                  <w:tcW w:w="1733" w:type="dxa"/>
                  <w:noWrap w:val="0"/>
                  <w:vAlign w:val="center"/>
                </w:tcPr>
                <w:p w14:paraId="540728B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20.30</w:t>
                  </w:r>
                </w:p>
              </w:tc>
            </w:tr>
            <w:tr w14:paraId="6363F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261EC8D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w:t>
                  </w:r>
                </w:p>
              </w:tc>
              <w:tc>
                <w:tcPr>
                  <w:tcW w:w="1828" w:type="dxa"/>
                  <w:vMerge w:val="continue"/>
                  <w:noWrap w:val="0"/>
                  <w:vAlign w:val="center"/>
                </w:tcPr>
                <w:p w14:paraId="7B4A287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C58059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29.07</w:t>
                  </w:r>
                </w:p>
              </w:tc>
              <w:tc>
                <w:tcPr>
                  <w:tcW w:w="1792" w:type="dxa"/>
                  <w:noWrap w:val="0"/>
                  <w:vAlign w:val="center"/>
                </w:tcPr>
                <w:p w14:paraId="1B7693C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-7.09</w:t>
                  </w:r>
                </w:p>
              </w:tc>
              <w:tc>
                <w:tcPr>
                  <w:tcW w:w="1733" w:type="dxa"/>
                  <w:noWrap w:val="0"/>
                  <w:vAlign w:val="center"/>
                </w:tcPr>
                <w:p w14:paraId="62A6BD2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20.48</w:t>
                  </w:r>
                </w:p>
              </w:tc>
            </w:tr>
            <w:tr w14:paraId="1EDBA0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73D0D99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w:t>
                  </w:r>
                </w:p>
              </w:tc>
              <w:tc>
                <w:tcPr>
                  <w:tcW w:w="1828" w:type="dxa"/>
                  <w:vMerge w:val="continue"/>
                  <w:noWrap w:val="0"/>
                  <w:vAlign w:val="center"/>
                </w:tcPr>
                <w:p w14:paraId="7E44136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D8E028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38.64</w:t>
                  </w:r>
                </w:p>
              </w:tc>
              <w:tc>
                <w:tcPr>
                  <w:tcW w:w="1792" w:type="dxa"/>
                  <w:noWrap w:val="0"/>
                  <w:vAlign w:val="center"/>
                </w:tcPr>
                <w:p w14:paraId="36C23F2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-4.17</w:t>
                  </w:r>
                </w:p>
              </w:tc>
              <w:tc>
                <w:tcPr>
                  <w:tcW w:w="1733" w:type="dxa"/>
                  <w:noWrap w:val="0"/>
                  <w:vAlign w:val="center"/>
                </w:tcPr>
                <w:p w14:paraId="2CD5A8C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20.43</w:t>
                  </w:r>
                </w:p>
              </w:tc>
            </w:tr>
            <w:tr w14:paraId="76EA88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6A54B8F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6</w:t>
                  </w:r>
                </w:p>
              </w:tc>
              <w:tc>
                <w:tcPr>
                  <w:tcW w:w="1828" w:type="dxa"/>
                  <w:vMerge w:val="continue"/>
                  <w:noWrap w:val="0"/>
                  <w:vAlign w:val="center"/>
                </w:tcPr>
                <w:p w14:paraId="1BC1983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494E06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48.20</w:t>
                  </w:r>
                </w:p>
              </w:tc>
              <w:tc>
                <w:tcPr>
                  <w:tcW w:w="1792" w:type="dxa"/>
                  <w:noWrap w:val="0"/>
                  <w:vAlign w:val="center"/>
                </w:tcPr>
                <w:p w14:paraId="595BF3C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-1.25</w:t>
                  </w:r>
                </w:p>
              </w:tc>
              <w:tc>
                <w:tcPr>
                  <w:tcW w:w="1733" w:type="dxa"/>
                  <w:noWrap w:val="0"/>
                  <w:vAlign w:val="center"/>
                </w:tcPr>
                <w:p w14:paraId="42EC19B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20.17</w:t>
                  </w:r>
                </w:p>
              </w:tc>
            </w:tr>
            <w:tr w14:paraId="045415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7683DA1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7</w:t>
                  </w:r>
                </w:p>
              </w:tc>
              <w:tc>
                <w:tcPr>
                  <w:tcW w:w="1828" w:type="dxa"/>
                  <w:vMerge w:val="continue"/>
                  <w:noWrap w:val="0"/>
                  <w:vAlign w:val="center"/>
                </w:tcPr>
                <w:p w14:paraId="5B42FC6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F7FBD1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57.76</w:t>
                  </w:r>
                </w:p>
              </w:tc>
              <w:tc>
                <w:tcPr>
                  <w:tcW w:w="1792" w:type="dxa"/>
                  <w:noWrap w:val="0"/>
                  <w:vAlign w:val="center"/>
                </w:tcPr>
                <w:p w14:paraId="479AC6D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1.67</w:t>
                  </w:r>
                </w:p>
              </w:tc>
              <w:tc>
                <w:tcPr>
                  <w:tcW w:w="1733" w:type="dxa"/>
                  <w:noWrap w:val="0"/>
                  <w:vAlign w:val="center"/>
                </w:tcPr>
                <w:p w14:paraId="6D18458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20.10</w:t>
                  </w:r>
                </w:p>
              </w:tc>
            </w:tr>
            <w:tr w14:paraId="3ACF79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4DBD124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8</w:t>
                  </w:r>
                </w:p>
              </w:tc>
              <w:tc>
                <w:tcPr>
                  <w:tcW w:w="1828" w:type="dxa"/>
                  <w:vMerge w:val="continue"/>
                  <w:noWrap w:val="0"/>
                  <w:vAlign w:val="center"/>
                </w:tcPr>
                <w:p w14:paraId="490C324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4AB9EE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67.33</w:t>
                  </w:r>
                </w:p>
              </w:tc>
              <w:tc>
                <w:tcPr>
                  <w:tcW w:w="1792" w:type="dxa"/>
                  <w:noWrap w:val="0"/>
                  <w:vAlign w:val="center"/>
                </w:tcPr>
                <w:p w14:paraId="100A06B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4.60</w:t>
                  </w:r>
                </w:p>
              </w:tc>
              <w:tc>
                <w:tcPr>
                  <w:tcW w:w="1733" w:type="dxa"/>
                  <w:noWrap w:val="0"/>
                  <w:vAlign w:val="center"/>
                </w:tcPr>
                <w:p w14:paraId="173B12F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20.01</w:t>
                  </w:r>
                </w:p>
              </w:tc>
            </w:tr>
            <w:tr w14:paraId="4C698C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137C3DA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9</w:t>
                  </w:r>
                </w:p>
              </w:tc>
              <w:tc>
                <w:tcPr>
                  <w:tcW w:w="1828" w:type="dxa"/>
                  <w:vMerge w:val="continue"/>
                  <w:noWrap w:val="0"/>
                  <w:vAlign w:val="center"/>
                </w:tcPr>
                <w:p w14:paraId="564DBE5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349FE0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76.89</w:t>
                  </w:r>
                </w:p>
              </w:tc>
              <w:tc>
                <w:tcPr>
                  <w:tcW w:w="1792" w:type="dxa"/>
                  <w:noWrap w:val="0"/>
                  <w:vAlign w:val="center"/>
                </w:tcPr>
                <w:p w14:paraId="77AA6F9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7.52</w:t>
                  </w:r>
                </w:p>
              </w:tc>
              <w:tc>
                <w:tcPr>
                  <w:tcW w:w="1733" w:type="dxa"/>
                  <w:noWrap w:val="0"/>
                  <w:vAlign w:val="center"/>
                </w:tcPr>
                <w:p w14:paraId="18468DD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19.92</w:t>
                  </w:r>
                </w:p>
              </w:tc>
            </w:tr>
            <w:tr w14:paraId="76D723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629E7E8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10</w:t>
                  </w:r>
                </w:p>
              </w:tc>
              <w:tc>
                <w:tcPr>
                  <w:tcW w:w="1828" w:type="dxa"/>
                  <w:vMerge w:val="continue"/>
                  <w:noWrap w:val="0"/>
                  <w:vAlign w:val="center"/>
                </w:tcPr>
                <w:p w14:paraId="1DF22EC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B0D0AA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86.46</w:t>
                  </w:r>
                </w:p>
              </w:tc>
              <w:tc>
                <w:tcPr>
                  <w:tcW w:w="1792" w:type="dxa"/>
                  <w:noWrap w:val="0"/>
                  <w:vAlign w:val="center"/>
                </w:tcPr>
                <w:p w14:paraId="0B3FA3E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10.44</w:t>
                  </w:r>
                </w:p>
              </w:tc>
              <w:tc>
                <w:tcPr>
                  <w:tcW w:w="1733" w:type="dxa"/>
                  <w:noWrap w:val="0"/>
                  <w:vAlign w:val="center"/>
                </w:tcPr>
                <w:p w14:paraId="3E3EADF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19.83</w:t>
                  </w:r>
                </w:p>
              </w:tc>
            </w:tr>
            <w:tr w14:paraId="53A2AB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51D58BE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11</w:t>
                  </w:r>
                </w:p>
              </w:tc>
              <w:tc>
                <w:tcPr>
                  <w:tcW w:w="1828" w:type="dxa"/>
                  <w:vMerge w:val="continue"/>
                  <w:noWrap w:val="0"/>
                  <w:vAlign w:val="center"/>
                </w:tcPr>
                <w:p w14:paraId="21CFBE5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CB61E2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96.02</w:t>
                  </w:r>
                </w:p>
              </w:tc>
              <w:tc>
                <w:tcPr>
                  <w:tcW w:w="1792" w:type="dxa"/>
                  <w:noWrap w:val="0"/>
                  <w:vAlign w:val="center"/>
                </w:tcPr>
                <w:p w14:paraId="2FBCC7A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13.36</w:t>
                  </w:r>
                </w:p>
              </w:tc>
              <w:tc>
                <w:tcPr>
                  <w:tcW w:w="1733" w:type="dxa"/>
                  <w:noWrap w:val="0"/>
                  <w:vAlign w:val="center"/>
                </w:tcPr>
                <w:p w14:paraId="1980F6E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19.73</w:t>
                  </w:r>
                </w:p>
              </w:tc>
            </w:tr>
            <w:tr w14:paraId="2CFDC1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3EE954A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12</w:t>
                  </w:r>
                </w:p>
              </w:tc>
              <w:tc>
                <w:tcPr>
                  <w:tcW w:w="1828" w:type="dxa"/>
                  <w:vMerge w:val="continue"/>
                  <w:noWrap w:val="0"/>
                  <w:vAlign w:val="center"/>
                </w:tcPr>
                <w:p w14:paraId="5F91DD9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FB7D64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105.58</w:t>
                  </w:r>
                </w:p>
              </w:tc>
              <w:tc>
                <w:tcPr>
                  <w:tcW w:w="1792" w:type="dxa"/>
                  <w:noWrap w:val="0"/>
                  <w:vAlign w:val="center"/>
                </w:tcPr>
                <w:p w14:paraId="3D6C0AD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16.28</w:t>
                  </w:r>
                </w:p>
              </w:tc>
              <w:tc>
                <w:tcPr>
                  <w:tcW w:w="1733" w:type="dxa"/>
                  <w:noWrap w:val="0"/>
                  <w:vAlign w:val="center"/>
                </w:tcPr>
                <w:p w14:paraId="27958D5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19.64</w:t>
                  </w:r>
                </w:p>
              </w:tc>
            </w:tr>
            <w:tr w14:paraId="1988F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274B6A0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13</w:t>
                  </w:r>
                </w:p>
              </w:tc>
              <w:tc>
                <w:tcPr>
                  <w:tcW w:w="1828" w:type="dxa"/>
                  <w:vMerge w:val="continue"/>
                  <w:noWrap w:val="0"/>
                  <w:vAlign w:val="center"/>
                </w:tcPr>
                <w:p w14:paraId="61146EB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E0C70E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115.15</w:t>
                  </w:r>
                </w:p>
              </w:tc>
              <w:tc>
                <w:tcPr>
                  <w:tcW w:w="1792" w:type="dxa"/>
                  <w:noWrap w:val="0"/>
                  <w:vAlign w:val="center"/>
                </w:tcPr>
                <w:p w14:paraId="2AE5DC4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19.20</w:t>
                  </w:r>
                </w:p>
              </w:tc>
              <w:tc>
                <w:tcPr>
                  <w:tcW w:w="1733" w:type="dxa"/>
                  <w:noWrap w:val="0"/>
                  <w:vAlign w:val="center"/>
                </w:tcPr>
                <w:p w14:paraId="5A197F8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19.55</w:t>
                  </w:r>
                </w:p>
              </w:tc>
            </w:tr>
            <w:tr w14:paraId="767B77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1121721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14</w:t>
                  </w:r>
                </w:p>
              </w:tc>
              <w:tc>
                <w:tcPr>
                  <w:tcW w:w="1828" w:type="dxa"/>
                  <w:vMerge w:val="continue"/>
                  <w:noWrap w:val="0"/>
                  <w:vAlign w:val="center"/>
                </w:tcPr>
                <w:p w14:paraId="633CEF9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4FB8CB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124.71</w:t>
                  </w:r>
                </w:p>
              </w:tc>
              <w:tc>
                <w:tcPr>
                  <w:tcW w:w="1792" w:type="dxa"/>
                  <w:noWrap w:val="0"/>
                  <w:vAlign w:val="center"/>
                </w:tcPr>
                <w:p w14:paraId="0B026C8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22.12</w:t>
                  </w:r>
                </w:p>
              </w:tc>
              <w:tc>
                <w:tcPr>
                  <w:tcW w:w="1733" w:type="dxa"/>
                  <w:noWrap w:val="0"/>
                  <w:vAlign w:val="center"/>
                </w:tcPr>
                <w:p w14:paraId="409A929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19.17</w:t>
                  </w:r>
                </w:p>
              </w:tc>
            </w:tr>
            <w:tr w14:paraId="747640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752" w:type="dxa"/>
                  <w:noWrap w:val="0"/>
                  <w:vAlign w:val="center"/>
                </w:tcPr>
                <w:p w14:paraId="78A9EDB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15</w:t>
                  </w:r>
                </w:p>
              </w:tc>
              <w:tc>
                <w:tcPr>
                  <w:tcW w:w="1828" w:type="dxa"/>
                  <w:vMerge w:val="continue"/>
                  <w:noWrap w:val="0"/>
                  <w:vAlign w:val="center"/>
                </w:tcPr>
                <w:p w14:paraId="6631FF9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4EE531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134.28</w:t>
                  </w:r>
                </w:p>
              </w:tc>
              <w:tc>
                <w:tcPr>
                  <w:tcW w:w="1792" w:type="dxa"/>
                  <w:noWrap w:val="0"/>
                  <w:vAlign w:val="center"/>
                </w:tcPr>
                <w:p w14:paraId="5E3242D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25.04</w:t>
                  </w:r>
                </w:p>
              </w:tc>
              <w:tc>
                <w:tcPr>
                  <w:tcW w:w="1733" w:type="dxa"/>
                  <w:noWrap w:val="0"/>
                  <w:vAlign w:val="center"/>
                </w:tcPr>
                <w:p w14:paraId="2B36F1E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19.08</w:t>
                  </w:r>
                </w:p>
              </w:tc>
            </w:tr>
            <w:tr w14:paraId="4E8F3F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5F40C2C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16</w:t>
                  </w:r>
                </w:p>
              </w:tc>
              <w:tc>
                <w:tcPr>
                  <w:tcW w:w="1828" w:type="dxa"/>
                  <w:vMerge w:val="continue"/>
                  <w:noWrap w:val="0"/>
                  <w:vAlign w:val="center"/>
                </w:tcPr>
                <w:p w14:paraId="5CC1116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C456A0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143.84</w:t>
                  </w:r>
                </w:p>
              </w:tc>
              <w:tc>
                <w:tcPr>
                  <w:tcW w:w="1792" w:type="dxa"/>
                  <w:noWrap w:val="0"/>
                  <w:vAlign w:val="center"/>
                </w:tcPr>
                <w:p w14:paraId="3FDEC19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27.96</w:t>
                  </w:r>
                </w:p>
              </w:tc>
              <w:tc>
                <w:tcPr>
                  <w:tcW w:w="1733" w:type="dxa"/>
                  <w:noWrap w:val="0"/>
                  <w:vAlign w:val="center"/>
                </w:tcPr>
                <w:p w14:paraId="5E7CEDD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18.98</w:t>
                  </w:r>
                </w:p>
              </w:tc>
            </w:tr>
            <w:tr w14:paraId="7C8133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73EBD55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17</w:t>
                  </w:r>
                </w:p>
              </w:tc>
              <w:tc>
                <w:tcPr>
                  <w:tcW w:w="1828" w:type="dxa"/>
                  <w:vMerge w:val="continue"/>
                  <w:noWrap w:val="0"/>
                  <w:vAlign w:val="center"/>
                </w:tcPr>
                <w:p w14:paraId="7E2D230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976FAA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153.40</w:t>
                  </w:r>
                </w:p>
              </w:tc>
              <w:tc>
                <w:tcPr>
                  <w:tcW w:w="1792" w:type="dxa"/>
                  <w:noWrap w:val="0"/>
                  <w:vAlign w:val="center"/>
                </w:tcPr>
                <w:p w14:paraId="6ED23EF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30.88</w:t>
                  </w:r>
                </w:p>
              </w:tc>
              <w:tc>
                <w:tcPr>
                  <w:tcW w:w="1733" w:type="dxa"/>
                  <w:noWrap w:val="0"/>
                  <w:vAlign w:val="center"/>
                </w:tcPr>
                <w:p w14:paraId="2DFCE1B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18.87</w:t>
                  </w:r>
                </w:p>
              </w:tc>
            </w:tr>
            <w:tr w14:paraId="3F26A3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79" w:hRule="atLeast"/>
                <w:jc w:val="center"/>
              </w:trPr>
              <w:tc>
                <w:tcPr>
                  <w:tcW w:w="752" w:type="dxa"/>
                  <w:noWrap w:val="0"/>
                  <w:vAlign w:val="center"/>
                </w:tcPr>
                <w:p w14:paraId="7F15E72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18</w:t>
                  </w:r>
                </w:p>
              </w:tc>
              <w:tc>
                <w:tcPr>
                  <w:tcW w:w="1828" w:type="dxa"/>
                  <w:vMerge w:val="continue"/>
                  <w:noWrap w:val="0"/>
                  <w:vAlign w:val="center"/>
                </w:tcPr>
                <w:p w14:paraId="108BB4C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28C8C9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162.97</w:t>
                  </w:r>
                </w:p>
              </w:tc>
              <w:tc>
                <w:tcPr>
                  <w:tcW w:w="1792" w:type="dxa"/>
                  <w:noWrap w:val="0"/>
                  <w:vAlign w:val="center"/>
                </w:tcPr>
                <w:p w14:paraId="611C4F6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33.80</w:t>
                  </w:r>
                </w:p>
              </w:tc>
              <w:tc>
                <w:tcPr>
                  <w:tcW w:w="1733" w:type="dxa"/>
                  <w:noWrap w:val="0"/>
                  <w:vAlign w:val="center"/>
                </w:tcPr>
                <w:p w14:paraId="6544261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18.74</w:t>
                  </w:r>
                </w:p>
              </w:tc>
            </w:tr>
            <w:tr w14:paraId="5267D5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626E0ED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19</w:t>
                  </w:r>
                </w:p>
              </w:tc>
              <w:tc>
                <w:tcPr>
                  <w:tcW w:w="1828" w:type="dxa"/>
                  <w:vMerge w:val="continue"/>
                  <w:noWrap w:val="0"/>
                  <w:vAlign w:val="center"/>
                </w:tcPr>
                <w:p w14:paraId="495B90F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765FC0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172.53</w:t>
                  </w:r>
                </w:p>
              </w:tc>
              <w:tc>
                <w:tcPr>
                  <w:tcW w:w="1792" w:type="dxa"/>
                  <w:noWrap w:val="0"/>
                  <w:vAlign w:val="center"/>
                </w:tcPr>
                <w:p w14:paraId="61BABEC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36.72</w:t>
                  </w:r>
                </w:p>
              </w:tc>
              <w:tc>
                <w:tcPr>
                  <w:tcW w:w="1733" w:type="dxa"/>
                  <w:noWrap w:val="0"/>
                  <w:vAlign w:val="center"/>
                </w:tcPr>
                <w:p w14:paraId="5E98A64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18.48</w:t>
                  </w:r>
                </w:p>
              </w:tc>
            </w:tr>
            <w:tr w14:paraId="5AD67A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06A8FDD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20</w:t>
                  </w:r>
                </w:p>
              </w:tc>
              <w:tc>
                <w:tcPr>
                  <w:tcW w:w="1828" w:type="dxa"/>
                  <w:vMerge w:val="continue"/>
                  <w:noWrap w:val="0"/>
                  <w:vAlign w:val="center"/>
                </w:tcPr>
                <w:p w14:paraId="479D5A2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D75BED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182.09</w:t>
                  </w:r>
                </w:p>
              </w:tc>
              <w:tc>
                <w:tcPr>
                  <w:tcW w:w="1792" w:type="dxa"/>
                  <w:noWrap w:val="0"/>
                  <w:vAlign w:val="center"/>
                </w:tcPr>
                <w:p w14:paraId="48CF0AC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39.65</w:t>
                  </w:r>
                </w:p>
              </w:tc>
              <w:tc>
                <w:tcPr>
                  <w:tcW w:w="1733" w:type="dxa"/>
                  <w:noWrap w:val="0"/>
                  <w:vAlign w:val="center"/>
                </w:tcPr>
                <w:p w14:paraId="1C418A5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14.26</w:t>
                  </w:r>
                </w:p>
              </w:tc>
            </w:tr>
            <w:tr w14:paraId="609026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0E89BBF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21</w:t>
                  </w:r>
                </w:p>
              </w:tc>
              <w:tc>
                <w:tcPr>
                  <w:tcW w:w="1828" w:type="dxa"/>
                  <w:vMerge w:val="continue"/>
                  <w:noWrap w:val="0"/>
                  <w:vAlign w:val="center"/>
                </w:tcPr>
                <w:p w14:paraId="0785223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10EF68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191.66</w:t>
                  </w:r>
                </w:p>
              </w:tc>
              <w:tc>
                <w:tcPr>
                  <w:tcW w:w="1792" w:type="dxa"/>
                  <w:noWrap w:val="0"/>
                  <w:vAlign w:val="center"/>
                </w:tcPr>
                <w:p w14:paraId="29DFB12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42.57</w:t>
                  </w:r>
                </w:p>
              </w:tc>
              <w:tc>
                <w:tcPr>
                  <w:tcW w:w="1733" w:type="dxa"/>
                  <w:noWrap w:val="0"/>
                  <w:vAlign w:val="center"/>
                </w:tcPr>
                <w:p w14:paraId="748939D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7.21</w:t>
                  </w:r>
                </w:p>
              </w:tc>
            </w:tr>
            <w:tr w14:paraId="6480D5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160D9C3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22</w:t>
                  </w:r>
                </w:p>
              </w:tc>
              <w:tc>
                <w:tcPr>
                  <w:tcW w:w="1828" w:type="dxa"/>
                  <w:vMerge w:val="continue"/>
                  <w:noWrap w:val="0"/>
                  <w:vAlign w:val="center"/>
                </w:tcPr>
                <w:p w14:paraId="2FE1F0A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59179D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201.22</w:t>
                  </w:r>
                </w:p>
              </w:tc>
              <w:tc>
                <w:tcPr>
                  <w:tcW w:w="1792" w:type="dxa"/>
                  <w:noWrap w:val="0"/>
                  <w:vAlign w:val="center"/>
                </w:tcPr>
                <w:p w14:paraId="03764A8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45.49</w:t>
                  </w:r>
                </w:p>
              </w:tc>
              <w:tc>
                <w:tcPr>
                  <w:tcW w:w="1733" w:type="dxa"/>
                  <w:noWrap w:val="0"/>
                  <w:vAlign w:val="center"/>
                </w:tcPr>
                <w:p w14:paraId="0713CBB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5.63</w:t>
                  </w:r>
                </w:p>
              </w:tc>
            </w:tr>
            <w:tr w14:paraId="340EE1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04513FF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23</w:t>
                  </w:r>
                </w:p>
              </w:tc>
              <w:tc>
                <w:tcPr>
                  <w:tcW w:w="1828" w:type="dxa"/>
                  <w:vMerge w:val="continue"/>
                  <w:noWrap w:val="0"/>
                  <w:vAlign w:val="center"/>
                </w:tcPr>
                <w:p w14:paraId="5F2D388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028BF0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210.79</w:t>
                  </w:r>
                </w:p>
              </w:tc>
              <w:tc>
                <w:tcPr>
                  <w:tcW w:w="1792" w:type="dxa"/>
                  <w:noWrap w:val="0"/>
                  <w:vAlign w:val="center"/>
                </w:tcPr>
                <w:p w14:paraId="4A0020D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48.41</w:t>
                  </w:r>
                </w:p>
              </w:tc>
              <w:tc>
                <w:tcPr>
                  <w:tcW w:w="1733" w:type="dxa"/>
                  <w:noWrap w:val="0"/>
                  <w:vAlign w:val="center"/>
                </w:tcPr>
                <w:p w14:paraId="6C6E265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5.30</w:t>
                  </w:r>
                </w:p>
              </w:tc>
            </w:tr>
            <w:tr w14:paraId="32ECD7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7C2F5C9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24</w:t>
                  </w:r>
                </w:p>
              </w:tc>
              <w:tc>
                <w:tcPr>
                  <w:tcW w:w="1828" w:type="dxa"/>
                  <w:vMerge w:val="continue"/>
                  <w:noWrap w:val="0"/>
                  <w:vAlign w:val="center"/>
                </w:tcPr>
                <w:p w14:paraId="1D6FC61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28C29A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220.35</w:t>
                  </w:r>
                </w:p>
              </w:tc>
              <w:tc>
                <w:tcPr>
                  <w:tcW w:w="1792" w:type="dxa"/>
                  <w:noWrap w:val="0"/>
                  <w:vAlign w:val="center"/>
                </w:tcPr>
                <w:p w14:paraId="75B7043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51.33</w:t>
                  </w:r>
                </w:p>
              </w:tc>
              <w:tc>
                <w:tcPr>
                  <w:tcW w:w="1733" w:type="dxa"/>
                  <w:noWrap w:val="0"/>
                  <w:vAlign w:val="center"/>
                </w:tcPr>
                <w:p w14:paraId="055C5F3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5.19</w:t>
                  </w:r>
                </w:p>
              </w:tc>
            </w:tr>
            <w:tr w14:paraId="15E079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35A4B7C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bookmarkStart w:id="42" w:name="OLE_LINK213" w:colFirst="2" w:colLast="3"/>
                  <w:r>
                    <w:rPr>
                      <w:rFonts w:hint="default" w:ascii="Times New Roman" w:hAnsi="Times New Roman" w:eastAsia="宋体" w:cs="Times New Roman"/>
                      <w:snapToGrid w:val="0"/>
                      <w:color w:val="auto"/>
                      <w:kern w:val="0"/>
                      <w:sz w:val="21"/>
                      <w:szCs w:val="21"/>
                      <w:highlight w:val="none"/>
                      <w:lang w:val="en-US" w:eastAsia="zh-CN"/>
                    </w:rPr>
                    <w:t>1</w:t>
                  </w:r>
                </w:p>
              </w:tc>
              <w:tc>
                <w:tcPr>
                  <w:tcW w:w="1828" w:type="dxa"/>
                  <w:vMerge w:val="restart"/>
                  <w:noWrap w:val="0"/>
                  <w:vAlign w:val="center"/>
                </w:tcPr>
                <w:p w14:paraId="10BE506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北厂界</w:t>
                  </w:r>
                </w:p>
              </w:tc>
              <w:tc>
                <w:tcPr>
                  <w:tcW w:w="1692" w:type="dxa"/>
                  <w:noWrap w:val="0"/>
                  <w:vAlign w:val="center"/>
                </w:tcPr>
                <w:p w14:paraId="0E175A1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-291.81</w:t>
                  </w:r>
                </w:p>
              </w:tc>
              <w:tc>
                <w:tcPr>
                  <w:tcW w:w="1792" w:type="dxa"/>
                  <w:noWrap w:val="0"/>
                  <w:vAlign w:val="center"/>
                </w:tcPr>
                <w:p w14:paraId="0CFA36B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688.11</w:t>
                  </w:r>
                </w:p>
              </w:tc>
              <w:tc>
                <w:tcPr>
                  <w:tcW w:w="1733" w:type="dxa"/>
                  <w:noWrap w:val="0"/>
                  <w:vAlign w:val="center"/>
                </w:tcPr>
                <w:p w14:paraId="7176C59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12.18</w:t>
                  </w:r>
                </w:p>
              </w:tc>
            </w:tr>
            <w:tr w14:paraId="159B81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701157C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w:t>
                  </w:r>
                </w:p>
              </w:tc>
              <w:tc>
                <w:tcPr>
                  <w:tcW w:w="1828" w:type="dxa"/>
                  <w:vMerge w:val="continue"/>
                  <w:noWrap w:val="0"/>
                  <w:vAlign w:val="center"/>
                </w:tcPr>
                <w:p w14:paraId="0D5A5CC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6BFF08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-298.39</w:t>
                  </w:r>
                </w:p>
              </w:tc>
              <w:tc>
                <w:tcPr>
                  <w:tcW w:w="1792" w:type="dxa"/>
                  <w:noWrap w:val="0"/>
                  <w:vAlign w:val="center"/>
                </w:tcPr>
                <w:p w14:paraId="4A51513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680.58</w:t>
                  </w:r>
                </w:p>
              </w:tc>
              <w:tc>
                <w:tcPr>
                  <w:tcW w:w="1733" w:type="dxa"/>
                  <w:noWrap w:val="0"/>
                  <w:vAlign w:val="center"/>
                </w:tcPr>
                <w:p w14:paraId="5EB7560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11.63</w:t>
                  </w:r>
                </w:p>
              </w:tc>
            </w:tr>
            <w:tr w14:paraId="130C6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2311578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w:t>
                  </w:r>
                </w:p>
              </w:tc>
              <w:tc>
                <w:tcPr>
                  <w:tcW w:w="1828" w:type="dxa"/>
                  <w:vMerge w:val="continue"/>
                  <w:noWrap w:val="0"/>
                  <w:vAlign w:val="center"/>
                </w:tcPr>
                <w:p w14:paraId="12301C4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CC1DB0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-304.96</w:t>
                  </w:r>
                </w:p>
              </w:tc>
              <w:tc>
                <w:tcPr>
                  <w:tcW w:w="1792" w:type="dxa"/>
                  <w:noWrap w:val="0"/>
                  <w:vAlign w:val="center"/>
                </w:tcPr>
                <w:p w14:paraId="4A19612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673.04</w:t>
                  </w:r>
                </w:p>
              </w:tc>
              <w:tc>
                <w:tcPr>
                  <w:tcW w:w="1733" w:type="dxa"/>
                  <w:noWrap w:val="0"/>
                  <w:vAlign w:val="center"/>
                </w:tcPr>
                <w:p w14:paraId="7CB0B1E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11.02</w:t>
                  </w:r>
                </w:p>
              </w:tc>
            </w:tr>
            <w:tr w14:paraId="7E3E5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47F3E94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w:t>
                  </w:r>
                </w:p>
              </w:tc>
              <w:tc>
                <w:tcPr>
                  <w:tcW w:w="1828" w:type="dxa"/>
                  <w:vMerge w:val="continue"/>
                  <w:noWrap w:val="0"/>
                  <w:vAlign w:val="center"/>
                </w:tcPr>
                <w:p w14:paraId="45FA1F0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E2D88A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-311.54</w:t>
                  </w:r>
                </w:p>
              </w:tc>
              <w:tc>
                <w:tcPr>
                  <w:tcW w:w="1792" w:type="dxa"/>
                  <w:noWrap w:val="0"/>
                  <w:vAlign w:val="center"/>
                </w:tcPr>
                <w:p w14:paraId="45D0946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665.51</w:t>
                  </w:r>
                </w:p>
              </w:tc>
              <w:tc>
                <w:tcPr>
                  <w:tcW w:w="1733" w:type="dxa"/>
                  <w:noWrap w:val="0"/>
                  <w:vAlign w:val="center"/>
                </w:tcPr>
                <w:p w14:paraId="2DC6493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10.06</w:t>
                  </w:r>
                </w:p>
              </w:tc>
            </w:tr>
            <w:tr w14:paraId="6B9EF9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79" w:hRule="atLeast"/>
                <w:jc w:val="center"/>
              </w:trPr>
              <w:tc>
                <w:tcPr>
                  <w:tcW w:w="752" w:type="dxa"/>
                  <w:noWrap w:val="0"/>
                  <w:vAlign w:val="center"/>
                </w:tcPr>
                <w:p w14:paraId="26F4C95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w:t>
                  </w:r>
                </w:p>
              </w:tc>
              <w:tc>
                <w:tcPr>
                  <w:tcW w:w="1828" w:type="dxa"/>
                  <w:vMerge w:val="continue"/>
                  <w:noWrap w:val="0"/>
                  <w:vAlign w:val="center"/>
                </w:tcPr>
                <w:p w14:paraId="18BD056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5C5ED9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-318.11</w:t>
                  </w:r>
                </w:p>
              </w:tc>
              <w:tc>
                <w:tcPr>
                  <w:tcW w:w="1792" w:type="dxa"/>
                  <w:noWrap w:val="0"/>
                  <w:vAlign w:val="center"/>
                </w:tcPr>
                <w:p w14:paraId="3CA6DE5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657.97</w:t>
                  </w:r>
                </w:p>
              </w:tc>
              <w:tc>
                <w:tcPr>
                  <w:tcW w:w="1733" w:type="dxa"/>
                  <w:noWrap w:val="0"/>
                  <w:vAlign w:val="center"/>
                </w:tcPr>
                <w:p w14:paraId="37B3C47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10.03</w:t>
                  </w:r>
                </w:p>
              </w:tc>
            </w:tr>
            <w:tr w14:paraId="31DD42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02E57CD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6</w:t>
                  </w:r>
                </w:p>
              </w:tc>
              <w:tc>
                <w:tcPr>
                  <w:tcW w:w="1828" w:type="dxa"/>
                  <w:vMerge w:val="continue"/>
                  <w:noWrap w:val="0"/>
                  <w:vAlign w:val="center"/>
                </w:tcPr>
                <w:p w14:paraId="11CAD40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2D6054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-324.69</w:t>
                  </w:r>
                </w:p>
              </w:tc>
              <w:tc>
                <w:tcPr>
                  <w:tcW w:w="1792" w:type="dxa"/>
                  <w:noWrap w:val="0"/>
                  <w:vAlign w:val="center"/>
                </w:tcPr>
                <w:p w14:paraId="01F6402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650.44</w:t>
                  </w:r>
                </w:p>
              </w:tc>
              <w:tc>
                <w:tcPr>
                  <w:tcW w:w="1733" w:type="dxa"/>
                  <w:noWrap w:val="0"/>
                  <w:vAlign w:val="center"/>
                </w:tcPr>
                <w:p w14:paraId="744229F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10.97</w:t>
                  </w:r>
                </w:p>
              </w:tc>
            </w:tr>
            <w:tr w14:paraId="1E093A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1761301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7</w:t>
                  </w:r>
                </w:p>
              </w:tc>
              <w:tc>
                <w:tcPr>
                  <w:tcW w:w="1828" w:type="dxa"/>
                  <w:vMerge w:val="continue"/>
                  <w:noWrap w:val="0"/>
                  <w:vAlign w:val="center"/>
                </w:tcPr>
                <w:p w14:paraId="282C3FA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FFF0E7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-331.26</w:t>
                  </w:r>
                </w:p>
              </w:tc>
              <w:tc>
                <w:tcPr>
                  <w:tcW w:w="1792" w:type="dxa"/>
                  <w:noWrap w:val="0"/>
                  <w:vAlign w:val="center"/>
                </w:tcPr>
                <w:p w14:paraId="175E1D4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642.91</w:t>
                  </w:r>
                </w:p>
              </w:tc>
              <w:tc>
                <w:tcPr>
                  <w:tcW w:w="1733" w:type="dxa"/>
                  <w:noWrap w:val="0"/>
                  <w:vAlign w:val="center"/>
                </w:tcPr>
                <w:p w14:paraId="655C1B7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10.76</w:t>
                  </w:r>
                </w:p>
              </w:tc>
            </w:tr>
            <w:tr w14:paraId="2742F1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3EFFA21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8</w:t>
                  </w:r>
                </w:p>
              </w:tc>
              <w:tc>
                <w:tcPr>
                  <w:tcW w:w="1828" w:type="dxa"/>
                  <w:vMerge w:val="continue"/>
                  <w:noWrap w:val="0"/>
                  <w:vAlign w:val="center"/>
                </w:tcPr>
                <w:p w14:paraId="0BE336D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687D11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-337.84</w:t>
                  </w:r>
                </w:p>
              </w:tc>
              <w:tc>
                <w:tcPr>
                  <w:tcW w:w="1792" w:type="dxa"/>
                  <w:noWrap w:val="0"/>
                  <w:vAlign w:val="center"/>
                </w:tcPr>
                <w:p w14:paraId="26D6C48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635.37</w:t>
                  </w:r>
                </w:p>
              </w:tc>
              <w:tc>
                <w:tcPr>
                  <w:tcW w:w="1733" w:type="dxa"/>
                  <w:noWrap w:val="0"/>
                  <w:vAlign w:val="center"/>
                </w:tcPr>
                <w:p w14:paraId="61549F3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10.88</w:t>
                  </w:r>
                </w:p>
              </w:tc>
            </w:tr>
            <w:tr w14:paraId="349E76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242CC7D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9</w:t>
                  </w:r>
                </w:p>
              </w:tc>
              <w:tc>
                <w:tcPr>
                  <w:tcW w:w="1828" w:type="dxa"/>
                  <w:vMerge w:val="continue"/>
                  <w:noWrap w:val="0"/>
                  <w:vAlign w:val="center"/>
                </w:tcPr>
                <w:p w14:paraId="71651AD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86DCFF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-344.41</w:t>
                  </w:r>
                </w:p>
              </w:tc>
              <w:tc>
                <w:tcPr>
                  <w:tcW w:w="1792" w:type="dxa"/>
                  <w:noWrap w:val="0"/>
                  <w:vAlign w:val="center"/>
                </w:tcPr>
                <w:p w14:paraId="2C9DEB4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627.84</w:t>
                  </w:r>
                </w:p>
              </w:tc>
              <w:tc>
                <w:tcPr>
                  <w:tcW w:w="1733" w:type="dxa"/>
                  <w:noWrap w:val="0"/>
                  <w:vAlign w:val="center"/>
                </w:tcPr>
                <w:p w14:paraId="0489FF7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11.39</w:t>
                  </w:r>
                </w:p>
              </w:tc>
            </w:tr>
            <w:tr w14:paraId="3F5848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76AEF29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10</w:t>
                  </w:r>
                </w:p>
              </w:tc>
              <w:tc>
                <w:tcPr>
                  <w:tcW w:w="1828" w:type="dxa"/>
                  <w:vMerge w:val="continue"/>
                  <w:noWrap w:val="0"/>
                  <w:vAlign w:val="center"/>
                </w:tcPr>
                <w:p w14:paraId="0A7170C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763842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-350.99</w:t>
                  </w:r>
                </w:p>
              </w:tc>
              <w:tc>
                <w:tcPr>
                  <w:tcW w:w="1792" w:type="dxa"/>
                  <w:noWrap w:val="0"/>
                  <w:vAlign w:val="center"/>
                </w:tcPr>
                <w:p w14:paraId="036A8D6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620.30</w:t>
                  </w:r>
                </w:p>
              </w:tc>
              <w:tc>
                <w:tcPr>
                  <w:tcW w:w="1733" w:type="dxa"/>
                  <w:noWrap w:val="0"/>
                  <w:vAlign w:val="center"/>
                </w:tcPr>
                <w:p w14:paraId="71F196C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12.35</w:t>
                  </w:r>
                </w:p>
              </w:tc>
            </w:tr>
            <w:tr w14:paraId="5D6DF3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1C7CEC9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11</w:t>
                  </w:r>
                </w:p>
              </w:tc>
              <w:tc>
                <w:tcPr>
                  <w:tcW w:w="1828" w:type="dxa"/>
                  <w:vMerge w:val="continue"/>
                  <w:noWrap w:val="0"/>
                  <w:vAlign w:val="center"/>
                </w:tcPr>
                <w:p w14:paraId="1A3F2E4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C516E9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-357.04</w:t>
                  </w:r>
                </w:p>
              </w:tc>
              <w:tc>
                <w:tcPr>
                  <w:tcW w:w="1792" w:type="dxa"/>
                  <w:noWrap w:val="0"/>
                  <w:vAlign w:val="center"/>
                </w:tcPr>
                <w:p w14:paraId="17E3876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613.37</w:t>
                  </w:r>
                </w:p>
              </w:tc>
              <w:tc>
                <w:tcPr>
                  <w:tcW w:w="1733" w:type="dxa"/>
                  <w:noWrap w:val="0"/>
                  <w:vAlign w:val="center"/>
                </w:tcPr>
                <w:p w14:paraId="662A332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17.01</w:t>
                  </w:r>
                </w:p>
              </w:tc>
            </w:tr>
            <w:tr w14:paraId="7933B8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79" w:hRule="atLeast"/>
                <w:jc w:val="center"/>
              </w:trPr>
              <w:tc>
                <w:tcPr>
                  <w:tcW w:w="752" w:type="dxa"/>
                  <w:noWrap w:val="0"/>
                  <w:vAlign w:val="center"/>
                </w:tcPr>
                <w:p w14:paraId="75A1323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12</w:t>
                  </w:r>
                </w:p>
              </w:tc>
              <w:tc>
                <w:tcPr>
                  <w:tcW w:w="1828" w:type="dxa"/>
                  <w:vMerge w:val="continue"/>
                  <w:noWrap w:val="0"/>
                  <w:vAlign w:val="center"/>
                </w:tcPr>
                <w:p w14:paraId="1D72F25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4D04F5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-356.25</w:t>
                  </w:r>
                </w:p>
              </w:tc>
              <w:tc>
                <w:tcPr>
                  <w:tcW w:w="1792" w:type="dxa"/>
                  <w:noWrap w:val="0"/>
                  <w:vAlign w:val="center"/>
                </w:tcPr>
                <w:p w14:paraId="2520D85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603.40</w:t>
                  </w:r>
                </w:p>
              </w:tc>
              <w:tc>
                <w:tcPr>
                  <w:tcW w:w="1733" w:type="dxa"/>
                  <w:noWrap w:val="0"/>
                  <w:vAlign w:val="center"/>
                </w:tcPr>
                <w:p w14:paraId="36E76CE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18.72</w:t>
                  </w:r>
                </w:p>
              </w:tc>
            </w:tr>
            <w:tr w14:paraId="0EB817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3503794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13</w:t>
                  </w:r>
                </w:p>
              </w:tc>
              <w:tc>
                <w:tcPr>
                  <w:tcW w:w="1828" w:type="dxa"/>
                  <w:vMerge w:val="continue"/>
                  <w:noWrap w:val="0"/>
                  <w:vAlign w:val="center"/>
                </w:tcPr>
                <w:p w14:paraId="01CA397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AD9B65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-355.46</w:t>
                  </w:r>
                </w:p>
              </w:tc>
              <w:tc>
                <w:tcPr>
                  <w:tcW w:w="1792" w:type="dxa"/>
                  <w:noWrap w:val="0"/>
                  <w:vAlign w:val="center"/>
                </w:tcPr>
                <w:p w14:paraId="0994338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593.43</w:t>
                  </w:r>
                </w:p>
              </w:tc>
              <w:tc>
                <w:tcPr>
                  <w:tcW w:w="1733" w:type="dxa"/>
                  <w:noWrap w:val="0"/>
                  <w:vAlign w:val="center"/>
                </w:tcPr>
                <w:p w14:paraId="63BAD62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19.90</w:t>
                  </w:r>
                </w:p>
              </w:tc>
            </w:tr>
            <w:tr w14:paraId="4E2E37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01A5974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14</w:t>
                  </w:r>
                </w:p>
              </w:tc>
              <w:tc>
                <w:tcPr>
                  <w:tcW w:w="1828" w:type="dxa"/>
                  <w:vMerge w:val="continue"/>
                  <w:noWrap w:val="0"/>
                  <w:vAlign w:val="center"/>
                </w:tcPr>
                <w:p w14:paraId="6D308B5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B1000D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-354.66</w:t>
                  </w:r>
                </w:p>
              </w:tc>
              <w:tc>
                <w:tcPr>
                  <w:tcW w:w="1792" w:type="dxa"/>
                  <w:noWrap w:val="0"/>
                  <w:vAlign w:val="center"/>
                </w:tcPr>
                <w:p w14:paraId="24CB271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583.46</w:t>
                  </w:r>
                </w:p>
              </w:tc>
              <w:tc>
                <w:tcPr>
                  <w:tcW w:w="1733" w:type="dxa"/>
                  <w:noWrap w:val="0"/>
                  <w:vAlign w:val="center"/>
                </w:tcPr>
                <w:p w14:paraId="5E52A58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21.23</w:t>
                  </w:r>
                </w:p>
              </w:tc>
            </w:tr>
            <w:tr w14:paraId="1A9644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719C75C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15</w:t>
                  </w:r>
                </w:p>
              </w:tc>
              <w:tc>
                <w:tcPr>
                  <w:tcW w:w="1828" w:type="dxa"/>
                  <w:vMerge w:val="continue"/>
                  <w:noWrap w:val="0"/>
                  <w:vAlign w:val="center"/>
                </w:tcPr>
                <w:p w14:paraId="4B22554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BBBDFC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-353.87</w:t>
                  </w:r>
                </w:p>
              </w:tc>
              <w:tc>
                <w:tcPr>
                  <w:tcW w:w="1792" w:type="dxa"/>
                  <w:noWrap w:val="0"/>
                  <w:vAlign w:val="center"/>
                </w:tcPr>
                <w:p w14:paraId="67BB7FC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573.50</w:t>
                  </w:r>
                </w:p>
              </w:tc>
              <w:tc>
                <w:tcPr>
                  <w:tcW w:w="1733" w:type="dxa"/>
                  <w:noWrap w:val="0"/>
                  <w:vAlign w:val="center"/>
                </w:tcPr>
                <w:p w14:paraId="13A8351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22.68</w:t>
                  </w:r>
                </w:p>
              </w:tc>
            </w:tr>
            <w:tr w14:paraId="16B1C8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6A9189A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16</w:t>
                  </w:r>
                </w:p>
              </w:tc>
              <w:tc>
                <w:tcPr>
                  <w:tcW w:w="1828" w:type="dxa"/>
                  <w:vMerge w:val="continue"/>
                  <w:noWrap w:val="0"/>
                  <w:vAlign w:val="center"/>
                </w:tcPr>
                <w:p w14:paraId="0057895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06E8FD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-353.08</w:t>
                  </w:r>
                </w:p>
              </w:tc>
              <w:tc>
                <w:tcPr>
                  <w:tcW w:w="1792" w:type="dxa"/>
                  <w:noWrap w:val="0"/>
                  <w:vAlign w:val="center"/>
                </w:tcPr>
                <w:p w14:paraId="617A001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563.53</w:t>
                  </w:r>
                </w:p>
              </w:tc>
              <w:tc>
                <w:tcPr>
                  <w:tcW w:w="1733" w:type="dxa"/>
                  <w:noWrap w:val="0"/>
                  <w:vAlign w:val="center"/>
                </w:tcPr>
                <w:p w14:paraId="4283B8A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23.76</w:t>
                  </w:r>
                </w:p>
              </w:tc>
            </w:tr>
            <w:tr w14:paraId="0CAB96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0585ED7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17</w:t>
                  </w:r>
                </w:p>
              </w:tc>
              <w:tc>
                <w:tcPr>
                  <w:tcW w:w="1828" w:type="dxa"/>
                  <w:vMerge w:val="continue"/>
                  <w:noWrap w:val="0"/>
                  <w:vAlign w:val="center"/>
                </w:tcPr>
                <w:p w14:paraId="5871766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738DA3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-352.29</w:t>
                  </w:r>
                </w:p>
              </w:tc>
              <w:tc>
                <w:tcPr>
                  <w:tcW w:w="1792" w:type="dxa"/>
                  <w:noWrap w:val="0"/>
                  <w:vAlign w:val="center"/>
                </w:tcPr>
                <w:p w14:paraId="4CDBED9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553.56</w:t>
                  </w:r>
                </w:p>
              </w:tc>
              <w:tc>
                <w:tcPr>
                  <w:tcW w:w="1733" w:type="dxa"/>
                  <w:noWrap w:val="0"/>
                  <w:vAlign w:val="center"/>
                </w:tcPr>
                <w:p w14:paraId="7E6C4EC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24.76</w:t>
                  </w:r>
                </w:p>
              </w:tc>
            </w:tr>
            <w:tr w14:paraId="310617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6B31534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18</w:t>
                  </w:r>
                </w:p>
              </w:tc>
              <w:tc>
                <w:tcPr>
                  <w:tcW w:w="1828" w:type="dxa"/>
                  <w:vMerge w:val="continue"/>
                  <w:noWrap w:val="0"/>
                  <w:vAlign w:val="center"/>
                </w:tcPr>
                <w:p w14:paraId="4389B1D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AC67B1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-351.50</w:t>
                  </w:r>
                </w:p>
              </w:tc>
              <w:tc>
                <w:tcPr>
                  <w:tcW w:w="1792" w:type="dxa"/>
                  <w:noWrap w:val="0"/>
                  <w:vAlign w:val="center"/>
                </w:tcPr>
                <w:p w14:paraId="7A7BF70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543.59</w:t>
                  </w:r>
                </w:p>
              </w:tc>
              <w:tc>
                <w:tcPr>
                  <w:tcW w:w="1733" w:type="dxa"/>
                  <w:noWrap w:val="0"/>
                  <w:vAlign w:val="center"/>
                </w:tcPr>
                <w:p w14:paraId="639ED9F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27.31</w:t>
                  </w:r>
                </w:p>
              </w:tc>
            </w:tr>
            <w:tr w14:paraId="72473A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5A38D90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19</w:t>
                  </w:r>
                </w:p>
              </w:tc>
              <w:tc>
                <w:tcPr>
                  <w:tcW w:w="1828" w:type="dxa"/>
                  <w:vMerge w:val="continue"/>
                  <w:noWrap w:val="0"/>
                  <w:vAlign w:val="center"/>
                </w:tcPr>
                <w:p w14:paraId="700EFC7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F0D067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-350.71</w:t>
                  </w:r>
                </w:p>
              </w:tc>
              <w:tc>
                <w:tcPr>
                  <w:tcW w:w="1792" w:type="dxa"/>
                  <w:noWrap w:val="0"/>
                  <w:vAlign w:val="center"/>
                </w:tcPr>
                <w:p w14:paraId="3E28742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533.62</w:t>
                  </w:r>
                </w:p>
              </w:tc>
              <w:tc>
                <w:tcPr>
                  <w:tcW w:w="1733" w:type="dxa"/>
                  <w:noWrap w:val="0"/>
                  <w:vAlign w:val="center"/>
                </w:tcPr>
                <w:p w14:paraId="1722ED8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27.73</w:t>
                  </w:r>
                </w:p>
              </w:tc>
            </w:tr>
            <w:tr w14:paraId="249086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3BB7761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20</w:t>
                  </w:r>
                </w:p>
              </w:tc>
              <w:tc>
                <w:tcPr>
                  <w:tcW w:w="1828" w:type="dxa"/>
                  <w:vMerge w:val="continue"/>
                  <w:noWrap w:val="0"/>
                  <w:vAlign w:val="center"/>
                </w:tcPr>
                <w:p w14:paraId="7D41D9E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2A06B2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-350.24</w:t>
                  </w:r>
                </w:p>
              </w:tc>
              <w:tc>
                <w:tcPr>
                  <w:tcW w:w="1792" w:type="dxa"/>
                  <w:noWrap w:val="0"/>
                  <w:vAlign w:val="center"/>
                </w:tcPr>
                <w:p w14:paraId="2F9DB95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527.75</w:t>
                  </w:r>
                </w:p>
              </w:tc>
              <w:tc>
                <w:tcPr>
                  <w:tcW w:w="1733" w:type="dxa"/>
                  <w:noWrap w:val="0"/>
                  <w:vAlign w:val="center"/>
                </w:tcPr>
                <w:p w14:paraId="50476D1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27.92</w:t>
                  </w:r>
                </w:p>
              </w:tc>
            </w:tr>
            <w:tr w14:paraId="4EFFBE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209EC08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21</w:t>
                  </w:r>
                </w:p>
              </w:tc>
              <w:tc>
                <w:tcPr>
                  <w:tcW w:w="1828" w:type="dxa"/>
                  <w:vMerge w:val="continue"/>
                  <w:noWrap w:val="0"/>
                  <w:vAlign w:val="center"/>
                </w:tcPr>
                <w:p w14:paraId="20CA0C4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57100E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-345.56</w:t>
                  </w:r>
                </w:p>
              </w:tc>
              <w:tc>
                <w:tcPr>
                  <w:tcW w:w="1792" w:type="dxa"/>
                  <w:noWrap w:val="0"/>
                  <w:vAlign w:val="center"/>
                </w:tcPr>
                <w:p w14:paraId="63D223C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518.91</w:t>
                  </w:r>
                </w:p>
              </w:tc>
              <w:tc>
                <w:tcPr>
                  <w:tcW w:w="1733" w:type="dxa"/>
                  <w:noWrap w:val="0"/>
                  <w:vAlign w:val="center"/>
                </w:tcPr>
                <w:p w14:paraId="6A4DEA6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28.61</w:t>
                  </w:r>
                </w:p>
              </w:tc>
            </w:tr>
            <w:tr w14:paraId="347498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40BDB96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22</w:t>
                  </w:r>
                </w:p>
              </w:tc>
              <w:tc>
                <w:tcPr>
                  <w:tcW w:w="1828" w:type="dxa"/>
                  <w:vMerge w:val="continue"/>
                  <w:noWrap w:val="0"/>
                  <w:vAlign w:val="center"/>
                </w:tcPr>
                <w:p w14:paraId="14F5155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7C37BA0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-340.88</w:t>
                  </w:r>
                </w:p>
              </w:tc>
              <w:tc>
                <w:tcPr>
                  <w:tcW w:w="1792" w:type="dxa"/>
                  <w:noWrap w:val="0"/>
                  <w:vAlign w:val="center"/>
                </w:tcPr>
                <w:p w14:paraId="746DB44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510.07</w:t>
                  </w:r>
                </w:p>
              </w:tc>
              <w:tc>
                <w:tcPr>
                  <w:tcW w:w="1733" w:type="dxa"/>
                  <w:noWrap w:val="0"/>
                  <w:vAlign w:val="center"/>
                </w:tcPr>
                <w:p w14:paraId="17066FA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29.08</w:t>
                  </w:r>
                </w:p>
              </w:tc>
            </w:tr>
            <w:tr w14:paraId="193111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19598C7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23</w:t>
                  </w:r>
                </w:p>
              </w:tc>
              <w:tc>
                <w:tcPr>
                  <w:tcW w:w="1828" w:type="dxa"/>
                  <w:vMerge w:val="continue"/>
                  <w:noWrap w:val="0"/>
                  <w:vAlign w:val="center"/>
                </w:tcPr>
                <w:p w14:paraId="743BACA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31E9A3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-338.01</w:t>
                  </w:r>
                </w:p>
              </w:tc>
              <w:tc>
                <w:tcPr>
                  <w:tcW w:w="1792" w:type="dxa"/>
                  <w:noWrap w:val="0"/>
                  <w:vAlign w:val="center"/>
                </w:tcPr>
                <w:p w14:paraId="6B17E1D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504.65</w:t>
                  </w:r>
                </w:p>
              </w:tc>
              <w:tc>
                <w:tcPr>
                  <w:tcW w:w="1733" w:type="dxa"/>
                  <w:noWrap w:val="0"/>
                  <w:vAlign w:val="center"/>
                </w:tcPr>
                <w:p w14:paraId="5FE526B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29.35</w:t>
                  </w:r>
                </w:p>
              </w:tc>
            </w:tr>
            <w:tr w14:paraId="63B1BC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3FA3461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24</w:t>
                  </w:r>
                </w:p>
              </w:tc>
              <w:tc>
                <w:tcPr>
                  <w:tcW w:w="1828" w:type="dxa"/>
                  <w:vMerge w:val="continue"/>
                  <w:noWrap w:val="0"/>
                  <w:vAlign w:val="center"/>
                </w:tcPr>
                <w:p w14:paraId="3F0DB39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B25937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-339.29</w:t>
                  </w:r>
                </w:p>
              </w:tc>
              <w:tc>
                <w:tcPr>
                  <w:tcW w:w="1792" w:type="dxa"/>
                  <w:noWrap w:val="0"/>
                  <w:vAlign w:val="center"/>
                </w:tcPr>
                <w:p w14:paraId="1F1467F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494.73</w:t>
                  </w:r>
                </w:p>
              </w:tc>
              <w:tc>
                <w:tcPr>
                  <w:tcW w:w="1733" w:type="dxa"/>
                  <w:noWrap w:val="0"/>
                  <w:vAlign w:val="center"/>
                </w:tcPr>
                <w:p w14:paraId="14C4896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29.37</w:t>
                  </w:r>
                </w:p>
              </w:tc>
            </w:tr>
            <w:tr w14:paraId="57A3C8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7A7E43D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25</w:t>
                  </w:r>
                </w:p>
              </w:tc>
              <w:tc>
                <w:tcPr>
                  <w:tcW w:w="1828" w:type="dxa"/>
                  <w:vMerge w:val="continue"/>
                  <w:noWrap w:val="0"/>
                  <w:vAlign w:val="center"/>
                </w:tcPr>
                <w:p w14:paraId="4580A59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B40B91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-340.57</w:t>
                  </w:r>
                </w:p>
              </w:tc>
              <w:tc>
                <w:tcPr>
                  <w:tcW w:w="1792" w:type="dxa"/>
                  <w:noWrap w:val="0"/>
                  <w:vAlign w:val="center"/>
                </w:tcPr>
                <w:p w14:paraId="0829537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484.81</w:t>
                  </w:r>
                </w:p>
              </w:tc>
              <w:tc>
                <w:tcPr>
                  <w:tcW w:w="1733" w:type="dxa"/>
                  <w:noWrap w:val="0"/>
                  <w:vAlign w:val="center"/>
                </w:tcPr>
                <w:p w14:paraId="27B48AC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30.19</w:t>
                  </w:r>
                </w:p>
              </w:tc>
            </w:tr>
            <w:tr w14:paraId="35C8F8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7CB84B3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26</w:t>
                  </w:r>
                </w:p>
              </w:tc>
              <w:tc>
                <w:tcPr>
                  <w:tcW w:w="1828" w:type="dxa"/>
                  <w:vMerge w:val="continue"/>
                  <w:noWrap w:val="0"/>
                  <w:vAlign w:val="center"/>
                </w:tcPr>
                <w:p w14:paraId="71E7188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FF4709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-341.85</w:t>
                  </w:r>
                </w:p>
              </w:tc>
              <w:tc>
                <w:tcPr>
                  <w:tcW w:w="1792" w:type="dxa"/>
                  <w:noWrap w:val="0"/>
                  <w:vAlign w:val="center"/>
                </w:tcPr>
                <w:p w14:paraId="25DF6D1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474.90</w:t>
                  </w:r>
                </w:p>
              </w:tc>
              <w:tc>
                <w:tcPr>
                  <w:tcW w:w="1733" w:type="dxa"/>
                  <w:noWrap w:val="0"/>
                  <w:vAlign w:val="center"/>
                </w:tcPr>
                <w:p w14:paraId="3FE63B7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30.18</w:t>
                  </w:r>
                </w:p>
              </w:tc>
            </w:tr>
            <w:tr w14:paraId="6D4075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1B850CE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27</w:t>
                  </w:r>
                </w:p>
              </w:tc>
              <w:tc>
                <w:tcPr>
                  <w:tcW w:w="1828" w:type="dxa"/>
                  <w:vMerge w:val="continue"/>
                  <w:noWrap w:val="0"/>
                  <w:vAlign w:val="center"/>
                </w:tcPr>
                <w:p w14:paraId="3E69F8B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7451D60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-343.13</w:t>
                  </w:r>
                </w:p>
              </w:tc>
              <w:tc>
                <w:tcPr>
                  <w:tcW w:w="1792" w:type="dxa"/>
                  <w:noWrap w:val="0"/>
                  <w:vAlign w:val="center"/>
                </w:tcPr>
                <w:p w14:paraId="115F7E6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464.98</w:t>
                  </w:r>
                </w:p>
              </w:tc>
              <w:tc>
                <w:tcPr>
                  <w:tcW w:w="1733" w:type="dxa"/>
                  <w:noWrap w:val="0"/>
                  <w:vAlign w:val="center"/>
                </w:tcPr>
                <w:p w14:paraId="4DB5DD4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30.11</w:t>
                  </w:r>
                </w:p>
              </w:tc>
            </w:tr>
            <w:tr w14:paraId="0EF933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0A5B91A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28</w:t>
                  </w:r>
                </w:p>
              </w:tc>
              <w:tc>
                <w:tcPr>
                  <w:tcW w:w="1828" w:type="dxa"/>
                  <w:vMerge w:val="continue"/>
                  <w:noWrap w:val="0"/>
                  <w:vAlign w:val="center"/>
                </w:tcPr>
                <w:p w14:paraId="6B33028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E095E8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-344.41</w:t>
                  </w:r>
                </w:p>
              </w:tc>
              <w:tc>
                <w:tcPr>
                  <w:tcW w:w="1792" w:type="dxa"/>
                  <w:noWrap w:val="0"/>
                  <w:vAlign w:val="center"/>
                </w:tcPr>
                <w:p w14:paraId="79C1ACF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455.06</w:t>
                  </w:r>
                </w:p>
              </w:tc>
              <w:tc>
                <w:tcPr>
                  <w:tcW w:w="1733" w:type="dxa"/>
                  <w:noWrap w:val="0"/>
                  <w:vAlign w:val="center"/>
                </w:tcPr>
                <w:p w14:paraId="22E1D08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30.10</w:t>
                  </w:r>
                </w:p>
              </w:tc>
            </w:tr>
            <w:tr w14:paraId="303F03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66A3852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29</w:t>
                  </w:r>
                </w:p>
              </w:tc>
              <w:tc>
                <w:tcPr>
                  <w:tcW w:w="1828" w:type="dxa"/>
                  <w:vMerge w:val="continue"/>
                  <w:noWrap w:val="0"/>
                  <w:vAlign w:val="center"/>
                </w:tcPr>
                <w:p w14:paraId="29B1899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DB8219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-345.69</w:t>
                  </w:r>
                </w:p>
              </w:tc>
              <w:tc>
                <w:tcPr>
                  <w:tcW w:w="1792" w:type="dxa"/>
                  <w:noWrap w:val="0"/>
                  <w:vAlign w:val="center"/>
                </w:tcPr>
                <w:p w14:paraId="172C5A8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445.14</w:t>
                  </w:r>
                </w:p>
              </w:tc>
              <w:tc>
                <w:tcPr>
                  <w:tcW w:w="1733" w:type="dxa"/>
                  <w:noWrap w:val="0"/>
                  <w:vAlign w:val="center"/>
                </w:tcPr>
                <w:p w14:paraId="296B72E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30.19</w:t>
                  </w:r>
                </w:p>
              </w:tc>
            </w:tr>
            <w:tr w14:paraId="1D7458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7D26E22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30</w:t>
                  </w:r>
                </w:p>
              </w:tc>
              <w:tc>
                <w:tcPr>
                  <w:tcW w:w="1828" w:type="dxa"/>
                  <w:vMerge w:val="continue"/>
                  <w:noWrap w:val="0"/>
                  <w:vAlign w:val="center"/>
                </w:tcPr>
                <w:p w14:paraId="148B02B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E2B4FA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-346.97</w:t>
                  </w:r>
                </w:p>
              </w:tc>
              <w:tc>
                <w:tcPr>
                  <w:tcW w:w="1792" w:type="dxa"/>
                  <w:noWrap w:val="0"/>
                  <w:vAlign w:val="center"/>
                </w:tcPr>
                <w:p w14:paraId="20163D8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435.23</w:t>
                  </w:r>
                </w:p>
              </w:tc>
              <w:tc>
                <w:tcPr>
                  <w:tcW w:w="1733" w:type="dxa"/>
                  <w:noWrap w:val="0"/>
                  <w:vAlign w:val="center"/>
                </w:tcPr>
                <w:p w14:paraId="4FEAA0B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30.35</w:t>
                  </w:r>
                </w:p>
              </w:tc>
            </w:tr>
            <w:tr w14:paraId="3DD28F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711F1A3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31</w:t>
                  </w:r>
                </w:p>
              </w:tc>
              <w:tc>
                <w:tcPr>
                  <w:tcW w:w="1828" w:type="dxa"/>
                  <w:vMerge w:val="continue"/>
                  <w:noWrap w:val="0"/>
                  <w:vAlign w:val="center"/>
                </w:tcPr>
                <w:p w14:paraId="6B461A7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AA2559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-348.25</w:t>
                  </w:r>
                </w:p>
              </w:tc>
              <w:tc>
                <w:tcPr>
                  <w:tcW w:w="1792" w:type="dxa"/>
                  <w:noWrap w:val="0"/>
                  <w:vAlign w:val="center"/>
                </w:tcPr>
                <w:p w14:paraId="797E2C5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425.31</w:t>
                  </w:r>
                </w:p>
              </w:tc>
              <w:tc>
                <w:tcPr>
                  <w:tcW w:w="1733" w:type="dxa"/>
                  <w:noWrap w:val="0"/>
                  <w:vAlign w:val="center"/>
                </w:tcPr>
                <w:p w14:paraId="082B351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31.49</w:t>
                  </w:r>
                </w:p>
              </w:tc>
            </w:tr>
            <w:tr w14:paraId="5C0332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058A9C9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32</w:t>
                  </w:r>
                </w:p>
              </w:tc>
              <w:tc>
                <w:tcPr>
                  <w:tcW w:w="1828" w:type="dxa"/>
                  <w:vMerge w:val="continue"/>
                  <w:noWrap w:val="0"/>
                  <w:vAlign w:val="center"/>
                </w:tcPr>
                <w:p w14:paraId="02E5A03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AFC0C4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-348.88</w:t>
                  </w:r>
                </w:p>
              </w:tc>
              <w:tc>
                <w:tcPr>
                  <w:tcW w:w="1792" w:type="dxa"/>
                  <w:noWrap w:val="0"/>
                  <w:vAlign w:val="center"/>
                </w:tcPr>
                <w:p w14:paraId="6BE067B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420.39</w:t>
                  </w:r>
                </w:p>
              </w:tc>
              <w:tc>
                <w:tcPr>
                  <w:tcW w:w="1733" w:type="dxa"/>
                  <w:noWrap w:val="0"/>
                  <w:vAlign w:val="center"/>
                </w:tcPr>
                <w:p w14:paraId="1214A43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31.43</w:t>
                  </w:r>
                </w:p>
              </w:tc>
            </w:tr>
            <w:tr w14:paraId="0CDCAD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752" w:type="dxa"/>
                  <w:noWrap w:val="0"/>
                  <w:vAlign w:val="center"/>
                </w:tcPr>
                <w:p w14:paraId="22FBBB4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33</w:t>
                  </w:r>
                </w:p>
              </w:tc>
              <w:tc>
                <w:tcPr>
                  <w:tcW w:w="1828" w:type="dxa"/>
                  <w:vMerge w:val="continue"/>
                  <w:noWrap w:val="0"/>
                  <w:vAlign w:val="center"/>
                </w:tcPr>
                <w:p w14:paraId="3F71F7A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BD08C6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-358.87</w:t>
                  </w:r>
                </w:p>
              </w:tc>
              <w:tc>
                <w:tcPr>
                  <w:tcW w:w="1792" w:type="dxa"/>
                  <w:noWrap w:val="0"/>
                  <w:vAlign w:val="center"/>
                </w:tcPr>
                <w:p w14:paraId="08F4B69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420.81</w:t>
                  </w:r>
                </w:p>
              </w:tc>
              <w:tc>
                <w:tcPr>
                  <w:tcW w:w="1733" w:type="dxa"/>
                  <w:noWrap w:val="0"/>
                  <w:vAlign w:val="center"/>
                </w:tcPr>
                <w:p w14:paraId="04B0B52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30.62</w:t>
                  </w:r>
                </w:p>
              </w:tc>
            </w:tr>
            <w:tr w14:paraId="23BF95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580FCAD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34</w:t>
                  </w:r>
                </w:p>
              </w:tc>
              <w:tc>
                <w:tcPr>
                  <w:tcW w:w="1828" w:type="dxa"/>
                  <w:vMerge w:val="continue"/>
                  <w:noWrap w:val="0"/>
                  <w:vAlign w:val="center"/>
                </w:tcPr>
                <w:p w14:paraId="41654A0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7CAEF9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-368.86</w:t>
                  </w:r>
                </w:p>
              </w:tc>
              <w:tc>
                <w:tcPr>
                  <w:tcW w:w="1792" w:type="dxa"/>
                  <w:noWrap w:val="0"/>
                  <w:vAlign w:val="center"/>
                </w:tcPr>
                <w:p w14:paraId="170C389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421.22</w:t>
                  </w:r>
                </w:p>
              </w:tc>
              <w:tc>
                <w:tcPr>
                  <w:tcW w:w="1733" w:type="dxa"/>
                  <w:noWrap w:val="0"/>
                  <w:vAlign w:val="center"/>
                </w:tcPr>
                <w:p w14:paraId="4D7B3D0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29.91</w:t>
                  </w:r>
                </w:p>
              </w:tc>
            </w:tr>
            <w:tr w14:paraId="3C04C2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7EC221E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35</w:t>
                  </w:r>
                </w:p>
              </w:tc>
              <w:tc>
                <w:tcPr>
                  <w:tcW w:w="1828" w:type="dxa"/>
                  <w:vMerge w:val="continue"/>
                  <w:noWrap w:val="0"/>
                  <w:vAlign w:val="center"/>
                </w:tcPr>
                <w:p w14:paraId="5BD81D8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09476A8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-378.85</w:t>
                  </w:r>
                </w:p>
              </w:tc>
              <w:tc>
                <w:tcPr>
                  <w:tcW w:w="1792" w:type="dxa"/>
                  <w:noWrap w:val="0"/>
                  <w:vAlign w:val="center"/>
                </w:tcPr>
                <w:p w14:paraId="01D6715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421.64</w:t>
                  </w:r>
                </w:p>
              </w:tc>
              <w:tc>
                <w:tcPr>
                  <w:tcW w:w="1733" w:type="dxa"/>
                  <w:noWrap w:val="0"/>
                  <w:vAlign w:val="center"/>
                </w:tcPr>
                <w:p w14:paraId="7EC97C5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29.23</w:t>
                  </w:r>
                </w:p>
              </w:tc>
            </w:tr>
            <w:tr w14:paraId="6BC611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1EE298C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36</w:t>
                  </w:r>
                </w:p>
              </w:tc>
              <w:tc>
                <w:tcPr>
                  <w:tcW w:w="1828" w:type="dxa"/>
                  <w:vMerge w:val="continue"/>
                  <w:noWrap w:val="0"/>
                  <w:vAlign w:val="center"/>
                </w:tcPr>
                <w:p w14:paraId="6956166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1D670B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-381.50</w:t>
                  </w:r>
                </w:p>
              </w:tc>
              <w:tc>
                <w:tcPr>
                  <w:tcW w:w="1792" w:type="dxa"/>
                  <w:noWrap w:val="0"/>
                  <w:vAlign w:val="center"/>
                </w:tcPr>
                <w:p w14:paraId="00BF3A5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421.75</w:t>
                  </w:r>
                </w:p>
              </w:tc>
              <w:tc>
                <w:tcPr>
                  <w:tcW w:w="1733" w:type="dxa"/>
                  <w:noWrap w:val="0"/>
                  <w:vAlign w:val="center"/>
                </w:tcPr>
                <w:p w14:paraId="3465F78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29.06</w:t>
                  </w:r>
                </w:p>
              </w:tc>
            </w:tr>
            <w:tr w14:paraId="0DC0F8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4600219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37</w:t>
                  </w:r>
                </w:p>
              </w:tc>
              <w:tc>
                <w:tcPr>
                  <w:tcW w:w="1828" w:type="dxa"/>
                  <w:vMerge w:val="continue"/>
                  <w:noWrap w:val="0"/>
                  <w:vAlign w:val="center"/>
                </w:tcPr>
                <w:p w14:paraId="1BE53B5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7CBE27A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-379.98</w:t>
                  </w:r>
                </w:p>
              </w:tc>
              <w:tc>
                <w:tcPr>
                  <w:tcW w:w="1792" w:type="dxa"/>
                  <w:noWrap w:val="0"/>
                  <w:vAlign w:val="center"/>
                </w:tcPr>
                <w:p w14:paraId="6FABFC1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431.63</w:t>
                  </w:r>
                </w:p>
              </w:tc>
              <w:tc>
                <w:tcPr>
                  <w:tcW w:w="1733" w:type="dxa"/>
                  <w:noWrap w:val="0"/>
                  <w:vAlign w:val="center"/>
                </w:tcPr>
                <w:p w14:paraId="3491535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29.17</w:t>
                  </w:r>
                </w:p>
              </w:tc>
            </w:tr>
            <w:tr w14:paraId="066DFA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2EAD9A4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38</w:t>
                  </w:r>
                </w:p>
              </w:tc>
              <w:tc>
                <w:tcPr>
                  <w:tcW w:w="1828" w:type="dxa"/>
                  <w:vMerge w:val="continue"/>
                  <w:noWrap w:val="0"/>
                  <w:vAlign w:val="center"/>
                </w:tcPr>
                <w:p w14:paraId="0B64ECE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E43875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-378.78</w:t>
                  </w:r>
                </w:p>
              </w:tc>
              <w:tc>
                <w:tcPr>
                  <w:tcW w:w="1792" w:type="dxa"/>
                  <w:noWrap w:val="0"/>
                  <w:vAlign w:val="center"/>
                </w:tcPr>
                <w:p w14:paraId="00E4AF4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439.41</w:t>
                  </w:r>
                </w:p>
              </w:tc>
              <w:tc>
                <w:tcPr>
                  <w:tcW w:w="1733" w:type="dxa"/>
                  <w:noWrap w:val="0"/>
                  <w:vAlign w:val="center"/>
                </w:tcPr>
                <w:p w14:paraId="390E08E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28.27</w:t>
                  </w:r>
                </w:p>
              </w:tc>
            </w:tr>
            <w:tr w14:paraId="230D5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16824AF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39</w:t>
                  </w:r>
                </w:p>
              </w:tc>
              <w:tc>
                <w:tcPr>
                  <w:tcW w:w="1828" w:type="dxa"/>
                  <w:vMerge w:val="continue"/>
                  <w:noWrap w:val="0"/>
                  <w:vAlign w:val="center"/>
                </w:tcPr>
                <w:p w14:paraId="3E8148C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7131463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-388.41</w:t>
                  </w:r>
                </w:p>
              </w:tc>
              <w:tc>
                <w:tcPr>
                  <w:tcW w:w="1792" w:type="dxa"/>
                  <w:noWrap w:val="0"/>
                  <w:vAlign w:val="center"/>
                </w:tcPr>
                <w:p w14:paraId="0A41E13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442.09</w:t>
                  </w:r>
                </w:p>
              </w:tc>
              <w:tc>
                <w:tcPr>
                  <w:tcW w:w="1733" w:type="dxa"/>
                  <w:noWrap w:val="0"/>
                  <w:vAlign w:val="center"/>
                </w:tcPr>
                <w:p w14:paraId="13351E6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27.71</w:t>
                  </w:r>
                </w:p>
              </w:tc>
            </w:tr>
            <w:tr w14:paraId="306DE4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574ABAD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40</w:t>
                  </w:r>
                </w:p>
              </w:tc>
              <w:tc>
                <w:tcPr>
                  <w:tcW w:w="1828" w:type="dxa"/>
                  <w:vMerge w:val="continue"/>
                  <w:noWrap w:val="0"/>
                  <w:vAlign w:val="center"/>
                </w:tcPr>
                <w:p w14:paraId="55E9FD6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657B8A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-398.05</w:t>
                  </w:r>
                </w:p>
              </w:tc>
              <w:tc>
                <w:tcPr>
                  <w:tcW w:w="1792" w:type="dxa"/>
                  <w:noWrap w:val="0"/>
                  <w:vAlign w:val="center"/>
                </w:tcPr>
                <w:p w14:paraId="68FA881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444.77</w:t>
                  </w:r>
                </w:p>
              </w:tc>
              <w:tc>
                <w:tcPr>
                  <w:tcW w:w="1733" w:type="dxa"/>
                  <w:noWrap w:val="0"/>
                  <w:vAlign w:val="center"/>
                </w:tcPr>
                <w:p w14:paraId="7FF0517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27.17</w:t>
                  </w:r>
                </w:p>
              </w:tc>
            </w:tr>
            <w:tr w14:paraId="47EFE7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505874D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41</w:t>
                  </w:r>
                </w:p>
              </w:tc>
              <w:tc>
                <w:tcPr>
                  <w:tcW w:w="1828" w:type="dxa"/>
                  <w:vMerge w:val="continue"/>
                  <w:noWrap w:val="0"/>
                  <w:vAlign w:val="center"/>
                </w:tcPr>
                <w:p w14:paraId="1EBCCD2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0B095A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-403.24</w:t>
                  </w:r>
                </w:p>
              </w:tc>
              <w:tc>
                <w:tcPr>
                  <w:tcW w:w="1792" w:type="dxa"/>
                  <w:noWrap w:val="0"/>
                  <w:vAlign w:val="center"/>
                </w:tcPr>
                <w:p w14:paraId="3E08E9C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446.21</w:t>
                  </w:r>
                </w:p>
              </w:tc>
              <w:tc>
                <w:tcPr>
                  <w:tcW w:w="1733" w:type="dxa"/>
                  <w:noWrap w:val="0"/>
                  <w:vAlign w:val="center"/>
                </w:tcPr>
                <w:p w14:paraId="2C4702C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26.89</w:t>
                  </w:r>
                </w:p>
              </w:tc>
            </w:tr>
            <w:tr w14:paraId="6E2520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57B8AB43">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42</w:t>
                  </w:r>
                </w:p>
              </w:tc>
              <w:tc>
                <w:tcPr>
                  <w:tcW w:w="1828" w:type="dxa"/>
                  <w:vMerge w:val="continue"/>
                  <w:noWrap w:val="0"/>
                  <w:vAlign w:val="center"/>
                </w:tcPr>
                <w:p w14:paraId="46676AF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24E0F4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-406.22</w:t>
                  </w:r>
                </w:p>
              </w:tc>
              <w:tc>
                <w:tcPr>
                  <w:tcW w:w="1792" w:type="dxa"/>
                  <w:noWrap w:val="0"/>
                  <w:vAlign w:val="center"/>
                </w:tcPr>
                <w:p w14:paraId="491FA09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455.75</w:t>
                  </w:r>
                </w:p>
              </w:tc>
              <w:tc>
                <w:tcPr>
                  <w:tcW w:w="1733" w:type="dxa"/>
                  <w:noWrap w:val="0"/>
                  <w:vAlign w:val="center"/>
                </w:tcPr>
                <w:p w14:paraId="039B4C2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26.55</w:t>
                  </w:r>
                </w:p>
              </w:tc>
            </w:tr>
            <w:tr w14:paraId="318C77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68D8E8D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43</w:t>
                  </w:r>
                </w:p>
              </w:tc>
              <w:tc>
                <w:tcPr>
                  <w:tcW w:w="1828" w:type="dxa"/>
                  <w:vMerge w:val="continue"/>
                  <w:noWrap w:val="0"/>
                  <w:vAlign w:val="center"/>
                </w:tcPr>
                <w:p w14:paraId="0293B16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318757A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-409.21</w:t>
                  </w:r>
                </w:p>
              </w:tc>
              <w:tc>
                <w:tcPr>
                  <w:tcW w:w="1792" w:type="dxa"/>
                  <w:noWrap w:val="0"/>
                  <w:vAlign w:val="center"/>
                </w:tcPr>
                <w:p w14:paraId="3766F3B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465.30</w:t>
                  </w:r>
                </w:p>
              </w:tc>
              <w:tc>
                <w:tcPr>
                  <w:tcW w:w="1733" w:type="dxa"/>
                  <w:noWrap w:val="0"/>
                  <w:vAlign w:val="center"/>
                </w:tcPr>
                <w:p w14:paraId="751FE88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26.26</w:t>
                  </w:r>
                </w:p>
              </w:tc>
            </w:tr>
            <w:tr w14:paraId="5FF64D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64B243C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44</w:t>
                  </w:r>
                </w:p>
              </w:tc>
              <w:tc>
                <w:tcPr>
                  <w:tcW w:w="1828" w:type="dxa"/>
                  <w:vMerge w:val="continue"/>
                  <w:noWrap w:val="0"/>
                  <w:vAlign w:val="center"/>
                </w:tcPr>
                <w:p w14:paraId="433EDF3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F18DB4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-412.19</w:t>
                  </w:r>
                </w:p>
              </w:tc>
              <w:tc>
                <w:tcPr>
                  <w:tcW w:w="1792" w:type="dxa"/>
                  <w:noWrap w:val="0"/>
                  <w:vAlign w:val="center"/>
                </w:tcPr>
                <w:p w14:paraId="170ED08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474.84</w:t>
                  </w:r>
                </w:p>
              </w:tc>
              <w:tc>
                <w:tcPr>
                  <w:tcW w:w="1733" w:type="dxa"/>
                  <w:noWrap w:val="0"/>
                  <w:vAlign w:val="center"/>
                </w:tcPr>
                <w:p w14:paraId="449C7FD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26.01</w:t>
                  </w:r>
                </w:p>
              </w:tc>
            </w:tr>
            <w:tr w14:paraId="63EF79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72A7796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45</w:t>
                  </w:r>
                </w:p>
              </w:tc>
              <w:tc>
                <w:tcPr>
                  <w:tcW w:w="1828" w:type="dxa"/>
                  <w:vMerge w:val="continue"/>
                  <w:noWrap w:val="0"/>
                  <w:vAlign w:val="center"/>
                </w:tcPr>
                <w:p w14:paraId="57B9D16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3CD984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-415.17</w:t>
                  </w:r>
                </w:p>
              </w:tc>
              <w:tc>
                <w:tcPr>
                  <w:tcW w:w="1792" w:type="dxa"/>
                  <w:noWrap w:val="0"/>
                  <w:vAlign w:val="center"/>
                </w:tcPr>
                <w:p w14:paraId="569C0FF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484.39</w:t>
                  </w:r>
                </w:p>
              </w:tc>
              <w:tc>
                <w:tcPr>
                  <w:tcW w:w="1733" w:type="dxa"/>
                  <w:noWrap w:val="0"/>
                  <w:vAlign w:val="center"/>
                </w:tcPr>
                <w:p w14:paraId="61C18A4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25.77</w:t>
                  </w:r>
                </w:p>
              </w:tc>
            </w:tr>
            <w:tr w14:paraId="2565C8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7416CC8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46</w:t>
                  </w:r>
                </w:p>
              </w:tc>
              <w:tc>
                <w:tcPr>
                  <w:tcW w:w="1828" w:type="dxa"/>
                  <w:vMerge w:val="continue"/>
                  <w:noWrap w:val="0"/>
                  <w:vAlign w:val="center"/>
                </w:tcPr>
                <w:p w14:paraId="3408FCB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5C7249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-418.16</w:t>
                  </w:r>
                </w:p>
              </w:tc>
              <w:tc>
                <w:tcPr>
                  <w:tcW w:w="1792" w:type="dxa"/>
                  <w:noWrap w:val="0"/>
                  <w:vAlign w:val="center"/>
                </w:tcPr>
                <w:p w14:paraId="7159C47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493.93</w:t>
                  </w:r>
                </w:p>
              </w:tc>
              <w:tc>
                <w:tcPr>
                  <w:tcW w:w="1733" w:type="dxa"/>
                  <w:noWrap w:val="0"/>
                  <w:vAlign w:val="center"/>
                </w:tcPr>
                <w:p w14:paraId="02F3225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25.54</w:t>
                  </w:r>
                </w:p>
              </w:tc>
            </w:tr>
            <w:tr w14:paraId="497A1D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6841EA0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47</w:t>
                  </w:r>
                </w:p>
              </w:tc>
              <w:tc>
                <w:tcPr>
                  <w:tcW w:w="1828" w:type="dxa"/>
                  <w:vMerge w:val="continue"/>
                  <w:noWrap w:val="0"/>
                  <w:vAlign w:val="center"/>
                </w:tcPr>
                <w:p w14:paraId="600FEB2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F85A95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-421.14</w:t>
                  </w:r>
                </w:p>
              </w:tc>
              <w:tc>
                <w:tcPr>
                  <w:tcW w:w="1792" w:type="dxa"/>
                  <w:noWrap w:val="0"/>
                  <w:vAlign w:val="center"/>
                </w:tcPr>
                <w:p w14:paraId="4FFCFD8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503.48</w:t>
                  </w:r>
                </w:p>
              </w:tc>
              <w:tc>
                <w:tcPr>
                  <w:tcW w:w="1733" w:type="dxa"/>
                  <w:noWrap w:val="0"/>
                  <w:vAlign w:val="center"/>
                </w:tcPr>
                <w:p w14:paraId="35873C8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25.32</w:t>
                  </w:r>
                </w:p>
              </w:tc>
            </w:tr>
            <w:tr w14:paraId="1E6FAD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1685355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48</w:t>
                  </w:r>
                </w:p>
              </w:tc>
              <w:tc>
                <w:tcPr>
                  <w:tcW w:w="1828" w:type="dxa"/>
                  <w:vMerge w:val="continue"/>
                  <w:noWrap w:val="0"/>
                  <w:vAlign w:val="center"/>
                </w:tcPr>
                <w:p w14:paraId="6962FE0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1B4080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-423.63</w:t>
                  </w:r>
                </w:p>
              </w:tc>
              <w:tc>
                <w:tcPr>
                  <w:tcW w:w="1792" w:type="dxa"/>
                  <w:noWrap w:val="0"/>
                  <w:vAlign w:val="center"/>
                </w:tcPr>
                <w:p w14:paraId="5A26018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511.44</w:t>
                  </w:r>
                </w:p>
              </w:tc>
              <w:tc>
                <w:tcPr>
                  <w:tcW w:w="1733" w:type="dxa"/>
                  <w:noWrap w:val="0"/>
                  <w:vAlign w:val="center"/>
                </w:tcPr>
                <w:p w14:paraId="3E88C11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25.13</w:t>
                  </w:r>
                </w:p>
              </w:tc>
            </w:tr>
            <w:tr w14:paraId="7162A0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27CD341A">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49</w:t>
                  </w:r>
                </w:p>
              </w:tc>
              <w:tc>
                <w:tcPr>
                  <w:tcW w:w="1828" w:type="dxa"/>
                  <w:vMerge w:val="continue"/>
                  <w:noWrap w:val="0"/>
                  <w:vAlign w:val="center"/>
                </w:tcPr>
                <w:p w14:paraId="748EF02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44AC3F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-433.43</w:t>
                  </w:r>
                </w:p>
              </w:tc>
              <w:tc>
                <w:tcPr>
                  <w:tcW w:w="1792" w:type="dxa"/>
                  <w:noWrap w:val="0"/>
                  <w:vAlign w:val="center"/>
                </w:tcPr>
                <w:p w14:paraId="79B73EA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513.43</w:t>
                  </w:r>
                </w:p>
              </w:tc>
              <w:tc>
                <w:tcPr>
                  <w:tcW w:w="1733" w:type="dxa"/>
                  <w:noWrap w:val="0"/>
                  <w:vAlign w:val="center"/>
                </w:tcPr>
                <w:p w14:paraId="2962EF4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24.68</w:t>
                  </w:r>
                </w:p>
              </w:tc>
            </w:tr>
            <w:tr w14:paraId="183D3C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1F20B87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50</w:t>
                  </w:r>
                </w:p>
              </w:tc>
              <w:tc>
                <w:tcPr>
                  <w:tcW w:w="1828" w:type="dxa"/>
                  <w:vMerge w:val="continue"/>
                  <w:noWrap w:val="0"/>
                  <w:vAlign w:val="center"/>
                </w:tcPr>
                <w:p w14:paraId="6F3F16A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1AAFD1A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-443.23</w:t>
                  </w:r>
                </w:p>
              </w:tc>
              <w:tc>
                <w:tcPr>
                  <w:tcW w:w="1792" w:type="dxa"/>
                  <w:noWrap w:val="0"/>
                  <w:vAlign w:val="center"/>
                </w:tcPr>
                <w:p w14:paraId="6A3B7DB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515.41</w:t>
                  </w:r>
                </w:p>
              </w:tc>
              <w:tc>
                <w:tcPr>
                  <w:tcW w:w="1733" w:type="dxa"/>
                  <w:noWrap w:val="0"/>
                  <w:vAlign w:val="center"/>
                </w:tcPr>
                <w:p w14:paraId="0510D24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24.26</w:t>
                  </w:r>
                </w:p>
              </w:tc>
            </w:tr>
            <w:tr w14:paraId="3C9809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1148FC5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51</w:t>
                  </w:r>
                </w:p>
              </w:tc>
              <w:tc>
                <w:tcPr>
                  <w:tcW w:w="1828" w:type="dxa"/>
                  <w:vMerge w:val="continue"/>
                  <w:noWrap w:val="0"/>
                  <w:vAlign w:val="center"/>
                </w:tcPr>
                <w:p w14:paraId="7A79687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87D427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-453.03</w:t>
                  </w:r>
                </w:p>
              </w:tc>
              <w:tc>
                <w:tcPr>
                  <w:tcW w:w="1792" w:type="dxa"/>
                  <w:noWrap w:val="0"/>
                  <w:vAlign w:val="center"/>
                </w:tcPr>
                <w:p w14:paraId="2230CAB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517.40</w:t>
                  </w:r>
                </w:p>
              </w:tc>
              <w:tc>
                <w:tcPr>
                  <w:tcW w:w="1733" w:type="dxa"/>
                  <w:noWrap w:val="0"/>
                  <w:vAlign w:val="center"/>
                </w:tcPr>
                <w:p w14:paraId="54C51F2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23.85</w:t>
                  </w:r>
                </w:p>
              </w:tc>
            </w:tr>
            <w:tr w14:paraId="6C9136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79" w:hRule="atLeast"/>
                <w:jc w:val="center"/>
              </w:trPr>
              <w:tc>
                <w:tcPr>
                  <w:tcW w:w="752" w:type="dxa"/>
                  <w:noWrap w:val="0"/>
                  <w:vAlign w:val="center"/>
                </w:tcPr>
                <w:p w14:paraId="20D49CB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52</w:t>
                  </w:r>
                </w:p>
              </w:tc>
              <w:tc>
                <w:tcPr>
                  <w:tcW w:w="1828" w:type="dxa"/>
                  <w:vMerge w:val="continue"/>
                  <w:noWrap w:val="0"/>
                  <w:vAlign w:val="center"/>
                </w:tcPr>
                <w:p w14:paraId="2FD115D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E73C0E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-462.83</w:t>
                  </w:r>
                </w:p>
              </w:tc>
              <w:tc>
                <w:tcPr>
                  <w:tcW w:w="1792" w:type="dxa"/>
                  <w:noWrap w:val="0"/>
                  <w:vAlign w:val="center"/>
                </w:tcPr>
                <w:p w14:paraId="3EF195B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519.39</w:t>
                  </w:r>
                </w:p>
              </w:tc>
              <w:tc>
                <w:tcPr>
                  <w:tcW w:w="1733" w:type="dxa"/>
                  <w:noWrap w:val="0"/>
                  <w:vAlign w:val="center"/>
                </w:tcPr>
                <w:p w14:paraId="203547E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23.47</w:t>
                  </w:r>
                </w:p>
              </w:tc>
            </w:tr>
            <w:tr w14:paraId="2F036A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77E52984">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53</w:t>
                  </w:r>
                </w:p>
              </w:tc>
              <w:tc>
                <w:tcPr>
                  <w:tcW w:w="1828" w:type="dxa"/>
                  <w:vMerge w:val="continue"/>
                  <w:noWrap w:val="0"/>
                  <w:vAlign w:val="center"/>
                </w:tcPr>
                <w:p w14:paraId="7E8FBD26">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23F1729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-472.63</w:t>
                  </w:r>
                </w:p>
              </w:tc>
              <w:tc>
                <w:tcPr>
                  <w:tcW w:w="1792" w:type="dxa"/>
                  <w:noWrap w:val="0"/>
                  <w:vAlign w:val="center"/>
                </w:tcPr>
                <w:p w14:paraId="761A380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521.38</w:t>
                  </w:r>
                </w:p>
              </w:tc>
              <w:tc>
                <w:tcPr>
                  <w:tcW w:w="1733" w:type="dxa"/>
                  <w:noWrap w:val="0"/>
                  <w:vAlign w:val="center"/>
                </w:tcPr>
                <w:p w14:paraId="3C10E6A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23.05</w:t>
                  </w:r>
                </w:p>
              </w:tc>
            </w:tr>
            <w:tr w14:paraId="5693FB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27941DA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54</w:t>
                  </w:r>
                </w:p>
              </w:tc>
              <w:tc>
                <w:tcPr>
                  <w:tcW w:w="1828" w:type="dxa"/>
                  <w:vMerge w:val="continue"/>
                  <w:noWrap w:val="0"/>
                  <w:vAlign w:val="center"/>
                </w:tcPr>
                <w:p w14:paraId="430626E0">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BA9A25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-482.43</w:t>
                  </w:r>
                </w:p>
              </w:tc>
              <w:tc>
                <w:tcPr>
                  <w:tcW w:w="1792" w:type="dxa"/>
                  <w:noWrap w:val="0"/>
                  <w:vAlign w:val="center"/>
                </w:tcPr>
                <w:p w14:paraId="1AB9194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523.36</w:t>
                  </w:r>
                </w:p>
              </w:tc>
              <w:tc>
                <w:tcPr>
                  <w:tcW w:w="1733" w:type="dxa"/>
                  <w:noWrap w:val="0"/>
                  <w:vAlign w:val="center"/>
                </w:tcPr>
                <w:p w14:paraId="5F5BFB4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22.70</w:t>
                  </w:r>
                </w:p>
              </w:tc>
            </w:tr>
            <w:tr w14:paraId="7006B1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6E14EEB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55</w:t>
                  </w:r>
                </w:p>
              </w:tc>
              <w:tc>
                <w:tcPr>
                  <w:tcW w:w="1828" w:type="dxa"/>
                  <w:vMerge w:val="continue"/>
                  <w:noWrap w:val="0"/>
                  <w:vAlign w:val="center"/>
                </w:tcPr>
                <w:p w14:paraId="4FD70F0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4D9A5EB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-492.23</w:t>
                  </w:r>
                </w:p>
              </w:tc>
              <w:tc>
                <w:tcPr>
                  <w:tcW w:w="1792" w:type="dxa"/>
                  <w:noWrap w:val="0"/>
                  <w:vAlign w:val="center"/>
                </w:tcPr>
                <w:p w14:paraId="1370A1E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525.35</w:t>
                  </w:r>
                </w:p>
              </w:tc>
              <w:tc>
                <w:tcPr>
                  <w:tcW w:w="1733" w:type="dxa"/>
                  <w:noWrap w:val="0"/>
                  <w:vAlign w:val="center"/>
                </w:tcPr>
                <w:p w14:paraId="3CEC3F2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22.36</w:t>
                  </w:r>
                </w:p>
              </w:tc>
            </w:tr>
            <w:tr w14:paraId="2C4938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04E2291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56</w:t>
                  </w:r>
                </w:p>
              </w:tc>
              <w:tc>
                <w:tcPr>
                  <w:tcW w:w="1828" w:type="dxa"/>
                  <w:vMerge w:val="continue"/>
                  <w:noWrap w:val="0"/>
                  <w:vAlign w:val="center"/>
                </w:tcPr>
                <w:p w14:paraId="1B531E37">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66E02EB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-502.03</w:t>
                  </w:r>
                </w:p>
              </w:tc>
              <w:tc>
                <w:tcPr>
                  <w:tcW w:w="1792" w:type="dxa"/>
                  <w:noWrap w:val="0"/>
                  <w:vAlign w:val="center"/>
                </w:tcPr>
                <w:p w14:paraId="165372B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527.34</w:t>
                  </w:r>
                </w:p>
              </w:tc>
              <w:tc>
                <w:tcPr>
                  <w:tcW w:w="1733" w:type="dxa"/>
                  <w:noWrap w:val="0"/>
                  <w:vAlign w:val="center"/>
                </w:tcPr>
                <w:p w14:paraId="58B5C49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22.03</w:t>
                  </w:r>
                </w:p>
              </w:tc>
            </w:tr>
            <w:tr w14:paraId="50B0FD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430BF96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57</w:t>
                  </w:r>
                </w:p>
              </w:tc>
              <w:tc>
                <w:tcPr>
                  <w:tcW w:w="1828" w:type="dxa"/>
                  <w:vMerge w:val="continue"/>
                  <w:noWrap w:val="0"/>
                  <w:vAlign w:val="center"/>
                </w:tcPr>
                <w:p w14:paraId="46787C3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65CACB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-511.84</w:t>
                  </w:r>
                </w:p>
              </w:tc>
              <w:tc>
                <w:tcPr>
                  <w:tcW w:w="1792" w:type="dxa"/>
                  <w:noWrap w:val="0"/>
                  <w:vAlign w:val="center"/>
                </w:tcPr>
                <w:p w14:paraId="1378548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529.32</w:t>
                  </w:r>
                </w:p>
              </w:tc>
              <w:tc>
                <w:tcPr>
                  <w:tcW w:w="1733" w:type="dxa"/>
                  <w:noWrap w:val="0"/>
                  <w:vAlign w:val="center"/>
                </w:tcPr>
                <w:p w14:paraId="2EDF51B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21.71</w:t>
                  </w:r>
                </w:p>
              </w:tc>
            </w:tr>
            <w:tr w14:paraId="4A276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79" w:hRule="atLeast"/>
                <w:jc w:val="center"/>
              </w:trPr>
              <w:tc>
                <w:tcPr>
                  <w:tcW w:w="752" w:type="dxa"/>
                  <w:noWrap w:val="0"/>
                  <w:vAlign w:val="center"/>
                </w:tcPr>
                <w:p w14:paraId="1AF5FA2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58</w:t>
                  </w:r>
                </w:p>
              </w:tc>
              <w:tc>
                <w:tcPr>
                  <w:tcW w:w="1828" w:type="dxa"/>
                  <w:vMerge w:val="continue"/>
                  <w:noWrap w:val="0"/>
                  <w:vAlign w:val="center"/>
                </w:tcPr>
                <w:p w14:paraId="015AEAC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7CFABFD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-521.64</w:t>
                  </w:r>
                </w:p>
              </w:tc>
              <w:tc>
                <w:tcPr>
                  <w:tcW w:w="1792" w:type="dxa"/>
                  <w:noWrap w:val="0"/>
                  <w:vAlign w:val="center"/>
                </w:tcPr>
                <w:p w14:paraId="49C2883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531.31</w:t>
                  </w:r>
                </w:p>
              </w:tc>
              <w:tc>
                <w:tcPr>
                  <w:tcW w:w="1733" w:type="dxa"/>
                  <w:noWrap w:val="0"/>
                  <w:vAlign w:val="center"/>
                </w:tcPr>
                <w:p w14:paraId="0CCF355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21.40</w:t>
                  </w:r>
                </w:p>
              </w:tc>
            </w:tr>
            <w:tr w14:paraId="56DA91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52" w:type="dxa"/>
                  <w:noWrap w:val="0"/>
                  <w:vAlign w:val="center"/>
                </w:tcPr>
                <w:p w14:paraId="2D06606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59</w:t>
                  </w:r>
                </w:p>
              </w:tc>
              <w:tc>
                <w:tcPr>
                  <w:tcW w:w="1828" w:type="dxa"/>
                  <w:vMerge w:val="continue"/>
                  <w:noWrap w:val="0"/>
                  <w:vAlign w:val="center"/>
                </w:tcPr>
                <w:p w14:paraId="42B1C60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692" w:type="dxa"/>
                  <w:noWrap w:val="0"/>
                  <w:vAlign w:val="center"/>
                </w:tcPr>
                <w:p w14:paraId="580FE1E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-524.19</w:t>
                  </w:r>
                </w:p>
              </w:tc>
              <w:tc>
                <w:tcPr>
                  <w:tcW w:w="1792" w:type="dxa"/>
                  <w:noWrap w:val="0"/>
                  <w:vAlign w:val="center"/>
                </w:tcPr>
                <w:p w14:paraId="37AC926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531.83</w:t>
                  </w:r>
                </w:p>
              </w:tc>
              <w:tc>
                <w:tcPr>
                  <w:tcW w:w="1733" w:type="dxa"/>
                  <w:noWrap w:val="0"/>
                  <w:vAlign w:val="center"/>
                </w:tcPr>
                <w:p w14:paraId="34A7BE8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21.32</w:t>
                  </w:r>
                  <w:bookmarkEnd w:id="42"/>
                </w:p>
              </w:tc>
            </w:tr>
            <w:tr w14:paraId="250FBC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52" w:type="dxa"/>
                  <w:vMerge w:val="restart"/>
                  <w:noWrap w:val="0"/>
                  <w:vAlign w:val="center"/>
                </w:tcPr>
                <w:p w14:paraId="73A2910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标准值</w:t>
                  </w:r>
                </w:p>
              </w:tc>
              <w:tc>
                <w:tcPr>
                  <w:tcW w:w="1828" w:type="dxa"/>
                  <w:noWrap w:val="0"/>
                  <w:vAlign w:val="center"/>
                </w:tcPr>
                <w:p w14:paraId="7CCCE59F">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昼间</w:t>
                  </w:r>
                </w:p>
              </w:tc>
              <w:tc>
                <w:tcPr>
                  <w:tcW w:w="5217" w:type="dxa"/>
                  <w:gridSpan w:val="3"/>
                  <w:noWrap w:val="0"/>
                  <w:vAlign w:val="center"/>
                </w:tcPr>
                <w:p w14:paraId="62D00501">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65</w:t>
                  </w:r>
                </w:p>
              </w:tc>
            </w:tr>
            <w:tr w14:paraId="6452DC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52" w:type="dxa"/>
                  <w:vMerge w:val="continue"/>
                  <w:noWrap w:val="0"/>
                  <w:vAlign w:val="center"/>
                </w:tcPr>
                <w:p w14:paraId="61FFCE5E">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828" w:type="dxa"/>
                  <w:noWrap w:val="0"/>
                  <w:vAlign w:val="center"/>
                </w:tcPr>
                <w:p w14:paraId="70C3AA62">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夜间</w:t>
                  </w:r>
                </w:p>
              </w:tc>
              <w:tc>
                <w:tcPr>
                  <w:tcW w:w="5217" w:type="dxa"/>
                  <w:gridSpan w:val="3"/>
                  <w:noWrap w:val="0"/>
                  <w:vAlign w:val="center"/>
                </w:tcPr>
                <w:p w14:paraId="4E7A2BE5">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55</w:t>
                  </w:r>
                </w:p>
              </w:tc>
            </w:tr>
            <w:tr w14:paraId="2B6B3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52" w:type="dxa"/>
                  <w:vMerge w:val="restart"/>
                  <w:noWrap w:val="0"/>
                  <w:vAlign w:val="center"/>
                </w:tcPr>
                <w:p w14:paraId="3A04D5FD">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预测结果</w:t>
                  </w:r>
                </w:p>
              </w:tc>
              <w:tc>
                <w:tcPr>
                  <w:tcW w:w="1828" w:type="dxa"/>
                  <w:noWrap w:val="0"/>
                  <w:vAlign w:val="center"/>
                </w:tcPr>
                <w:p w14:paraId="68902299">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昼间</w:t>
                  </w:r>
                </w:p>
              </w:tc>
              <w:tc>
                <w:tcPr>
                  <w:tcW w:w="5217" w:type="dxa"/>
                  <w:gridSpan w:val="3"/>
                  <w:noWrap w:val="0"/>
                  <w:vAlign w:val="center"/>
                </w:tcPr>
                <w:p w14:paraId="4BC77FE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65</w:t>
                  </w:r>
                </w:p>
              </w:tc>
            </w:tr>
            <w:tr w14:paraId="054E79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jc w:val="center"/>
              </w:trPr>
              <w:tc>
                <w:tcPr>
                  <w:tcW w:w="752" w:type="dxa"/>
                  <w:vMerge w:val="continue"/>
                  <w:noWrap w:val="0"/>
                  <w:vAlign w:val="center"/>
                </w:tcPr>
                <w:p w14:paraId="030C7F3C">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1828" w:type="dxa"/>
                  <w:noWrap w:val="0"/>
                  <w:vAlign w:val="center"/>
                </w:tcPr>
                <w:p w14:paraId="65BF6B18">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夜间</w:t>
                  </w:r>
                </w:p>
              </w:tc>
              <w:tc>
                <w:tcPr>
                  <w:tcW w:w="5217" w:type="dxa"/>
                  <w:gridSpan w:val="3"/>
                  <w:noWrap w:val="0"/>
                  <w:vAlign w:val="center"/>
                </w:tcPr>
                <w:p w14:paraId="5E3B859B">
                  <w:pPr>
                    <w:pStyle w:val="4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55</w:t>
                  </w:r>
                </w:p>
              </w:tc>
            </w:tr>
          </w:tbl>
          <w:p w14:paraId="7A07B1E5">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color w:val="auto"/>
                <w:sz w:val="24"/>
                <w:highlight w:val="none"/>
              </w:rPr>
            </w:pPr>
            <w:r>
              <w:rPr>
                <w:rFonts w:hint="eastAsia" w:eastAsia="宋体"/>
                <w:color w:val="auto"/>
                <w:sz w:val="24"/>
                <w:highlight w:val="none"/>
                <w:lang w:eastAsia="zh-CN"/>
              </w:rPr>
              <w:drawing>
                <wp:inline distT="0" distB="0" distL="114300" distR="114300">
                  <wp:extent cx="4559935" cy="3763010"/>
                  <wp:effectExtent l="0" t="0" r="12065" b="8890"/>
                  <wp:docPr id="4459" name="图片 85" descr="d:/Users/Administrator/Desktop/噪声预测等值线图.png噪声预测等值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 name="图片 85" descr="d:/Users/Administrator/Desktop/噪声预测等值线图.png噪声预测等值线图"/>
                          <pic:cNvPicPr>
                            <a:picLocks noChangeAspect="1"/>
                          </pic:cNvPicPr>
                        </pic:nvPicPr>
                        <pic:blipFill>
                          <a:blip r:embed="rId33"/>
                          <a:srcRect l="5371" r="5371"/>
                          <a:stretch>
                            <a:fillRect/>
                          </a:stretch>
                        </pic:blipFill>
                        <pic:spPr>
                          <a:xfrm>
                            <a:off x="0" y="0"/>
                            <a:ext cx="4559935" cy="3763010"/>
                          </a:xfrm>
                          <a:prstGeom prst="rect">
                            <a:avLst/>
                          </a:prstGeom>
                        </pic:spPr>
                      </pic:pic>
                    </a:graphicData>
                  </a:graphic>
                </wp:inline>
              </w:drawing>
            </w:r>
          </w:p>
          <w:p w14:paraId="0FF94403">
            <w:pPr>
              <w:pStyle w:val="15"/>
              <w:keepNext w:val="0"/>
              <w:keepLines w:val="0"/>
              <w:pageBreakBefore w:val="0"/>
              <w:widowControl w:val="0"/>
              <w:kinsoku/>
              <w:wordWrap/>
              <w:overflowPunct/>
              <w:topLinePunct w:val="0"/>
              <w:autoSpaceDE/>
              <w:autoSpaceDN/>
              <w:bidi w:val="0"/>
              <w:adjustRightInd/>
              <w:snapToGrid w:val="0"/>
              <w:spacing w:line="240" w:lineRule="auto"/>
              <w:ind w:left="422" w:leftChars="0" w:hanging="422" w:hangingChars="20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eastAsia="zh-CN"/>
              </w:rPr>
              <w:t>图</w:t>
            </w:r>
            <w:r>
              <w:rPr>
                <w:rFonts w:hint="eastAsia"/>
                <w:b/>
                <w:bCs/>
                <w:color w:val="auto"/>
                <w:sz w:val="21"/>
                <w:szCs w:val="21"/>
                <w:highlight w:val="none"/>
                <w:lang w:val="en-US" w:eastAsia="zh-CN"/>
              </w:rPr>
              <w:t>4-3  项目噪声预测结果等值线图</w:t>
            </w:r>
          </w:p>
          <w:p w14:paraId="11A69E22">
            <w:pPr>
              <w:keepNext w:val="0"/>
              <w:keepLines w:val="0"/>
              <w:pageBreakBefore w:val="0"/>
              <w:widowControl w:val="0"/>
              <w:kinsoku/>
              <w:wordWrap/>
              <w:overflowPunct/>
              <w:topLinePunct w:val="0"/>
              <w:autoSpaceDE/>
              <w:autoSpaceDN/>
              <w:bidi w:val="0"/>
              <w:adjustRightInd/>
              <w:snapToGrid w:val="0"/>
              <w:spacing w:before="95" w:beforeLines="30" w:line="360" w:lineRule="auto"/>
              <w:ind w:firstLine="480" w:firstLineChars="200"/>
              <w:textAlignment w:val="auto"/>
              <w:rPr>
                <w:rFonts w:hint="default" w:ascii="Times New Roman" w:hAnsi="Times New Roman" w:eastAsia="宋体" w:cs="Times New Roman"/>
                <w:color w:val="auto"/>
                <w:position w:val="-6"/>
                <w:sz w:val="24"/>
                <w:highlight w:val="none"/>
              </w:rPr>
            </w:pPr>
            <w:r>
              <w:rPr>
                <w:rFonts w:hint="default" w:ascii="Times New Roman" w:hAnsi="Times New Roman" w:eastAsia="宋体" w:cs="Times New Roman"/>
                <w:color w:val="auto"/>
                <w:position w:val="-6"/>
                <w:sz w:val="24"/>
                <w:highlight w:val="none"/>
              </w:rPr>
              <w:t>通过预测模型计算，项目厂界噪声预测结果与达标分析见表4-</w:t>
            </w:r>
            <w:r>
              <w:rPr>
                <w:rFonts w:hint="eastAsia" w:cs="Times New Roman"/>
                <w:color w:val="auto"/>
                <w:position w:val="-6"/>
                <w:sz w:val="24"/>
                <w:highlight w:val="none"/>
                <w:lang w:val="en-US" w:eastAsia="zh-CN"/>
              </w:rPr>
              <w:t>14</w:t>
            </w:r>
            <w:r>
              <w:rPr>
                <w:rFonts w:hint="default" w:ascii="Times New Roman" w:hAnsi="Times New Roman" w:eastAsia="宋体" w:cs="Times New Roman"/>
                <w:color w:val="auto"/>
                <w:position w:val="-6"/>
                <w:sz w:val="24"/>
                <w:highlight w:val="none"/>
              </w:rPr>
              <w:t>。</w:t>
            </w:r>
          </w:p>
          <w:p w14:paraId="4D1DD6D5">
            <w:pPr>
              <w:pStyle w:val="52"/>
              <w:keepNext w:val="0"/>
              <w:keepLines w:val="0"/>
              <w:pageBreakBefore w:val="0"/>
              <w:widowControl w:val="0"/>
              <w:kinsoku/>
              <w:wordWrap/>
              <w:overflowPunct/>
              <w:topLinePunct w:val="0"/>
              <w:autoSpaceDE/>
              <w:autoSpaceDN/>
              <w:bidi w:val="0"/>
              <w:adjustRightInd/>
              <w:snapToGrid w:val="0"/>
              <w:spacing w:before="0" w:after="0"/>
              <w:ind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表4-</w:t>
            </w:r>
            <w:r>
              <w:rPr>
                <w:rFonts w:hint="eastAsia"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 xml:space="preserve"> 厂界噪声预测结果与达标分析表</w:t>
            </w:r>
          </w:p>
          <w:tbl>
            <w:tblPr>
              <w:tblStyle w:val="19"/>
              <w:tblW w:w="86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930"/>
              <w:gridCol w:w="1259"/>
              <w:gridCol w:w="1095"/>
              <w:gridCol w:w="1156"/>
              <w:gridCol w:w="1110"/>
              <w:gridCol w:w="960"/>
              <w:gridCol w:w="1107"/>
            </w:tblGrid>
            <w:tr w14:paraId="0B9C55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599" w:type="pct"/>
                  <w:vMerge w:val="restart"/>
                  <w:tcBorders>
                    <w:tl2br w:val="nil"/>
                    <w:tr2bl w:val="nil"/>
                  </w:tcBorders>
                  <w:shd w:val="clear" w:color="auto" w:fill="auto"/>
                  <w:vAlign w:val="center"/>
                </w:tcPr>
                <w:p w14:paraId="47495E0D">
                  <w:pPr>
                    <w:pStyle w:val="52"/>
                    <w:keepNext w:val="0"/>
                    <w:keepLines w:val="0"/>
                    <w:pageBreakBefore w:val="0"/>
                    <w:kinsoku/>
                    <w:wordWrap/>
                    <w:overflowPunct/>
                    <w:topLinePunct w:val="0"/>
                    <w:autoSpaceDE/>
                    <w:autoSpaceDN/>
                    <w:bidi w:val="0"/>
                    <w:adjustRightInd/>
                    <w:snapToGrid w:val="0"/>
                    <w:spacing w:before="0" w:after="0"/>
                    <w:ind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预测方位</w:t>
                  </w:r>
                </w:p>
              </w:tc>
              <w:tc>
                <w:tcPr>
                  <w:tcW w:w="537" w:type="pct"/>
                  <w:vMerge w:val="restart"/>
                  <w:tcBorders>
                    <w:tl2br w:val="nil"/>
                    <w:tr2bl w:val="nil"/>
                  </w:tcBorders>
                  <w:shd w:val="clear" w:color="auto" w:fill="auto"/>
                  <w:vAlign w:val="center"/>
                </w:tcPr>
                <w:p w14:paraId="62F0F6F7">
                  <w:pPr>
                    <w:pStyle w:val="52"/>
                    <w:keepNext w:val="0"/>
                    <w:keepLines w:val="0"/>
                    <w:pageBreakBefore w:val="0"/>
                    <w:kinsoku/>
                    <w:wordWrap/>
                    <w:overflowPunct/>
                    <w:topLinePunct w:val="0"/>
                    <w:autoSpaceDE/>
                    <w:autoSpaceDN/>
                    <w:bidi w:val="0"/>
                    <w:adjustRightInd/>
                    <w:snapToGrid w:val="0"/>
                    <w:spacing w:before="0" w:after="0"/>
                    <w:ind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时段</w:t>
                  </w:r>
                </w:p>
              </w:tc>
              <w:tc>
                <w:tcPr>
                  <w:tcW w:w="727" w:type="pct"/>
                  <w:vMerge w:val="restart"/>
                  <w:tcBorders>
                    <w:tl2br w:val="nil"/>
                    <w:tr2bl w:val="nil"/>
                  </w:tcBorders>
                  <w:shd w:val="clear" w:color="auto" w:fill="auto"/>
                  <w:vAlign w:val="center"/>
                </w:tcPr>
                <w:p w14:paraId="64CAA74B">
                  <w:pPr>
                    <w:pStyle w:val="52"/>
                    <w:keepNext w:val="0"/>
                    <w:keepLines w:val="0"/>
                    <w:pageBreakBefore w:val="0"/>
                    <w:kinsoku/>
                    <w:wordWrap/>
                    <w:overflowPunct/>
                    <w:topLinePunct w:val="0"/>
                    <w:autoSpaceDE/>
                    <w:autoSpaceDN/>
                    <w:bidi w:val="0"/>
                    <w:adjustRightInd/>
                    <w:snapToGrid w:val="0"/>
                    <w:spacing w:before="0" w:after="0"/>
                    <w:ind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新增设备</w:t>
                  </w:r>
                  <w:r>
                    <w:rPr>
                      <w:rFonts w:hint="default" w:ascii="Times New Roman" w:hAnsi="Times New Roman" w:eastAsia="宋体" w:cs="Times New Roman"/>
                      <w:color w:val="auto"/>
                      <w:sz w:val="18"/>
                      <w:szCs w:val="18"/>
                      <w:highlight w:val="none"/>
                    </w:rPr>
                    <w:t>贡献值dB(A)</w:t>
                  </w:r>
                </w:p>
              </w:tc>
              <w:tc>
                <w:tcPr>
                  <w:tcW w:w="632" w:type="pct"/>
                  <w:vMerge w:val="restart"/>
                  <w:tcBorders>
                    <w:tl2br w:val="nil"/>
                    <w:tr2bl w:val="nil"/>
                  </w:tcBorders>
                  <w:shd w:val="clear" w:color="auto" w:fill="auto"/>
                  <w:vAlign w:val="center"/>
                </w:tcPr>
                <w:p w14:paraId="3F17D0DF">
                  <w:pPr>
                    <w:pStyle w:val="52"/>
                    <w:keepNext w:val="0"/>
                    <w:keepLines w:val="0"/>
                    <w:pageBreakBefore w:val="0"/>
                    <w:kinsoku/>
                    <w:wordWrap/>
                    <w:overflowPunct/>
                    <w:topLinePunct w:val="0"/>
                    <w:autoSpaceDE/>
                    <w:autoSpaceDN/>
                    <w:bidi w:val="0"/>
                    <w:adjustRightInd/>
                    <w:snapToGrid w:val="0"/>
                    <w:spacing w:before="0" w:after="0"/>
                    <w:ind w:righ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噪声现状值</w:t>
                  </w:r>
                  <w:r>
                    <w:rPr>
                      <w:rFonts w:hint="default" w:ascii="Times New Roman" w:hAnsi="Times New Roman" w:eastAsia="宋体" w:cs="Times New Roman"/>
                      <w:color w:val="auto"/>
                      <w:sz w:val="18"/>
                      <w:szCs w:val="18"/>
                      <w:highlight w:val="none"/>
                    </w:rPr>
                    <w:t>dB(A)</w:t>
                  </w:r>
                </w:p>
              </w:tc>
              <w:tc>
                <w:tcPr>
                  <w:tcW w:w="667" w:type="pct"/>
                  <w:vMerge w:val="restart"/>
                  <w:tcBorders>
                    <w:tl2br w:val="nil"/>
                    <w:tr2bl w:val="nil"/>
                  </w:tcBorders>
                  <w:shd w:val="clear" w:color="auto" w:fill="auto"/>
                  <w:vAlign w:val="center"/>
                </w:tcPr>
                <w:p w14:paraId="6DB42DB0">
                  <w:pPr>
                    <w:pStyle w:val="52"/>
                    <w:keepNext w:val="0"/>
                    <w:keepLines w:val="0"/>
                    <w:pageBreakBefore w:val="0"/>
                    <w:kinsoku/>
                    <w:wordWrap/>
                    <w:overflowPunct/>
                    <w:topLinePunct w:val="0"/>
                    <w:autoSpaceDE/>
                    <w:autoSpaceDN/>
                    <w:bidi w:val="0"/>
                    <w:adjustRightInd/>
                    <w:snapToGrid w:val="0"/>
                    <w:spacing w:before="0" w:after="0"/>
                    <w:ind w:righ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噪声贡献值</w:t>
                  </w:r>
                  <w:r>
                    <w:rPr>
                      <w:rFonts w:hint="default" w:ascii="Times New Roman" w:hAnsi="Times New Roman" w:eastAsia="宋体" w:cs="Times New Roman"/>
                      <w:color w:val="auto"/>
                      <w:sz w:val="18"/>
                      <w:szCs w:val="18"/>
                      <w:highlight w:val="none"/>
                    </w:rPr>
                    <w:t>dB(A)</w:t>
                  </w:r>
                </w:p>
              </w:tc>
              <w:tc>
                <w:tcPr>
                  <w:tcW w:w="641" w:type="pct"/>
                  <w:vMerge w:val="restart"/>
                  <w:tcBorders>
                    <w:tl2br w:val="nil"/>
                    <w:tr2bl w:val="nil"/>
                  </w:tcBorders>
                  <w:shd w:val="clear" w:color="auto" w:fill="auto"/>
                  <w:vAlign w:val="center"/>
                </w:tcPr>
                <w:p w14:paraId="27B2E97C">
                  <w:pPr>
                    <w:pStyle w:val="52"/>
                    <w:keepNext w:val="0"/>
                    <w:keepLines w:val="0"/>
                    <w:pageBreakBefore w:val="0"/>
                    <w:kinsoku/>
                    <w:wordWrap/>
                    <w:overflowPunct/>
                    <w:topLinePunct w:val="0"/>
                    <w:autoSpaceDE/>
                    <w:autoSpaceDN/>
                    <w:bidi w:val="0"/>
                    <w:adjustRightInd/>
                    <w:snapToGrid w:val="0"/>
                    <w:spacing w:before="0" w:after="0"/>
                    <w:ind w:right="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较现状增量</w:t>
                  </w:r>
                  <w:r>
                    <w:rPr>
                      <w:rFonts w:hint="default" w:ascii="Times New Roman" w:hAnsi="Times New Roman" w:eastAsia="宋体" w:cs="Times New Roman"/>
                      <w:color w:val="auto"/>
                      <w:sz w:val="18"/>
                      <w:szCs w:val="18"/>
                      <w:highlight w:val="none"/>
                    </w:rPr>
                    <w:t>dB(A)</w:t>
                  </w:r>
                </w:p>
              </w:tc>
              <w:tc>
                <w:tcPr>
                  <w:tcW w:w="554" w:type="pct"/>
                  <w:vMerge w:val="restart"/>
                  <w:tcBorders>
                    <w:tl2br w:val="nil"/>
                    <w:tr2bl w:val="nil"/>
                  </w:tcBorders>
                  <w:shd w:val="clear" w:color="auto" w:fill="auto"/>
                  <w:vAlign w:val="center"/>
                </w:tcPr>
                <w:p w14:paraId="386834E0">
                  <w:pPr>
                    <w:pStyle w:val="52"/>
                    <w:keepNext w:val="0"/>
                    <w:keepLines w:val="0"/>
                    <w:pageBreakBefore w:val="0"/>
                    <w:kinsoku/>
                    <w:wordWrap/>
                    <w:overflowPunct/>
                    <w:topLinePunct w:val="0"/>
                    <w:autoSpaceDE/>
                    <w:autoSpaceDN/>
                    <w:bidi w:val="0"/>
                    <w:adjustRightInd/>
                    <w:snapToGrid w:val="0"/>
                    <w:spacing w:before="0" w:after="0"/>
                    <w:ind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标准限值dB(A)</w:t>
                  </w:r>
                </w:p>
              </w:tc>
              <w:tc>
                <w:tcPr>
                  <w:tcW w:w="639" w:type="pct"/>
                  <w:vMerge w:val="restart"/>
                  <w:tcBorders>
                    <w:tl2br w:val="nil"/>
                    <w:tr2bl w:val="nil"/>
                  </w:tcBorders>
                  <w:shd w:val="clear" w:color="auto" w:fill="auto"/>
                  <w:vAlign w:val="center"/>
                </w:tcPr>
                <w:p w14:paraId="746648E1">
                  <w:pPr>
                    <w:pStyle w:val="52"/>
                    <w:keepNext w:val="0"/>
                    <w:keepLines w:val="0"/>
                    <w:pageBreakBefore w:val="0"/>
                    <w:kinsoku/>
                    <w:wordWrap/>
                    <w:overflowPunct/>
                    <w:topLinePunct w:val="0"/>
                    <w:autoSpaceDE/>
                    <w:autoSpaceDN/>
                    <w:bidi w:val="0"/>
                    <w:adjustRightInd/>
                    <w:snapToGrid w:val="0"/>
                    <w:spacing w:before="0" w:after="0"/>
                    <w:ind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达标情况</w:t>
                  </w:r>
                </w:p>
              </w:tc>
            </w:tr>
            <w:tr w14:paraId="75E1A0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9" w:type="pct"/>
                  <w:vMerge w:val="continue"/>
                  <w:tcBorders>
                    <w:tl2br w:val="nil"/>
                    <w:tr2bl w:val="nil"/>
                  </w:tcBorders>
                  <w:shd w:val="clear" w:color="auto" w:fill="auto"/>
                  <w:vAlign w:val="center"/>
                </w:tcPr>
                <w:p w14:paraId="453E11C3">
                  <w:pPr>
                    <w:pStyle w:val="52"/>
                    <w:keepNext w:val="0"/>
                    <w:keepLines w:val="0"/>
                    <w:pageBreakBefore w:val="0"/>
                    <w:kinsoku/>
                    <w:wordWrap/>
                    <w:overflowPunct/>
                    <w:topLinePunct w:val="0"/>
                    <w:autoSpaceDE/>
                    <w:autoSpaceDN/>
                    <w:bidi w:val="0"/>
                    <w:adjustRightInd/>
                    <w:snapToGrid w:val="0"/>
                    <w:spacing w:before="0" w:after="0"/>
                    <w:ind w:right="0"/>
                    <w:textAlignment w:val="auto"/>
                    <w:rPr>
                      <w:rFonts w:hint="default" w:ascii="Times New Roman" w:hAnsi="Times New Roman" w:eastAsia="宋体" w:cs="Times New Roman"/>
                      <w:b w:val="0"/>
                      <w:bCs/>
                      <w:color w:val="auto"/>
                      <w:sz w:val="18"/>
                      <w:szCs w:val="18"/>
                      <w:highlight w:val="none"/>
                    </w:rPr>
                  </w:pPr>
                </w:p>
              </w:tc>
              <w:tc>
                <w:tcPr>
                  <w:tcW w:w="537" w:type="pct"/>
                  <w:vMerge w:val="continue"/>
                  <w:tcBorders>
                    <w:tl2br w:val="nil"/>
                    <w:tr2bl w:val="nil"/>
                  </w:tcBorders>
                  <w:shd w:val="clear" w:color="auto" w:fill="auto"/>
                  <w:vAlign w:val="center"/>
                </w:tcPr>
                <w:p w14:paraId="6A25B0E3">
                  <w:pPr>
                    <w:pStyle w:val="52"/>
                    <w:keepNext w:val="0"/>
                    <w:keepLines w:val="0"/>
                    <w:pageBreakBefore w:val="0"/>
                    <w:kinsoku/>
                    <w:wordWrap/>
                    <w:overflowPunct/>
                    <w:topLinePunct w:val="0"/>
                    <w:autoSpaceDE/>
                    <w:autoSpaceDN/>
                    <w:bidi w:val="0"/>
                    <w:adjustRightInd/>
                    <w:snapToGrid w:val="0"/>
                    <w:spacing w:before="0" w:after="0"/>
                    <w:ind w:right="0"/>
                    <w:textAlignment w:val="auto"/>
                    <w:rPr>
                      <w:rFonts w:hint="default" w:ascii="Times New Roman" w:hAnsi="Times New Roman" w:eastAsia="宋体" w:cs="Times New Roman"/>
                      <w:b w:val="0"/>
                      <w:bCs/>
                      <w:color w:val="auto"/>
                      <w:sz w:val="18"/>
                      <w:szCs w:val="18"/>
                      <w:highlight w:val="none"/>
                    </w:rPr>
                  </w:pPr>
                </w:p>
              </w:tc>
              <w:tc>
                <w:tcPr>
                  <w:tcW w:w="727" w:type="pct"/>
                  <w:vMerge w:val="continue"/>
                  <w:tcBorders>
                    <w:tl2br w:val="nil"/>
                    <w:tr2bl w:val="nil"/>
                  </w:tcBorders>
                  <w:shd w:val="clear" w:color="auto" w:fill="auto"/>
                  <w:vAlign w:val="center"/>
                </w:tcPr>
                <w:p w14:paraId="7676C1C5">
                  <w:pPr>
                    <w:pStyle w:val="52"/>
                    <w:keepNext w:val="0"/>
                    <w:keepLines w:val="0"/>
                    <w:pageBreakBefore w:val="0"/>
                    <w:kinsoku/>
                    <w:wordWrap/>
                    <w:overflowPunct/>
                    <w:topLinePunct w:val="0"/>
                    <w:autoSpaceDE/>
                    <w:autoSpaceDN/>
                    <w:bidi w:val="0"/>
                    <w:adjustRightInd/>
                    <w:snapToGrid w:val="0"/>
                    <w:spacing w:before="0" w:after="0"/>
                    <w:ind w:right="0"/>
                    <w:textAlignment w:val="auto"/>
                    <w:rPr>
                      <w:rFonts w:hint="default" w:ascii="Times New Roman" w:hAnsi="Times New Roman" w:eastAsia="宋体" w:cs="Times New Roman"/>
                      <w:b w:val="0"/>
                      <w:bCs/>
                      <w:color w:val="auto"/>
                      <w:sz w:val="18"/>
                      <w:szCs w:val="18"/>
                      <w:highlight w:val="none"/>
                    </w:rPr>
                  </w:pPr>
                </w:p>
              </w:tc>
              <w:tc>
                <w:tcPr>
                  <w:tcW w:w="632" w:type="pct"/>
                  <w:vMerge w:val="continue"/>
                  <w:tcBorders>
                    <w:tl2br w:val="nil"/>
                    <w:tr2bl w:val="nil"/>
                  </w:tcBorders>
                  <w:shd w:val="clear" w:color="auto" w:fill="auto"/>
                  <w:vAlign w:val="center"/>
                </w:tcPr>
                <w:p w14:paraId="7A49CF52">
                  <w:pPr>
                    <w:pStyle w:val="52"/>
                    <w:keepNext w:val="0"/>
                    <w:keepLines w:val="0"/>
                    <w:pageBreakBefore w:val="0"/>
                    <w:kinsoku/>
                    <w:wordWrap/>
                    <w:overflowPunct/>
                    <w:topLinePunct w:val="0"/>
                    <w:autoSpaceDE/>
                    <w:autoSpaceDN/>
                    <w:bidi w:val="0"/>
                    <w:adjustRightInd/>
                    <w:snapToGrid w:val="0"/>
                    <w:spacing w:before="0" w:after="0"/>
                    <w:ind w:right="0"/>
                    <w:textAlignment w:val="auto"/>
                    <w:rPr>
                      <w:rFonts w:hint="default" w:ascii="Times New Roman" w:hAnsi="Times New Roman" w:eastAsia="宋体" w:cs="Times New Roman"/>
                      <w:b w:val="0"/>
                      <w:bCs/>
                      <w:color w:val="auto"/>
                      <w:sz w:val="18"/>
                      <w:szCs w:val="18"/>
                      <w:highlight w:val="none"/>
                    </w:rPr>
                  </w:pPr>
                </w:p>
              </w:tc>
              <w:tc>
                <w:tcPr>
                  <w:tcW w:w="667" w:type="pct"/>
                  <w:vMerge w:val="continue"/>
                  <w:tcBorders>
                    <w:tl2br w:val="nil"/>
                    <w:tr2bl w:val="nil"/>
                  </w:tcBorders>
                  <w:shd w:val="clear" w:color="auto" w:fill="auto"/>
                  <w:vAlign w:val="center"/>
                </w:tcPr>
                <w:p w14:paraId="3FE8ECD6">
                  <w:pPr>
                    <w:pStyle w:val="52"/>
                    <w:keepNext w:val="0"/>
                    <w:keepLines w:val="0"/>
                    <w:pageBreakBefore w:val="0"/>
                    <w:kinsoku/>
                    <w:wordWrap/>
                    <w:overflowPunct/>
                    <w:topLinePunct w:val="0"/>
                    <w:autoSpaceDE/>
                    <w:autoSpaceDN/>
                    <w:bidi w:val="0"/>
                    <w:adjustRightInd/>
                    <w:snapToGrid w:val="0"/>
                    <w:spacing w:before="0" w:after="0"/>
                    <w:ind w:right="0"/>
                    <w:textAlignment w:val="auto"/>
                    <w:rPr>
                      <w:rFonts w:hint="default" w:ascii="Times New Roman" w:hAnsi="Times New Roman" w:eastAsia="宋体" w:cs="Times New Roman"/>
                      <w:b w:val="0"/>
                      <w:bCs/>
                      <w:color w:val="auto"/>
                      <w:sz w:val="18"/>
                      <w:szCs w:val="18"/>
                      <w:highlight w:val="none"/>
                    </w:rPr>
                  </w:pPr>
                </w:p>
              </w:tc>
              <w:tc>
                <w:tcPr>
                  <w:tcW w:w="641" w:type="pct"/>
                  <w:vMerge w:val="continue"/>
                  <w:tcBorders>
                    <w:tl2br w:val="nil"/>
                    <w:tr2bl w:val="nil"/>
                  </w:tcBorders>
                  <w:shd w:val="clear" w:color="auto" w:fill="auto"/>
                  <w:vAlign w:val="center"/>
                </w:tcPr>
                <w:p w14:paraId="7B00EC10">
                  <w:pPr>
                    <w:pStyle w:val="52"/>
                    <w:keepNext w:val="0"/>
                    <w:keepLines w:val="0"/>
                    <w:pageBreakBefore w:val="0"/>
                    <w:kinsoku/>
                    <w:wordWrap/>
                    <w:overflowPunct/>
                    <w:topLinePunct w:val="0"/>
                    <w:autoSpaceDE/>
                    <w:autoSpaceDN/>
                    <w:bidi w:val="0"/>
                    <w:adjustRightInd/>
                    <w:snapToGrid w:val="0"/>
                    <w:spacing w:before="0" w:after="0"/>
                    <w:ind w:right="0"/>
                    <w:textAlignment w:val="auto"/>
                    <w:rPr>
                      <w:rFonts w:hint="default" w:ascii="Times New Roman" w:hAnsi="Times New Roman" w:eastAsia="宋体" w:cs="Times New Roman"/>
                      <w:b w:val="0"/>
                      <w:bCs/>
                      <w:color w:val="auto"/>
                      <w:sz w:val="18"/>
                      <w:szCs w:val="18"/>
                      <w:highlight w:val="none"/>
                    </w:rPr>
                  </w:pPr>
                </w:p>
              </w:tc>
              <w:tc>
                <w:tcPr>
                  <w:tcW w:w="554" w:type="pct"/>
                  <w:vMerge w:val="continue"/>
                  <w:tcBorders>
                    <w:tl2br w:val="nil"/>
                    <w:tr2bl w:val="nil"/>
                  </w:tcBorders>
                  <w:shd w:val="clear" w:color="auto" w:fill="auto"/>
                  <w:vAlign w:val="center"/>
                </w:tcPr>
                <w:p w14:paraId="49E64231">
                  <w:pPr>
                    <w:pStyle w:val="52"/>
                    <w:keepNext w:val="0"/>
                    <w:keepLines w:val="0"/>
                    <w:pageBreakBefore w:val="0"/>
                    <w:kinsoku/>
                    <w:wordWrap/>
                    <w:overflowPunct/>
                    <w:topLinePunct w:val="0"/>
                    <w:autoSpaceDE/>
                    <w:autoSpaceDN/>
                    <w:bidi w:val="0"/>
                    <w:adjustRightInd/>
                    <w:snapToGrid w:val="0"/>
                    <w:spacing w:before="0" w:after="0"/>
                    <w:ind w:right="0"/>
                    <w:textAlignment w:val="auto"/>
                    <w:rPr>
                      <w:rFonts w:hint="default" w:ascii="Times New Roman" w:hAnsi="Times New Roman" w:eastAsia="宋体" w:cs="Times New Roman"/>
                      <w:b w:val="0"/>
                      <w:bCs/>
                      <w:color w:val="auto"/>
                      <w:sz w:val="18"/>
                      <w:szCs w:val="18"/>
                      <w:highlight w:val="none"/>
                    </w:rPr>
                  </w:pPr>
                </w:p>
              </w:tc>
              <w:tc>
                <w:tcPr>
                  <w:tcW w:w="639" w:type="pct"/>
                  <w:vMerge w:val="continue"/>
                  <w:tcBorders>
                    <w:tl2br w:val="nil"/>
                    <w:tr2bl w:val="nil"/>
                  </w:tcBorders>
                  <w:shd w:val="clear" w:color="auto" w:fill="auto"/>
                  <w:vAlign w:val="center"/>
                </w:tcPr>
                <w:p w14:paraId="352C9B04">
                  <w:pPr>
                    <w:pStyle w:val="52"/>
                    <w:keepNext w:val="0"/>
                    <w:keepLines w:val="0"/>
                    <w:pageBreakBefore w:val="0"/>
                    <w:kinsoku/>
                    <w:wordWrap/>
                    <w:overflowPunct/>
                    <w:topLinePunct w:val="0"/>
                    <w:autoSpaceDE/>
                    <w:autoSpaceDN/>
                    <w:bidi w:val="0"/>
                    <w:adjustRightInd/>
                    <w:snapToGrid w:val="0"/>
                    <w:spacing w:before="0" w:after="0"/>
                    <w:ind w:right="0"/>
                    <w:textAlignment w:val="auto"/>
                    <w:rPr>
                      <w:rFonts w:hint="default" w:ascii="Times New Roman" w:hAnsi="Times New Roman" w:eastAsia="宋体" w:cs="Times New Roman"/>
                      <w:b w:val="0"/>
                      <w:bCs/>
                      <w:color w:val="auto"/>
                      <w:sz w:val="18"/>
                      <w:szCs w:val="18"/>
                      <w:highlight w:val="none"/>
                    </w:rPr>
                  </w:pPr>
                </w:p>
              </w:tc>
            </w:tr>
            <w:tr w14:paraId="793B75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13" w:hRule="atLeast"/>
                <w:jc w:val="center"/>
              </w:trPr>
              <w:tc>
                <w:tcPr>
                  <w:tcW w:w="599" w:type="pct"/>
                  <w:vMerge w:val="restart"/>
                  <w:tcBorders>
                    <w:tl2br w:val="nil"/>
                    <w:tr2bl w:val="nil"/>
                  </w:tcBorders>
                  <w:shd w:val="clear" w:color="auto" w:fill="auto"/>
                  <w:vAlign w:val="center"/>
                </w:tcPr>
                <w:p w14:paraId="1AEE31D0">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东侧</w:t>
                  </w:r>
                </w:p>
              </w:tc>
              <w:tc>
                <w:tcPr>
                  <w:tcW w:w="537" w:type="pct"/>
                  <w:tcBorders>
                    <w:tl2br w:val="nil"/>
                    <w:tr2bl w:val="nil"/>
                  </w:tcBorders>
                  <w:shd w:val="clear" w:color="auto" w:fill="auto"/>
                  <w:vAlign w:val="center"/>
                </w:tcPr>
                <w:p w14:paraId="4488F82A">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昼间</w:t>
                  </w:r>
                </w:p>
              </w:tc>
              <w:tc>
                <w:tcPr>
                  <w:tcW w:w="727" w:type="pct"/>
                  <w:tcBorders>
                    <w:tl2br w:val="nil"/>
                    <w:tr2bl w:val="nil"/>
                  </w:tcBorders>
                  <w:shd w:val="clear" w:color="auto" w:fill="auto"/>
                  <w:vAlign w:val="center"/>
                </w:tcPr>
                <w:p w14:paraId="4E0C0FF4">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39</w:t>
                  </w:r>
                </w:p>
              </w:tc>
              <w:tc>
                <w:tcPr>
                  <w:tcW w:w="632" w:type="pct"/>
                  <w:tcBorders>
                    <w:tl2br w:val="nil"/>
                    <w:tr2bl w:val="nil"/>
                  </w:tcBorders>
                  <w:shd w:val="clear" w:color="auto" w:fill="auto"/>
                  <w:vAlign w:val="center"/>
                </w:tcPr>
                <w:p w14:paraId="7407D942">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54</w:t>
                  </w:r>
                </w:p>
              </w:tc>
              <w:tc>
                <w:tcPr>
                  <w:tcW w:w="1155" w:type="dxa"/>
                  <w:tcBorders>
                    <w:tl2br w:val="nil"/>
                    <w:tr2bl w:val="nil"/>
                  </w:tcBorders>
                  <w:shd w:val="clear" w:color="auto" w:fill="auto"/>
                  <w:vAlign w:val="center"/>
                </w:tcPr>
                <w:p w14:paraId="287076EB">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rPr>
                    <w:t>54.1</w:t>
                  </w:r>
                </w:p>
              </w:tc>
              <w:tc>
                <w:tcPr>
                  <w:tcW w:w="641" w:type="pct"/>
                  <w:tcBorders>
                    <w:tl2br w:val="nil"/>
                    <w:tr2bl w:val="nil"/>
                  </w:tcBorders>
                  <w:shd w:val="clear" w:color="auto" w:fill="auto"/>
                  <w:vAlign w:val="center"/>
                </w:tcPr>
                <w:p w14:paraId="6B73470D">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0.1</w:t>
                  </w:r>
                </w:p>
              </w:tc>
              <w:tc>
                <w:tcPr>
                  <w:tcW w:w="554" w:type="pct"/>
                  <w:tcBorders>
                    <w:tl2br w:val="nil"/>
                    <w:tr2bl w:val="nil"/>
                  </w:tcBorders>
                  <w:shd w:val="clear" w:color="auto" w:fill="auto"/>
                  <w:vAlign w:val="center"/>
                </w:tcPr>
                <w:p w14:paraId="6C18ED10">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65</w:t>
                  </w:r>
                </w:p>
              </w:tc>
              <w:tc>
                <w:tcPr>
                  <w:tcW w:w="639" w:type="pct"/>
                  <w:tcBorders>
                    <w:tl2br w:val="nil"/>
                    <w:tr2bl w:val="nil"/>
                  </w:tcBorders>
                  <w:shd w:val="clear" w:color="auto" w:fill="auto"/>
                  <w:vAlign w:val="center"/>
                </w:tcPr>
                <w:p w14:paraId="258B6DE2">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达标</w:t>
                  </w:r>
                </w:p>
              </w:tc>
            </w:tr>
            <w:tr w14:paraId="65934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PrEx>
              <w:trPr>
                <w:trHeight w:val="113" w:hRule="atLeast"/>
                <w:jc w:val="center"/>
              </w:trPr>
              <w:tc>
                <w:tcPr>
                  <w:tcW w:w="599" w:type="pct"/>
                  <w:vMerge w:val="continue"/>
                  <w:tcBorders>
                    <w:tl2br w:val="nil"/>
                    <w:tr2bl w:val="nil"/>
                  </w:tcBorders>
                  <w:shd w:val="clear" w:color="auto" w:fill="auto"/>
                  <w:vAlign w:val="center"/>
                </w:tcPr>
                <w:p w14:paraId="11BBC16D">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rPr>
                  </w:pPr>
                </w:p>
              </w:tc>
              <w:tc>
                <w:tcPr>
                  <w:tcW w:w="537" w:type="pct"/>
                  <w:tcBorders>
                    <w:tl2br w:val="nil"/>
                    <w:tr2bl w:val="nil"/>
                  </w:tcBorders>
                  <w:shd w:val="clear" w:color="auto" w:fill="auto"/>
                  <w:vAlign w:val="center"/>
                </w:tcPr>
                <w:p w14:paraId="58484B43">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夜间</w:t>
                  </w:r>
                </w:p>
              </w:tc>
              <w:tc>
                <w:tcPr>
                  <w:tcW w:w="727" w:type="pct"/>
                  <w:tcBorders>
                    <w:tl2br w:val="nil"/>
                    <w:tr2bl w:val="nil"/>
                  </w:tcBorders>
                  <w:shd w:val="clear" w:color="auto" w:fill="auto"/>
                  <w:vAlign w:val="center"/>
                </w:tcPr>
                <w:p w14:paraId="5D0325CA">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29</w:t>
                  </w:r>
                </w:p>
              </w:tc>
              <w:tc>
                <w:tcPr>
                  <w:tcW w:w="632" w:type="pct"/>
                  <w:tcBorders>
                    <w:tl2br w:val="nil"/>
                    <w:tr2bl w:val="nil"/>
                  </w:tcBorders>
                  <w:shd w:val="clear" w:color="auto" w:fill="auto"/>
                  <w:vAlign w:val="center"/>
                </w:tcPr>
                <w:p w14:paraId="378A25F4">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52</w:t>
                  </w:r>
                </w:p>
              </w:tc>
              <w:tc>
                <w:tcPr>
                  <w:tcW w:w="1155" w:type="dxa"/>
                  <w:tcBorders>
                    <w:tl2br w:val="nil"/>
                    <w:tr2bl w:val="nil"/>
                  </w:tcBorders>
                  <w:shd w:val="clear" w:color="auto" w:fill="auto"/>
                  <w:vAlign w:val="center"/>
                </w:tcPr>
                <w:p w14:paraId="73EB4A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rPr>
                    <w:t>52.0</w:t>
                  </w:r>
                </w:p>
              </w:tc>
              <w:tc>
                <w:tcPr>
                  <w:tcW w:w="641" w:type="pct"/>
                  <w:tcBorders>
                    <w:tl2br w:val="nil"/>
                    <w:tr2bl w:val="nil"/>
                  </w:tcBorders>
                  <w:shd w:val="clear" w:color="auto" w:fill="auto"/>
                  <w:vAlign w:val="center"/>
                </w:tcPr>
                <w:p w14:paraId="324F9462">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0.0</w:t>
                  </w:r>
                </w:p>
              </w:tc>
              <w:tc>
                <w:tcPr>
                  <w:tcW w:w="554" w:type="pct"/>
                  <w:tcBorders>
                    <w:tl2br w:val="nil"/>
                    <w:tr2bl w:val="nil"/>
                  </w:tcBorders>
                  <w:shd w:val="clear" w:color="auto" w:fill="auto"/>
                  <w:vAlign w:val="center"/>
                </w:tcPr>
                <w:p w14:paraId="68308A24">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55</w:t>
                  </w:r>
                </w:p>
              </w:tc>
              <w:tc>
                <w:tcPr>
                  <w:tcW w:w="639" w:type="pct"/>
                  <w:tcBorders>
                    <w:tl2br w:val="nil"/>
                    <w:tr2bl w:val="nil"/>
                  </w:tcBorders>
                  <w:shd w:val="clear" w:color="auto" w:fill="auto"/>
                  <w:vAlign w:val="center"/>
                </w:tcPr>
                <w:p w14:paraId="77697C76">
                  <w:pPr>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达标</w:t>
                  </w:r>
                </w:p>
              </w:tc>
            </w:tr>
            <w:tr w14:paraId="473E5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13" w:hRule="atLeast"/>
                <w:jc w:val="center"/>
              </w:trPr>
              <w:tc>
                <w:tcPr>
                  <w:tcW w:w="599" w:type="pct"/>
                  <w:vMerge w:val="restart"/>
                  <w:tcBorders>
                    <w:tl2br w:val="nil"/>
                    <w:tr2bl w:val="nil"/>
                  </w:tcBorders>
                  <w:shd w:val="clear" w:color="auto" w:fill="auto"/>
                  <w:vAlign w:val="center"/>
                </w:tcPr>
                <w:p w14:paraId="29087CA9">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南侧</w:t>
                  </w:r>
                </w:p>
              </w:tc>
              <w:tc>
                <w:tcPr>
                  <w:tcW w:w="537" w:type="pct"/>
                  <w:tcBorders>
                    <w:tl2br w:val="nil"/>
                    <w:tr2bl w:val="nil"/>
                  </w:tcBorders>
                  <w:shd w:val="clear" w:color="auto" w:fill="auto"/>
                  <w:vAlign w:val="center"/>
                </w:tcPr>
                <w:p w14:paraId="4ED34A6B">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昼间</w:t>
                  </w:r>
                </w:p>
              </w:tc>
              <w:tc>
                <w:tcPr>
                  <w:tcW w:w="727" w:type="pct"/>
                  <w:tcBorders>
                    <w:tl2br w:val="nil"/>
                    <w:tr2bl w:val="nil"/>
                  </w:tcBorders>
                  <w:shd w:val="clear" w:color="auto" w:fill="auto"/>
                  <w:vAlign w:val="center"/>
                </w:tcPr>
                <w:p w14:paraId="37DABDEE">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20</w:t>
                  </w:r>
                </w:p>
              </w:tc>
              <w:tc>
                <w:tcPr>
                  <w:tcW w:w="632" w:type="pct"/>
                  <w:tcBorders>
                    <w:tl2br w:val="nil"/>
                    <w:tr2bl w:val="nil"/>
                  </w:tcBorders>
                  <w:shd w:val="clear" w:color="auto" w:fill="auto"/>
                  <w:vAlign w:val="center"/>
                </w:tcPr>
                <w:p w14:paraId="6D46AC09">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48</w:t>
                  </w:r>
                </w:p>
              </w:tc>
              <w:tc>
                <w:tcPr>
                  <w:tcW w:w="1155" w:type="dxa"/>
                  <w:tcBorders>
                    <w:tl2br w:val="nil"/>
                    <w:tr2bl w:val="nil"/>
                  </w:tcBorders>
                  <w:shd w:val="clear" w:color="auto" w:fill="auto"/>
                  <w:vAlign w:val="center"/>
                </w:tcPr>
                <w:p w14:paraId="636F391B">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rPr>
                    <w:t>48.0</w:t>
                  </w:r>
                </w:p>
              </w:tc>
              <w:tc>
                <w:tcPr>
                  <w:tcW w:w="641" w:type="pct"/>
                  <w:tcBorders>
                    <w:tl2br w:val="nil"/>
                    <w:tr2bl w:val="nil"/>
                  </w:tcBorders>
                  <w:shd w:val="clear" w:color="auto" w:fill="auto"/>
                  <w:vAlign w:val="center"/>
                </w:tcPr>
                <w:p w14:paraId="2DB996A5">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0.0</w:t>
                  </w:r>
                </w:p>
              </w:tc>
              <w:tc>
                <w:tcPr>
                  <w:tcW w:w="554" w:type="pct"/>
                  <w:tcBorders>
                    <w:tl2br w:val="nil"/>
                    <w:tr2bl w:val="nil"/>
                  </w:tcBorders>
                  <w:shd w:val="clear" w:color="auto" w:fill="auto"/>
                  <w:vAlign w:val="center"/>
                </w:tcPr>
                <w:p w14:paraId="125F2203">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65</w:t>
                  </w:r>
                </w:p>
              </w:tc>
              <w:tc>
                <w:tcPr>
                  <w:tcW w:w="639" w:type="pct"/>
                  <w:tcBorders>
                    <w:tl2br w:val="nil"/>
                    <w:tr2bl w:val="nil"/>
                  </w:tcBorders>
                  <w:shd w:val="clear" w:color="auto" w:fill="auto"/>
                  <w:vAlign w:val="center"/>
                </w:tcPr>
                <w:p w14:paraId="38F7EC3C">
                  <w:pPr>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达标</w:t>
                  </w:r>
                </w:p>
              </w:tc>
            </w:tr>
            <w:tr w14:paraId="3FA5C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13" w:hRule="atLeast"/>
                <w:jc w:val="center"/>
              </w:trPr>
              <w:tc>
                <w:tcPr>
                  <w:tcW w:w="599" w:type="pct"/>
                  <w:vMerge w:val="continue"/>
                  <w:tcBorders>
                    <w:tl2br w:val="nil"/>
                    <w:tr2bl w:val="nil"/>
                  </w:tcBorders>
                  <w:shd w:val="clear" w:color="auto" w:fill="auto"/>
                  <w:vAlign w:val="center"/>
                </w:tcPr>
                <w:p w14:paraId="7F7AFB10">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rPr>
                  </w:pPr>
                </w:p>
              </w:tc>
              <w:tc>
                <w:tcPr>
                  <w:tcW w:w="537" w:type="pct"/>
                  <w:tcBorders>
                    <w:tl2br w:val="nil"/>
                    <w:tr2bl w:val="nil"/>
                  </w:tcBorders>
                  <w:shd w:val="clear" w:color="auto" w:fill="auto"/>
                  <w:vAlign w:val="center"/>
                </w:tcPr>
                <w:p w14:paraId="1DA3ECC9">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ascii="Times New Roman" w:hAnsi="Times New Roman" w:eastAsia="宋体" w:cs="Times New Roman"/>
                      <w:b w:val="0"/>
                      <w:bCs/>
                      <w:color w:val="auto"/>
                      <w:sz w:val="18"/>
                      <w:szCs w:val="18"/>
                      <w:highlight w:val="none"/>
                    </w:rPr>
                  </w:pPr>
                  <w:r>
                    <w:rPr>
                      <w:rFonts w:hint="eastAsia" w:cs="Times New Roman"/>
                      <w:b w:val="0"/>
                      <w:bCs/>
                      <w:color w:val="auto"/>
                      <w:sz w:val="18"/>
                      <w:szCs w:val="18"/>
                      <w:highlight w:val="none"/>
                      <w:lang w:val="en-US" w:eastAsia="zh-CN"/>
                    </w:rPr>
                    <w:t>夜间</w:t>
                  </w:r>
                </w:p>
              </w:tc>
              <w:tc>
                <w:tcPr>
                  <w:tcW w:w="727" w:type="pct"/>
                  <w:tcBorders>
                    <w:tl2br w:val="nil"/>
                    <w:tr2bl w:val="nil"/>
                  </w:tcBorders>
                  <w:shd w:val="clear" w:color="auto" w:fill="auto"/>
                  <w:vAlign w:val="center"/>
                </w:tcPr>
                <w:p w14:paraId="784C6EBC">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20</w:t>
                  </w:r>
                </w:p>
              </w:tc>
              <w:tc>
                <w:tcPr>
                  <w:tcW w:w="632" w:type="pct"/>
                  <w:tcBorders>
                    <w:tl2br w:val="nil"/>
                    <w:tr2bl w:val="nil"/>
                  </w:tcBorders>
                  <w:shd w:val="clear" w:color="auto" w:fill="auto"/>
                  <w:vAlign w:val="center"/>
                </w:tcPr>
                <w:p w14:paraId="1A7902AD">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48</w:t>
                  </w:r>
                </w:p>
              </w:tc>
              <w:tc>
                <w:tcPr>
                  <w:tcW w:w="1155" w:type="dxa"/>
                  <w:tcBorders>
                    <w:tl2br w:val="nil"/>
                    <w:tr2bl w:val="nil"/>
                  </w:tcBorders>
                  <w:shd w:val="clear" w:color="auto" w:fill="auto"/>
                  <w:vAlign w:val="center"/>
                </w:tcPr>
                <w:p w14:paraId="3C092F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rPr>
                    <w:t>48.0</w:t>
                  </w:r>
                </w:p>
              </w:tc>
              <w:tc>
                <w:tcPr>
                  <w:tcW w:w="641" w:type="pct"/>
                  <w:tcBorders>
                    <w:tl2br w:val="nil"/>
                    <w:tr2bl w:val="nil"/>
                  </w:tcBorders>
                  <w:shd w:val="clear" w:color="auto" w:fill="auto"/>
                  <w:vAlign w:val="center"/>
                </w:tcPr>
                <w:p w14:paraId="338F1149">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0.0</w:t>
                  </w:r>
                </w:p>
              </w:tc>
              <w:tc>
                <w:tcPr>
                  <w:tcW w:w="554" w:type="pct"/>
                  <w:tcBorders>
                    <w:tl2br w:val="nil"/>
                    <w:tr2bl w:val="nil"/>
                  </w:tcBorders>
                  <w:shd w:val="clear" w:color="auto" w:fill="auto"/>
                  <w:vAlign w:val="center"/>
                </w:tcPr>
                <w:p w14:paraId="692FC951">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ascii="Times New Roman" w:hAnsi="Times New Roman" w:eastAsia="宋体" w:cs="Times New Roman"/>
                      <w:b w:val="0"/>
                      <w:bCs/>
                      <w:color w:val="auto"/>
                      <w:sz w:val="18"/>
                      <w:szCs w:val="18"/>
                      <w:highlight w:val="none"/>
                    </w:rPr>
                  </w:pPr>
                  <w:r>
                    <w:rPr>
                      <w:rFonts w:hint="eastAsia" w:cs="Times New Roman"/>
                      <w:b w:val="0"/>
                      <w:bCs/>
                      <w:color w:val="auto"/>
                      <w:sz w:val="18"/>
                      <w:szCs w:val="18"/>
                      <w:highlight w:val="none"/>
                      <w:lang w:val="en-US" w:eastAsia="zh-CN"/>
                    </w:rPr>
                    <w:t>55</w:t>
                  </w:r>
                </w:p>
              </w:tc>
              <w:tc>
                <w:tcPr>
                  <w:tcW w:w="639" w:type="pct"/>
                  <w:tcBorders>
                    <w:tl2br w:val="nil"/>
                    <w:tr2bl w:val="nil"/>
                  </w:tcBorders>
                  <w:shd w:val="clear" w:color="auto" w:fill="auto"/>
                  <w:vAlign w:val="center"/>
                </w:tcPr>
                <w:p w14:paraId="7D6FEF5B">
                  <w:pPr>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达标</w:t>
                  </w:r>
                </w:p>
              </w:tc>
            </w:tr>
            <w:tr w14:paraId="2B84D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13" w:hRule="atLeast"/>
                <w:jc w:val="center"/>
              </w:trPr>
              <w:tc>
                <w:tcPr>
                  <w:tcW w:w="599" w:type="pct"/>
                  <w:vMerge w:val="restart"/>
                  <w:tcBorders>
                    <w:tl2br w:val="nil"/>
                    <w:tr2bl w:val="nil"/>
                  </w:tcBorders>
                  <w:shd w:val="clear" w:color="auto" w:fill="auto"/>
                  <w:vAlign w:val="center"/>
                </w:tcPr>
                <w:p w14:paraId="7E0FF614">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西侧</w:t>
                  </w:r>
                </w:p>
              </w:tc>
              <w:tc>
                <w:tcPr>
                  <w:tcW w:w="537" w:type="pct"/>
                  <w:tcBorders>
                    <w:tl2br w:val="nil"/>
                    <w:tr2bl w:val="nil"/>
                  </w:tcBorders>
                  <w:shd w:val="clear" w:color="auto" w:fill="auto"/>
                  <w:vAlign w:val="center"/>
                </w:tcPr>
                <w:p w14:paraId="57F963FF">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昼间</w:t>
                  </w:r>
                </w:p>
              </w:tc>
              <w:tc>
                <w:tcPr>
                  <w:tcW w:w="727" w:type="pct"/>
                  <w:tcBorders>
                    <w:tl2br w:val="nil"/>
                    <w:tr2bl w:val="nil"/>
                  </w:tcBorders>
                  <w:shd w:val="clear" w:color="auto" w:fill="auto"/>
                  <w:vAlign w:val="center"/>
                </w:tcPr>
                <w:p w14:paraId="1E0C8F4A">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36</w:t>
                  </w:r>
                </w:p>
              </w:tc>
              <w:tc>
                <w:tcPr>
                  <w:tcW w:w="632" w:type="pct"/>
                  <w:tcBorders>
                    <w:tl2br w:val="nil"/>
                    <w:tr2bl w:val="nil"/>
                  </w:tcBorders>
                  <w:shd w:val="clear" w:color="auto" w:fill="auto"/>
                  <w:vAlign w:val="center"/>
                </w:tcPr>
                <w:p w14:paraId="2EAFD328">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58</w:t>
                  </w:r>
                </w:p>
              </w:tc>
              <w:tc>
                <w:tcPr>
                  <w:tcW w:w="1155" w:type="dxa"/>
                  <w:tcBorders>
                    <w:tl2br w:val="nil"/>
                    <w:tr2bl w:val="nil"/>
                  </w:tcBorders>
                  <w:shd w:val="clear" w:color="auto" w:fill="auto"/>
                  <w:vAlign w:val="center"/>
                </w:tcPr>
                <w:p w14:paraId="30E668E6">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rPr>
                    <w:t>58.0</w:t>
                  </w:r>
                </w:p>
              </w:tc>
              <w:tc>
                <w:tcPr>
                  <w:tcW w:w="641" w:type="pct"/>
                  <w:tcBorders>
                    <w:tl2br w:val="nil"/>
                    <w:tr2bl w:val="nil"/>
                  </w:tcBorders>
                  <w:shd w:val="clear" w:color="auto" w:fill="auto"/>
                  <w:vAlign w:val="center"/>
                </w:tcPr>
                <w:p w14:paraId="009E401F">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0.0</w:t>
                  </w:r>
                </w:p>
              </w:tc>
              <w:tc>
                <w:tcPr>
                  <w:tcW w:w="554" w:type="pct"/>
                  <w:tcBorders>
                    <w:tl2br w:val="nil"/>
                    <w:tr2bl w:val="nil"/>
                  </w:tcBorders>
                  <w:shd w:val="clear" w:color="auto" w:fill="auto"/>
                  <w:vAlign w:val="center"/>
                </w:tcPr>
                <w:p w14:paraId="246C9320">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ascii="Times New Roman" w:hAnsi="Times New Roman" w:eastAsia="宋体" w:cs="Times New Roman"/>
                      <w:b w:val="0"/>
                      <w:bCs/>
                      <w:color w:val="auto"/>
                      <w:sz w:val="18"/>
                      <w:szCs w:val="18"/>
                      <w:highlight w:val="none"/>
                    </w:rPr>
                  </w:pPr>
                  <w:r>
                    <w:rPr>
                      <w:rFonts w:hint="eastAsia" w:cs="Times New Roman"/>
                      <w:b w:val="0"/>
                      <w:bCs/>
                      <w:color w:val="auto"/>
                      <w:sz w:val="18"/>
                      <w:szCs w:val="18"/>
                      <w:highlight w:val="none"/>
                      <w:lang w:val="en-US" w:eastAsia="zh-CN"/>
                    </w:rPr>
                    <w:t>65</w:t>
                  </w:r>
                </w:p>
              </w:tc>
              <w:tc>
                <w:tcPr>
                  <w:tcW w:w="639" w:type="pct"/>
                  <w:tcBorders>
                    <w:tl2br w:val="nil"/>
                    <w:tr2bl w:val="nil"/>
                  </w:tcBorders>
                  <w:shd w:val="clear" w:color="auto" w:fill="auto"/>
                  <w:vAlign w:val="center"/>
                </w:tcPr>
                <w:p w14:paraId="12444302">
                  <w:pPr>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达标</w:t>
                  </w:r>
                </w:p>
              </w:tc>
            </w:tr>
            <w:tr w14:paraId="479BE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13" w:hRule="atLeast"/>
                <w:jc w:val="center"/>
              </w:trPr>
              <w:tc>
                <w:tcPr>
                  <w:tcW w:w="599" w:type="pct"/>
                  <w:vMerge w:val="continue"/>
                  <w:tcBorders>
                    <w:tl2br w:val="nil"/>
                    <w:tr2bl w:val="nil"/>
                  </w:tcBorders>
                  <w:shd w:val="clear" w:color="auto" w:fill="auto"/>
                  <w:vAlign w:val="center"/>
                </w:tcPr>
                <w:p w14:paraId="06C86AE7">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rPr>
                  </w:pPr>
                </w:p>
              </w:tc>
              <w:tc>
                <w:tcPr>
                  <w:tcW w:w="537" w:type="pct"/>
                  <w:tcBorders>
                    <w:tl2br w:val="nil"/>
                    <w:tr2bl w:val="nil"/>
                  </w:tcBorders>
                  <w:shd w:val="clear" w:color="auto" w:fill="auto"/>
                  <w:vAlign w:val="center"/>
                </w:tcPr>
                <w:p w14:paraId="6D5D506A">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ascii="Times New Roman" w:hAnsi="Times New Roman" w:eastAsia="宋体" w:cs="Times New Roman"/>
                      <w:b w:val="0"/>
                      <w:bCs/>
                      <w:color w:val="auto"/>
                      <w:sz w:val="18"/>
                      <w:szCs w:val="18"/>
                      <w:highlight w:val="none"/>
                    </w:rPr>
                  </w:pPr>
                  <w:r>
                    <w:rPr>
                      <w:rFonts w:hint="eastAsia" w:cs="Times New Roman"/>
                      <w:b w:val="0"/>
                      <w:bCs/>
                      <w:color w:val="auto"/>
                      <w:sz w:val="18"/>
                      <w:szCs w:val="18"/>
                      <w:highlight w:val="none"/>
                      <w:lang w:val="en-US" w:eastAsia="zh-CN"/>
                    </w:rPr>
                    <w:t>夜间</w:t>
                  </w:r>
                </w:p>
              </w:tc>
              <w:tc>
                <w:tcPr>
                  <w:tcW w:w="727" w:type="pct"/>
                  <w:tcBorders>
                    <w:tl2br w:val="nil"/>
                    <w:tr2bl w:val="nil"/>
                  </w:tcBorders>
                  <w:shd w:val="clear" w:color="auto" w:fill="auto"/>
                  <w:vAlign w:val="center"/>
                </w:tcPr>
                <w:p w14:paraId="7B1B14A4">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36</w:t>
                  </w:r>
                </w:p>
              </w:tc>
              <w:tc>
                <w:tcPr>
                  <w:tcW w:w="632" w:type="pct"/>
                  <w:tcBorders>
                    <w:tl2br w:val="nil"/>
                    <w:tr2bl w:val="nil"/>
                  </w:tcBorders>
                  <w:shd w:val="clear" w:color="auto" w:fill="auto"/>
                  <w:vAlign w:val="center"/>
                </w:tcPr>
                <w:p w14:paraId="00E8D3EB">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52</w:t>
                  </w:r>
                </w:p>
              </w:tc>
              <w:tc>
                <w:tcPr>
                  <w:tcW w:w="1155" w:type="dxa"/>
                  <w:tcBorders>
                    <w:tl2br w:val="nil"/>
                    <w:tr2bl w:val="nil"/>
                  </w:tcBorders>
                  <w:shd w:val="clear" w:color="auto" w:fill="auto"/>
                  <w:vAlign w:val="center"/>
                </w:tcPr>
                <w:p w14:paraId="167E1C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rPr>
                    <w:t>52.1</w:t>
                  </w:r>
                </w:p>
              </w:tc>
              <w:tc>
                <w:tcPr>
                  <w:tcW w:w="641" w:type="pct"/>
                  <w:tcBorders>
                    <w:tl2br w:val="nil"/>
                    <w:tr2bl w:val="nil"/>
                  </w:tcBorders>
                  <w:shd w:val="clear" w:color="auto" w:fill="auto"/>
                  <w:vAlign w:val="center"/>
                </w:tcPr>
                <w:p w14:paraId="49509EA4">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0.1</w:t>
                  </w:r>
                </w:p>
              </w:tc>
              <w:tc>
                <w:tcPr>
                  <w:tcW w:w="554" w:type="pct"/>
                  <w:tcBorders>
                    <w:tl2br w:val="nil"/>
                    <w:tr2bl w:val="nil"/>
                  </w:tcBorders>
                  <w:shd w:val="clear" w:color="auto" w:fill="auto"/>
                  <w:vAlign w:val="center"/>
                </w:tcPr>
                <w:p w14:paraId="6066743D">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ascii="Times New Roman" w:hAnsi="Times New Roman" w:eastAsia="宋体" w:cs="Times New Roman"/>
                      <w:b w:val="0"/>
                      <w:bCs/>
                      <w:color w:val="auto"/>
                      <w:sz w:val="18"/>
                      <w:szCs w:val="18"/>
                      <w:highlight w:val="none"/>
                    </w:rPr>
                  </w:pPr>
                  <w:r>
                    <w:rPr>
                      <w:rFonts w:hint="eastAsia" w:cs="Times New Roman"/>
                      <w:b w:val="0"/>
                      <w:bCs/>
                      <w:color w:val="auto"/>
                      <w:sz w:val="18"/>
                      <w:szCs w:val="18"/>
                      <w:highlight w:val="none"/>
                      <w:lang w:val="en-US" w:eastAsia="zh-CN"/>
                    </w:rPr>
                    <w:t>55</w:t>
                  </w:r>
                </w:p>
              </w:tc>
              <w:tc>
                <w:tcPr>
                  <w:tcW w:w="639" w:type="pct"/>
                  <w:tcBorders>
                    <w:tl2br w:val="nil"/>
                    <w:tr2bl w:val="nil"/>
                  </w:tcBorders>
                  <w:shd w:val="clear" w:color="auto" w:fill="auto"/>
                  <w:vAlign w:val="center"/>
                </w:tcPr>
                <w:p w14:paraId="26B440DB">
                  <w:pPr>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达标</w:t>
                  </w:r>
                </w:p>
              </w:tc>
            </w:tr>
            <w:tr w14:paraId="2289AE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PrEx>
              <w:trPr>
                <w:trHeight w:val="113" w:hRule="atLeast"/>
                <w:jc w:val="center"/>
              </w:trPr>
              <w:tc>
                <w:tcPr>
                  <w:tcW w:w="599" w:type="pct"/>
                  <w:vMerge w:val="restart"/>
                  <w:tcBorders>
                    <w:tl2br w:val="nil"/>
                    <w:tr2bl w:val="nil"/>
                  </w:tcBorders>
                  <w:shd w:val="clear" w:color="auto" w:fill="auto"/>
                  <w:vAlign w:val="center"/>
                </w:tcPr>
                <w:p w14:paraId="6DF27FCB">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北侧</w:t>
                  </w:r>
                </w:p>
              </w:tc>
              <w:tc>
                <w:tcPr>
                  <w:tcW w:w="537" w:type="pct"/>
                  <w:tcBorders>
                    <w:tl2br w:val="nil"/>
                    <w:tr2bl w:val="nil"/>
                  </w:tcBorders>
                  <w:shd w:val="clear" w:color="auto" w:fill="auto"/>
                  <w:vAlign w:val="center"/>
                </w:tcPr>
                <w:p w14:paraId="248F6001">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昼间</w:t>
                  </w:r>
                </w:p>
              </w:tc>
              <w:tc>
                <w:tcPr>
                  <w:tcW w:w="727" w:type="pct"/>
                  <w:tcBorders>
                    <w:tl2br w:val="nil"/>
                    <w:tr2bl w:val="nil"/>
                  </w:tcBorders>
                  <w:shd w:val="clear" w:color="auto" w:fill="auto"/>
                  <w:vAlign w:val="center"/>
                </w:tcPr>
                <w:p w14:paraId="0E657C1A">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40</w:t>
                  </w:r>
                </w:p>
              </w:tc>
              <w:tc>
                <w:tcPr>
                  <w:tcW w:w="632" w:type="pct"/>
                  <w:tcBorders>
                    <w:tl2br w:val="nil"/>
                    <w:tr2bl w:val="nil"/>
                  </w:tcBorders>
                  <w:shd w:val="clear" w:color="auto" w:fill="auto"/>
                  <w:vAlign w:val="center"/>
                </w:tcPr>
                <w:p w14:paraId="24C31ED4">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49</w:t>
                  </w:r>
                </w:p>
              </w:tc>
              <w:tc>
                <w:tcPr>
                  <w:tcW w:w="1155" w:type="dxa"/>
                  <w:tcBorders>
                    <w:tl2br w:val="nil"/>
                    <w:tr2bl w:val="nil"/>
                  </w:tcBorders>
                  <w:shd w:val="clear" w:color="auto" w:fill="auto"/>
                  <w:vAlign w:val="center"/>
                </w:tcPr>
                <w:p w14:paraId="54B03C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rPr>
                    <w:t>49.5</w:t>
                  </w:r>
                </w:p>
              </w:tc>
              <w:tc>
                <w:tcPr>
                  <w:tcW w:w="641" w:type="pct"/>
                  <w:tcBorders>
                    <w:tl2br w:val="nil"/>
                    <w:tr2bl w:val="nil"/>
                  </w:tcBorders>
                  <w:shd w:val="clear" w:color="auto" w:fill="auto"/>
                  <w:vAlign w:val="center"/>
                </w:tcPr>
                <w:p w14:paraId="629B9F94">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0.5</w:t>
                  </w:r>
                </w:p>
              </w:tc>
              <w:tc>
                <w:tcPr>
                  <w:tcW w:w="554" w:type="pct"/>
                  <w:tcBorders>
                    <w:tl2br w:val="nil"/>
                    <w:tr2bl w:val="nil"/>
                  </w:tcBorders>
                  <w:shd w:val="clear" w:color="auto" w:fill="auto"/>
                  <w:vAlign w:val="center"/>
                </w:tcPr>
                <w:p w14:paraId="1CD61654">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ascii="Times New Roman" w:hAnsi="Times New Roman" w:eastAsia="宋体" w:cs="Times New Roman"/>
                      <w:b w:val="0"/>
                      <w:bCs/>
                      <w:color w:val="auto"/>
                      <w:sz w:val="18"/>
                      <w:szCs w:val="18"/>
                      <w:highlight w:val="none"/>
                    </w:rPr>
                  </w:pPr>
                  <w:r>
                    <w:rPr>
                      <w:rFonts w:hint="eastAsia" w:cs="Times New Roman"/>
                      <w:b w:val="0"/>
                      <w:bCs/>
                      <w:color w:val="auto"/>
                      <w:sz w:val="18"/>
                      <w:szCs w:val="18"/>
                      <w:highlight w:val="none"/>
                      <w:lang w:val="en-US" w:eastAsia="zh-CN"/>
                    </w:rPr>
                    <w:t>65</w:t>
                  </w:r>
                </w:p>
              </w:tc>
              <w:tc>
                <w:tcPr>
                  <w:tcW w:w="639" w:type="pct"/>
                  <w:tcBorders>
                    <w:tl2br w:val="nil"/>
                    <w:tr2bl w:val="nil"/>
                  </w:tcBorders>
                  <w:shd w:val="clear" w:color="auto" w:fill="auto"/>
                  <w:vAlign w:val="center"/>
                </w:tcPr>
                <w:p w14:paraId="73EAA529">
                  <w:pPr>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达标</w:t>
                  </w:r>
                </w:p>
              </w:tc>
            </w:tr>
            <w:tr w14:paraId="14D98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13" w:hRule="atLeast"/>
                <w:jc w:val="center"/>
              </w:trPr>
              <w:tc>
                <w:tcPr>
                  <w:tcW w:w="599" w:type="pct"/>
                  <w:vMerge w:val="continue"/>
                  <w:tcBorders>
                    <w:tl2br w:val="nil"/>
                    <w:tr2bl w:val="nil"/>
                  </w:tcBorders>
                  <w:shd w:val="clear" w:color="auto" w:fill="auto"/>
                  <w:vAlign w:val="center"/>
                </w:tcPr>
                <w:p w14:paraId="6E9B7ECA">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rPr>
                  </w:pPr>
                </w:p>
              </w:tc>
              <w:tc>
                <w:tcPr>
                  <w:tcW w:w="537" w:type="pct"/>
                  <w:tcBorders>
                    <w:tl2br w:val="nil"/>
                    <w:tr2bl w:val="nil"/>
                  </w:tcBorders>
                  <w:shd w:val="clear" w:color="auto" w:fill="auto"/>
                  <w:vAlign w:val="center"/>
                </w:tcPr>
                <w:p w14:paraId="646E26D5">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ascii="Times New Roman" w:hAnsi="Times New Roman" w:eastAsia="宋体" w:cs="Times New Roman"/>
                      <w:b w:val="0"/>
                      <w:bCs/>
                      <w:color w:val="auto"/>
                      <w:sz w:val="18"/>
                      <w:szCs w:val="18"/>
                      <w:highlight w:val="none"/>
                    </w:rPr>
                  </w:pPr>
                  <w:r>
                    <w:rPr>
                      <w:rFonts w:hint="eastAsia" w:cs="Times New Roman"/>
                      <w:b w:val="0"/>
                      <w:bCs/>
                      <w:color w:val="auto"/>
                      <w:sz w:val="18"/>
                      <w:szCs w:val="18"/>
                      <w:highlight w:val="none"/>
                      <w:lang w:val="en-US" w:eastAsia="zh-CN"/>
                    </w:rPr>
                    <w:t>夜间</w:t>
                  </w:r>
                </w:p>
              </w:tc>
              <w:tc>
                <w:tcPr>
                  <w:tcW w:w="727" w:type="pct"/>
                  <w:tcBorders>
                    <w:tl2br w:val="nil"/>
                    <w:tr2bl w:val="nil"/>
                  </w:tcBorders>
                  <w:shd w:val="clear" w:color="auto" w:fill="auto"/>
                  <w:vAlign w:val="center"/>
                </w:tcPr>
                <w:p w14:paraId="470D56D5">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40</w:t>
                  </w:r>
                </w:p>
              </w:tc>
              <w:tc>
                <w:tcPr>
                  <w:tcW w:w="632" w:type="pct"/>
                  <w:tcBorders>
                    <w:tl2br w:val="nil"/>
                    <w:tr2bl w:val="nil"/>
                  </w:tcBorders>
                  <w:shd w:val="clear" w:color="auto" w:fill="auto"/>
                  <w:vAlign w:val="center"/>
                </w:tcPr>
                <w:p w14:paraId="61B835D3">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50</w:t>
                  </w:r>
                </w:p>
              </w:tc>
              <w:tc>
                <w:tcPr>
                  <w:tcW w:w="1155" w:type="dxa"/>
                  <w:tcBorders>
                    <w:tl2br w:val="nil"/>
                    <w:tr2bl w:val="nil"/>
                  </w:tcBorders>
                  <w:shd w:val="clear" w:color="auto" w:fill="auto"/>
                  <w:vAlign w:val="center"/>
                </w:tcPr>
                <w:p w14:paraId="60661EDC">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rPr>
                    <w:t>50.4</w:t>
                  </w:r>
                </w:p>
              </w:tc>
              <w:tc>
                <w:tcPr>
                  <w:tcW w:w="641" w:type="pct"/>
                  <w:tcBorders>
                    <w:tl2br w:val="nil"/>
                    <w:tr2bl w:val="nil"/>
                  </w:tcBorders>
                  <w:shd w:val="clear" w:color="auto" w:fill="auto"/>
                  <w:vAlign w:val="center"/>
                </w:tcPr>
                <w:p w14:paraId="1203CF10">
                  <w:pPr>
                    <w:pStyle w:val="52"/>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0.4</w:t>
                  </w:r>
                </w:p>
              </w:tc>
              <w:tc>
                <w:tcPr>
                  <w:tcW w:w="554" w:type="pct"/>
                  <w:tcBorders>
                    <w:tl2br w:val="nil"/>
                    <w:tr2bl w:val="nil"/>
                  </w:tcBorders>
                  <w:shd w:val="clear" w:color="auto" w:fill="auto"/>
                  <w:vAlign w:val="center"/>
                </w:tcPr>
                <w:p w14:paraId="60ED74E3">
                  <w:pPr>
                    <w:pStyle w:val="52"/>
                    <w:keepNext w:val="0"/>
                    <w:keepLines w:val="0"/>
                    <w:pageBreakBefore w:val="0"/>
                    <w:kinsoku/>
                    <w:wordWrap/>
                    <w:overflowPunct/>
                    <w:topLinePunct w:val="0"/>
                    <w:autoSpaceDE/>
                    <w:autoSpaceDN/>
                    <w:bidi w:val="0"/>
                    <w:adjustRightInd/>
                    <w:snapToGrid w:val="0"/>
                    <w:spacing w:before="0" w:after="0"/>
                    <w:ind w:right="0" w:right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55</w:t>
                  </w:r>
                </w:p>
              </w:tc>
              <w:tc>
                <w:tcPr>
                  <w:tcW w:w="639" w:type="pct"/>
                  <w:tcBorders>
                    <w:tl2br w:val="nil"/>
                    <w:tr2bl w:val="nil"/>
                  </w:tcBorders>
                  <w:shd w:val="clear" w:color="auto" w:fill="auto"/>
                  <w:vAlign w:val="center"/>
                </w:tcPr>
                <w:p w14:paraId="513418D5">
                  <w:pPr>
                    <w:keepNext w:val="0"/>
                    <w:keepLines w:val="0"/>
                    <w:pageBreakBefore w:val="0"/>
                    <w:kinsoku/>
                    <w:wordWrap/>
                    <w:overflowPunct/>
                    <w:topLinePunct w:val="0"/>
                    <w:autoSpaceDE/>
                    <w:autoSpaceDN/>
                    <w:bidi w:val="0"/>
                    <w:adjustRightInd/>
                    <w:snapToGrid w:val="0"/>
                    <w:spacing w:before="0" w:after="0"/>
                    <w:ind w:right="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达标</w:t>
                  </w:r>
                </w:p>
              </w:tc>
            </w:tr>
          </w:tbl>
          <w:p w14:paraId="59BFBC46">
            <w:pPr>
              <w:pStyle w:val="25"/>
              <w:spacing w:line="360" w:lineRule="auto"/>
              <w:ind w:firstLine="482" w:firstLineChars="20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3</w:t>
            </w:r>
            <w:r>
              <w:rPr>
                <w:rFonts w:hint="eastAsia" w:ascii="Times New Roman" w:hAnsi="Times New Roman" w:cs="Times New Roman"/>
                <w:b/>
                <w:bCs/>
                <w:color w:val="auto"/>
                <w:highlight w:val="none"/>
                <w:lang w:val="en-US" w:eastAsia="zh-CN"/>
              </w:rPr>
              <w:t>.</w:t>
            </w:r>
            <w:r>
              <w:rPr>
                <w:rFonts w:hint="default" w:ascii="Times New Roman" w:hAnsi="Times New Roman" w:eastAsia="宋体" w:cs="Times New Roman"/>
                <w:b/>
                <w:bCs/>
                <w:color w:val="auto"/>
                <w:highlight w:val="none"/>
              </w:rPr>
              <w:t>预测分析</w:t>
            </w:r>
          </w:p>
          <w:p w14:paraId="5DC9496F">
            <w:pPr>
              <w:spacing w:line="360" w:lineRule="auto"/>
              <w:ind w:firstLine="480" w:firstLineChars="200"/>
              <w:rPr>
                <w:rFonts w:eastAsiaTheme="minorEastAsia"/>
                <w:color w:val="auto"/>
                <w:highlight w:val="none"/>
              </w:rPr>
            </w:pPr>
            <w:r>
              <w:rPr>
                <w:rFonts w:hint="default" w:ascii="Times New Roman" w:hAnsi="Times New Roman" w:eastAsia="宋体" w:cs="Times New Roman"/>
                <w:color w:val="auto"/>
                <w:sz w:val="24"/>
                <w:highlight w:val="none"/>
              </w:rPr>
              <w:t>本次</w:t>
            </w:r>
            <w:r>
              <w:rPr>
                <w:rFonts w:hint="default" w:ascii="Times New Roman" w:hAnsi="Times New Roman" w:eastAsia="宋体" w:cs="Times New Roman"/>
                <w:color w:val="auto"/>
                <w:sz w:val="24"/>
                <w:highlight w:val="none"/>
                <w:lang w:val="en-US" w:eastAsia="zh-CN"/>
              </w:rPr>
              <w:t>改扩建</w:t>
            </w:r>
            <w:r>
              <w:rPr>
                <w:rFonts w:hint="default" w:ascii="Times New Roman" w:hAnsi="Times New Roman" w:eastAsia="宋体" w:cs="Times New Roman"/>
                <w:color w:val="auto"/>
                <w:sz w:val="24"/>
                <w:highlight w:val="none"/>
              </w:rPr>
              <w:t>工程建成后，</w:t>
            </w:r>
            <w:r>
              <w:rPr>
                <w:rFonts w:hint="default" w:ascii="Times New Roman" w:hAnsi="Times New Roman" w:eastAsia="宋体" w:cs="Times New Roman"/>
                <w:color w:val="auto"/>
                <w:sz w:val="24"/>
                <w:highlight w:val="none"/>
                <w:lang w:val="en-US" w:eastAsia="zh-CN"/>
              </w:rPr>
              <w:t>新增</w:t>
            </w:r>
            <w:r>
              <w:rPr>
                <w:rFonts w:hint="default" w:ascii="Times New Roman" w:hAnsi="Times New Roman" w:eastAsia="宋体" w:cs="Times New Roman"/>
                <w:color w:val="auto"/>
                <w:sz w:val="24"/>
                <w:highlight w:val="none"/>
              </w:rPr>
              <w:t>噪声源在四周厂界处噪声最大贡献值为</w:t>
            </w:r>
            <w:r>
              <w:rPr>
                <w:rFonts w:hint="eastAsia" w:cs="Times New Roman"/>
                <w:color w:val="auto"/>
                <w:sz w:val="24"/>
                <w:highlight w:val="none"/>
                <w:lang w:val="en-US" w:eastAsia="zh-CN"/>
              </w:rPr>
              <w:t>58.1</w:t>
            </w:r>
            <w:r>
              <w:rPr>
                <w:rFonts w:hint="default" w:ascii="Times New Roman" w:hAnsi="Times New Roman" w:eastAsia="宋体" w:cs="Times New Roman"/>
                <w:color w:val="auto"/>
                <w:sz w:val="24"/>
                <w:highlight w:val="none"/>
              </w:rPr>
              <w:t>dB(A)，满足《工业企业厂界环境噪声排放标准》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GB12348-2008</w:t>
            </w:r>
            <w:r>
              <w:rPr>
                <w:rFonts w:hint="eastAsia" w:cs="Times New Roman"/>
                <w:color w:val="auto"/>
                <w:sz w:val="24"/>
                <w:highlight w:val="none"/>
                <w:lang w:eastAsia="zh-CN"/>
              </w:rPr>
              <w:t>）</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类标准要求。</w:t>
            </w:r>
            <w:r>
              <w:rPr>
                <w:rFonts w:hint="eastAsia" w:cs="Times New Roman"/>
                <w:color w:val="auto"/>
                <w:sz w:val="24"/>
                <w:highlight w:val="none"/>
                <w:lang w:val="en-US" w:eastAsia="zh-CN"/>
              </w:rPr>
              <w:t>现有</w:t>
            </w:r>
            <w:r>
              <w:rPr>
                <w:rFonts w:hint="default" w:ascii="Times New Roman" w:hAnsi="Times New Roman" w:eastAsia="宋体" w:cs="Times New Roman"/>
                <w:color w:val="auto"/>
                <w:sz w:val="24"/>
                <w:highlight w:val="none"/>
                <w:lang w:val="en-US" w:eastAsia="zh-CN"/>
              </w:rPr>
              <w:t>项目</w:t>
            </w:r>
            <w:r>
              <w:rPr>
                <w:rFonts w:hint="eastAsia" w:cs="Times New Roman"/>
                <w:color w:val="auto"/>
                <w:sz w:val="24"/>
                <w:highlight w:val="none"/>
                <w:lang w:val="en-US" w:eastAsia="zh-CN"/>
              </w:rPr>
              <w:t>通过厂界噪声自行监测结果</w:t>
            </w:r>
            <w:r>
              <w:rPr>
                <w:rFonts w:hint="default" w:ascii="Times New Roman" w:hAnsi="Times New Roman" w:eastAsia="宋体" w:cs="Times New Roman"/>
                <w:color w:val="auto"/>
                <w:sz w:val="24"/>
                <w:highlight w:val="none"/>
              </w:rPr>
              <w:t>可以体现厂内现有噪声源的影响，在叠加了现状值后，厂界昼间噪声最大值为</w:t>
            </w:r>
            <w:r>
              <w:rPr>
                <w:rFonts w:hint="eastAsia" w:cs="Times New Roman"/>
                <w:color w:val="auto"/>
                <w:sz w:val="24"/>
                <w:highlight w:val="none"/>
                <w:lang w:val="en-US" w:eastAsia="zh-CN"/>
              </w:rPr>
              <w:t>58.0</w:t>
            </w:r>
            <w:r>
              <w:rPr>
                <w:rFonts w:hint="default" w:ascii="Times New Roman" w:hAnsi="Times New Roman" w:eastAsia="宋体" w:cs="Times New Roman"/>
                <w:color w:val="auto"/>
                <w:sz w:val="24"/>
                <w:highlight w:val="none"/>
              </w:rPr>
              <w:t>dB(A)，夜间噪声最大值为</w:t>
            </w:r>
            <w:r>
              <w:rPr>
                <w:rFonts w:hint="eastAsia" w:cs="Times New Roman"/>
                <w:color w:val="auto"/>
                <w:sz w:val="24"/>
                <w:highlight w:val="none"/>
                <w:lang w:val="en-US" w:eastAsia="zh-CN"/>
              </w:rPr>
              <w:t>52.1</w:t>
            </w:r>
            <w:r>
              <w:rPr>
                <w:rFonts w:hint="default" w:ascii="Times New Roman" w:hAnsi="Times New Roman" w:eastAsia="宋体" w:cs="Times New Roman"/>
                <w:color w:val="auto"/>
                <w:sz w:val="24"/>
                <w:highlight w:val="none"/>
              </w:rPr>
              <w:t>dB(A)，满足《工业企业厂界环境噪声排放标准》</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GB12348-2008</w:t>
            </w:r>
            <w:r>
              <w:rPr>
                <w:rFonts w:hint="eastAsia" w:cs="Times New Roman"/>
                <w:color w:val="auto"/>
                <w:sz w:val="24"/>
                <w:highlight w:val="none"/>
                <w:lang w:eastAsia="zh-CN"/>
              </w:rPr>
              <w:t>）</w:t>
            </w:r>
            <w:r>
              <w:rPr>
                <w:rFonts w:hint="eastAsia" w:cs="Times New Roman"/>
                <w:color w:val="auto"/>
                <w:sz w:val="24"/>
                <w:highlight w:val="none"/>
                <w:lang w:val="en-US" w:eastAsia="zh-CN"/>
              </w:rPr>
              <w:t>1中3</w:t>
            </w:r>
            <w:r>
              <w:rPr>
                <w:rFonts w:hint="default" w:ascii="Times New Roman" w:hAnsi="Times New Roman" w:eastAsia="宋体" w:cs="Times New Roman"/>
                <w:color w:val="auto"/>
                <w:sz w:val="24"/>
                <w:highlight w:val="none"/>
              </w:rPr>
              <w:t>类标准要求</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因此，本项目产生的噪声对周围声环境的影响很小。</w:t>
            </w:r>
          </w:p>
        </w:tc>
      </w:tr>
      <w:tr w14:paraId="7B5FB9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58" w:hRule="atLeast"/>
          <w:jc w:val="center"/>
        </w:trPr>
        <w:tc>
          <w:tcPr>
            <w:tcW w:w="467" w:type="dxa"/>
            <w:tcBorders>
              <w:tl2br w:val="nil"/>
              <w:tr2bl w:val="nil"/>
            </w:tcBorders>
            <w:noWrap/>
            <w:tcMar>
              <w:top w:w="0" w:type="dxa"/>
              <w:left w:w="28" w:type="dxa"/>
              <w:bottom w:w="0" w:type="dxa"/>
              <w:right w:w="28" w:type="dxa"/>
            </w:tcMar>
            <w:vAlign w:val="center"/>
          </w:tcPr>
          <w:p w14:paraId="507DC7B8">
            <w:pPr>
              <w:adjustRightInd w:val="0"/>
              <w:snapToGrid w:val="0"/>
              <w:jc w:val="center"/>
              <w:rPr>
                <w:rFonts w:hint="eastAsia" w:eastAsiaTheme="minorEastAsia"/>
                <w:bCs/>
                <w:color w:val="auto"/>
                <w:sz w:val="24"/>
                <w:highlight w:val="none"/>
                <w:lang w:val="en-US" w:eastAsia="zh-CN"/>
              </w:rPr>
            </w:pPr>
          </w:p>
        </w:tc>
        <w:tc>
          <w:tcPr>
            <w:tcW w:w="8848" w:type="dxa"/>
            <w:tcBorders>
              <w:tl2br w:val="nil"/>
              <w:tr2bl w:val="nil"/>
            </w:tcBorders>
            <w:noWrap/>
            <w:vAlign w:val="center"/>
          </w:tcPr>
          <w:p w14:paraId="20D4ED6A">
            <w:pPr>
              <w:pStyle w:val="27"/>
              <w:spacing w:line="360" w:lineRule="auto"/>
              <w:ind w:firstLine="482" w:firstLineChars="200"/>
              <w:rPr>
                <w:rFonts w:ascii="Times New Roman" w:hAnsi="Times New Roman" w:cs="Times New Roman" w:eastAsiaTheme="minorEastAsia"/>
                <w:b/>
                <w:bCs/>
                <w:color w:val="auto"/>
                <w:sz w:val="24"/>
                <w:highlight w:val="none"/>
                <w:lang w:val="en-US"/>
              </w:rPr>
            </w:pPr>
            <w:r>
              <w:rPr>
                <w:rFonts w:hint="eastAsia" w:ascii="Times New Roman" w:hAnsi="Times New Roman" w:cs="Times New Roman" w:eastAsiaTheme="minorEastAsia"/>
                <w:b/>
                <w:bCs/>
                <w:color w:val="auto"/>
                <w:sz w:val="24"/>
                <w:highlight w:val="none"/>
                <w:lang w:val="en-US" w:eastAsia="zh-CN"/>
              </w:rPr>
              <w:t>4.</w:t>
            </w:r>
            <w:r>
              <w:rPr>
                <w:rFonts w:ascii="Times New Roman" w:hAnsi="Times New Roman" w:cs="Times New Roman" w:eastAsiaTheme="minorEastAsia"/>
                <w:b/>
                <w:bCs/>
                <w:color w:val="auto"/>
                <w:sz w:val="24"/>
                <w:highlight w:val="none"/>
                <w:lang w:val="en-US"/>
              </w:rPr>
              <w:t>降噪措施</w:t>
            </w:r>
          </w:p>
          <w:p w14:paraId="5C0BC9B9">
            <w:pPr>
              <w:spacing w:line="360" w:lineRule="auto"/>
              <w:ind w:firstLine="480" w:firstLineChars="200"/>
              <w:rPr>
                <w:rFonts w:hint="eastAsia" w:ascii="Times New Roman" w:hAnsi="Times New Roman"/>
                <w:color w:val="auto"/>
                <w:sz w:val="24"/>
                <w:szCs w:val="24"/>
                <w:highlight w:val="none"/>
                <w:lang w:eastAsia="zh-CN"/>
              </w:rPr>
            </w:pPr>
            <w:r>
              <w:rPr>
                <w:rFonts w:hint="eastAsia" w:ascii="Times New Roman" w:hAnsi="Times New Roman"/>
                <w:color w:val="auto"/>
                <w:sz w:val="24"/>
                <w:szCs w:val="24"/>
                <w:highlight w:val="none"/>
                <w:lang w:eastAsia="zh-CN"/>
              </w:rPr>
              <w:t>为了减轻设备运行产生的噪声对周围环境的影响，</w:t>
            </w:r>
            <w:r>
              <w:rPr>
                <w:rFonts w:hint="eastAsia"/>
                <w:color w:val="auto"/>
                <w:sz w:val="24"/>
                <w:szCs w:val="24"/>
                <w:highlight w:val="none"/>
                <w:lang w:val="en-US" w:eastAsia="zh-CN"/>
              </w:rPr>
              <w:t>本次环评要求建设单位</w:t>
            </w:r>
            <w:r>
              <w:rPr>
                <w:rFonts w:hint="eastAsia" w:ascii="Times New Roman" w:hAnsi="Times New Roman"/>
                <w:color w:val="auto"/>
                <w:sz w:val="24"/>
                <w:szCs w:val="24"/>
                <w:highlight w:val="none"/>
                <w:lang w:eastAsia="zh-CN"/>
              </w:rPr>
              <w:t>采取如下降噪措施：</w:t>
            </w:r>
          </w:p>
          <w:p w14:paraId="3A1FEC36">
            <w:pPr>
              <w:spacing w:line="360" w:lineRule="auto"/>
              <w:ind w:firstLine="480" w:firstLineChars="200"/>
              <w:rPr>
                <w:rFonts w:hint="eastAsia" w:ascii="Times New Roman" w:hAnsi="Times New Roman" w:eastAsia="宋体"/>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highlight w:val="none"/>
                <w:lang w:val="en-US" w:eastAsia="zh-CN"/>
              </w:rPr>
              <w:t>生产</w:t>
            </w:r>
            <w:r>
              <w:rPr>
                <w:rFonts w:hint="eastAsia"/>
                <w:color w:val="auto"/>
                <w:sz w:val="24"/>
                <w:highlight w:val="none"/>
              </w:rPr>
              <w:t>设备</w:t>
            </w:r>
            <w:r>
              <w:rPr>
                <w:rFonts w:hint="eastAsia"/>
                <w:color w:val="auto"/>
                <w:sz w:val="24"/>
                <w:highlight w:val="none"/>
                <w:lang w:val="en-US" w:eastAsia="zh-CN"/>
              </w:rPr>
              <w:t>尽可能</w:t>
            </w:r>
            <w:r>
              <w:rPr>
                <w:rFonts w:hint="eastAsia"/>
                <w:color w:val="auto"/>
                <w:sz w:val="24"/>
                <w:highlight w:val="none"/>
              </w:rPr>
              <w:t>布置于</w:t>
            </w:r>
            <w:r>
              <w:rPr>
                <w:rFonts w:hint="eastAsia"/>
                <w:color w:val="auto"/>
                <w:sz w:val="24"/>
                <w:highlight w:val="none"/>
                <w:lang w:val="en-US" w:eastAsia="zh-CN"/>
              </w:rPr>
              <w:t>生产厂房</w:t>
            </w:r>
            <w:r>
              <w:rPr>
                <w:rFonts w:hint="eastAsia"/>
                <w:color w:val="auto"/>
                <w:sz w:val="24"/>
                <w:highlight w:val="none"/>
              </w:rPr>
              <w:t>内，经</w:t>
            </w:r>
            <w:r>
              <w:rPr>
                <w:rFonts w:hint="eastAsia"/>
                <w:color w:val="auto"/>
                <w:sz w:val="24"/>
                <w:highlight w:val="none"/>
                <w:lang w:val="en-US" w:eastAsia="zh-CN"/>
              </w:rPr>
              <w:t>厂房</w:t>
            </w:r>
            <w:r>
              <w:rPr>
                <w:rFonts w:hint="eastAsia"/>
                <w:color w:val="auto"/>
                <w:sz w:val="24"/>
                <w:highlight w:val="none"/>
              </w:rPr>
              <w:t>墙体阻隔可一定程度上减轻对周边声环境的影响</w:t>
            </w:r>
            <w:r>
              <w:rPr>
                <w:rFonts w:hint="eastAsia"/>
                <w:color w:val="auto"/>
                <w:sz w:val="24"/>
                <w:highlight w:val="none"/>
                <w:lang w:eastAsia="zh-CN"/>
              </w:rPr>
              <w:t>；</w:t>
            </w:r>
          </w:p>
          <w:p w14:paraId="2484144A">
            <w:pPr>
              <w:numPr>
                <w:ilvl w:val="0"/>
                <w:numId w:val="0"/>
              </w:numPr>
              <w:spacing w:line="360" w:lineRule="auto"/>
              <w:ind w:firstLine="480" w:firstLineChars="200"/>
              <w:rPr>
                <w:rFonts w:hint="eastAsia" w:ascii="Times New Roman" w:hAnsi="Times New Roman"/>
                <w:color w:val="auto"/>
                <w:sz w:val="24"/>
                <w:szCs w:val="24"/>
                <w:highlight w:val="none"/>
                <w:lang w:eastAsia="zh-CN"/>
              </w:rPr>
            </w:pPr>
            <w:r>
              <w:rPr>
                <w:rFonts w:hint="eastAsia"/>
                <w:color w:val="auto"/>
                <w:sz w:val="24"/>
                <w:szCs w:val="24"/>
                <w:highlight w:val="none"/>
                <w:lang w:val="en-US" w:eastAsia="zh-CN"/>
              </w:rPr>
              <w:t>（2）合理布局，从传播过程中降低噪声影响，对于强噪声设备或操作应尽可能远离厂界布置。</w:t>
            </w:r>
          </w:p>
          <w:p w14:paraId="3EDFE7B5">
            <w:pPr>
              <w:numPr>
                <w:ilvl w:val="0"/>
                <w:numId w:val="0"/>
              </w:numPr>
              <w:spacing w:line="360" w:lineRule="auto"/>
              <w:ind w:firstLine="480" w:firstLineChars="200"/>
              <w:rPr>
                <w:rFonts w:hint="eastAsia" w:ascii="Times New Roman" w:hAnsi="Times New Roman"/>
                <w:color w:val="auto"/>
                <w:sz w:val="24"/>
                <w:szCs w:val="24"/>
                <w:highlight w:val="none"/>
                <w:lang w:eastAsia="zh-CN"/>
              </w:rPr>
            </w:pPr>
            <w:r>
              <w:rPr>
                <w:rFonts w:hint="eastAsia"/>
                <w:color w:val="auto"/>
                <w:sz w:val="24"/>
                <w:szCs w:val="24"/>
                <w:highlight w:val="none"/>
                <w:lang w:eastAsia="zh-CN"/>
              </w:rPr>
              <w:t>（3）</w:t>
            </w:r>
            <w:r>
              <w:rPr>
                <w:rFonts w:hint="eastAsia" w:ascii="Times New Roman" w:hAnsi="Times New Roman"/>
                <w:color w:val="auto"/>
                <w:sz w:val="24"/>
                <w:szCs w:val="24"/>
                <w:highlight w:val="none"/>
                <w:lang w:eastAsia="zh-CN"/>
              </w:rPr>
              <w:t>对于噪声源强相对较高的设备</w:t>
            </w:r>
            <w:r>
              <w:rPr>
                <w:rFonts w:hint="eastAsia"/>
                <w:color w:val="auto"/>
                <w:sz w:val="24"/>
                <w:szCs w:val="24"/>
                <w:highlight w:val="none"/>
                <w:lang w:eastAsia="zh-CN"/>
              </w:rPr>
              <w:t>（</w:t>
            </w:r>
            <w:r>
              <w:rPr>
                <w:rFonts w:hint="eastAsia"/>
                <w:color w:val="auto"/>
                <w:sz w:val="24"/>
                <w:szCs w:val="24"/>
                <w:highlight w:val="none"/>
                <w:lang w:val="en-US" w:eastAsia="zh-CN"/>
              </w:rPr>
              <w:t>反击式破碎机、立轴式冲击破碎机、搅拌主机等</w:t>
            </w:r>
            <w:r>
              <w:rPr>
                <w:rFonts w:hint="eastAsia"/>
                <w:color w:val="auto"/>
                <w:sz w:val="24"/>
                <w:szCs w:val="24"/>
                <w:highlight w:val="none"/>
                <w:lang w:eastAsia="zh-CN"/>
              </w:rPr>
              <w:t>）</w:t>
            </w:r>
            <w:r>
              <w:rPr>
                <w:rFonts w:hint="eastAsia" w:ascii="Times New Roman" w:hAnsi="Times New Roman"/>
                <w:color w:val="auto"/>
                <w:sz w:val="24"/>
                <w:szCs w:val="24"/>
                <w:highlight w:val="none"/>
                <w:lang w:eastAsia="zh-CN"/>
              </w:rPr>
              <w:t>底座安装减振基座、垫橡胶圈；</w:t>
            </w:r>
          </w:p>
          <w:p w14:paraId="120598EB">
            <w:pPr>
              <w:spacing w:line="360" w:lineRule="auto"/>
              <w:ind w:firstLine="480" w:firstLineChars="200"/>
              <w:rPr>
                <w:rFonts w:hint="eastAsia" w:ascii="Times New Roman" w:hAnsi="Times New Roman"/>
                <w:color w:val="auto"/>
                <w:sz w:val="24"/>
                <w:szCs w:val="24"/>
                <w:highlight w:val="none"/>
                <w:lang w:eastAsia="zh-CN"/>
              </w:rPr>
            </w:pPr>
            <w:r>
              <w:rPr>
                <w:rFonts w:hint="eastAsia"/>
                <w:color w:val="auto"/>
                <w:sz w:val="24"/>
                <w:highlight w:val="none"/>
                <w:lang w:val="en-US" w:eastAsia="zh-CN"/>
              </w:rPr>
              <w:t>（4）风机加装</w:t>
            </w:r>
            <w:r>
              <w:rPr>
                <w:rFonts w:hint="eastAsia" w:ascii="Times New Roman" w:hAnsi="Times New Roman"/>
                <w:color w:val="auto"/>
                <w:sz w:val="24"/>
                <w:szCs w:val="24"/>
                <w:highlight w:val="none"/>
                <w:lang w:eastAsia="zh-CN"/>
              </w:rPr>
              <w:t>减振基座</w:t>
            </w:r>
            <w:r>
              <w:rPr>
                <w:rFonts w:hint="eastAsia"/>
                <w:color w:val="auto"/>
                <w:sz w:val="24"/>
                <w:highlight w:val="none"/>
                <w:lang w:val="en-US" w:eastAsia="zh-CN"/>
              </w:rPr>
              <w:t>和隔声罩等降噪措施，</w:t>
            </w:r>
            <w:r>
              <w:rPr>
                <w:rFonts w:hint="eastAsia"/>
                <w:color w:val="auto"/>
                <w:sz w:val="24"/>
                <w:highlight w:val="none"/>
              </w:rPr>
              <w:t>风机接口采用软性连接</w:t>
            </w:r>
            <w:r>
              <w:rPr>
                <w:rFonts w:hint="eastAsia"/>
                <w:color w:val="auto"/>
                <w:sz w:val="24"/>
                <w:highlight w:val="none"/>
                <w:lang w:eastAsia="zh-CN"/>
              </w:rPr>
              <w:t>；</w:t>
            </w:r>
          </w:p>
          <w:p w14:paraId="72C3C976">
            <w:pPr>
              <w:numPr>
                <w:ilvl w:val="0"/>
                <w:numId w:val="0"/>
              </w:numPr>
              <w:spacing w:line="360" w:lineRule="auto"/>
              <w:ind w:firstLine="480" w:firstLineChars="200"/>
              <w:rPr>
                <w:rFonts w:hint="eastAsia" w:ascii="Times New Roman" w:hAnsi="Times New Roman"/>
                <w:color w:val="auto"/>
                <w:sz w:val="24"/>
                <w:szCs w:val="24"/>
                <w:highlight w:val="none"/>
                <w:lang w:eastAsia="zh-CN"/>
              </w:rPr>
            </w:pPr>
            <w:r>
              <w:rPr>
                <w:rFonts w:hint="eastAsia" w:cs="Times New Roman" w:eastAsiaTheme="minorEastAsia"/>
                <w:color w:val="auto"/>
                <w:sz w:val="24"/>
                <w:highlight w:val="none"/>
                <w:lang w:val="en-US" w:eastAsia="zh-CN"/>
              </w:rPr>
              <w:t>（5）</w:t>
            </w:r>
            <w:r>
              <w:rPr>
                <w:rFonts w:ascii="Times New Roman" w:hAnsi="Times New Roman" w:cs="Times New Roman" w:eastAsiaTheme="minorEastAsia"/>
                <w:color w:val="auto"/>
                <w:sz w:val="24"/>
                <w:highlight w:val="none"/>
                <w:lang w:val="en-US"/>
              </w:rPr>
              <w:t>严格管理制度，减少作业时产生的不必要的人为噪声源；</w:t>
            </w:r>
          </w:p>
          <w:p w14:paraId="0F2C50B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cs="宋体"/>
                <w:color w:val="auto"/>
                <w:kern w:val="0"/>
                <w:sz w:val="24"/>
                <w:szCs w:val="24"/>
                <w:highlight w:val="none"/>
                <w:lang w:eastAsia="zh-CN"/>
              </w:rPr>
            </w:pPr>
            <w:r>
              <w:rPr>
                <w:rFonts w:hint="default" w:ascii="Times New Roman" w:hAnsi="Times New Roman" w:cs="Times New Roman"/>
                <w:color w:val="auto"/>
                <w:kern w:val="0"/>
                <w:sz w:val="24"/>
                <w:highlight w:val="none"/>
                <w:lang w:eastAsia="zh-CN"/>
              </w:rPr>
              <w:t>（6）</w:t>
            </w:r>
            <w:r>
              <w:rPr>
                <w:rFonts w:hint="eastAsia" w:ascii="宋体" w:hAnsi="宋体" w:cs="宋体"/>
                <w:color w:val="auto"/>
                <w:kern w:val="0"/>
                <w:sz w:val="24"/>
                <w:highlight w:val="none"/>
                <w:lang w:eastAsia="zh-CN"/>
              </w:rPr>
              <w:t>建立设备定期维护、保养的管理制度，对设备应加强保养维护，以防止</w:t>
            </w:r>
            <w:r>
              <w:rPr>
                <w:rFonts w:hint="eastAsia" w:ascii="宋体" w:hAnsi="宋体" w:cs="宋体"/>
                <w:color w:val="auto"/>
                <w:kern w:val="0"/>
                <w:sz w:val="24"/>
                <w:highlight w:val="none"/>
                <w:lang w:val="en-US" w:eastAsia="zh-CN"/>
              </w:rPr>
              <w:t>因</w:t>
            </w:r>
            <w:r>
              <w:rPr>
                <w:rFonts w:hint="eastAsia" w:ascii="宋体" w:hAnsi="宋体" w:cs="宋体"/>
                <w:color w:val="auto"/>
                <w:kern w:val="0"/>
                <w:sz w:val="24"/>
                <w:highlight w:val="none"/>
                <w:lang w:eastAsia="zh-CN"/>
              </w:rPr>
              <w:t>设备故障形成的非正常生产噪声。</w:t>
            </w:r>
          </w:p>
          <w:p w14:paraId="766B017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olor w:val="auto"/>
                <w:sz w:val="24"/>
                <w:szCs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7</w:t>
            </w:r>
            <w:r>
              <w:rPr>
                <w:rFonts w:hint="eastAsia"/>
                <w:color w:val="auto"/>
                <w:sz w:val="24"/>
                <w:highlight w:val="none"/>
                <w:lang w:eastAsia="zh-CN"/>
              </w:rPr>
              <w:t>）</w:t>
            </w:r>
            <w:r>
              <w:rPr>
                <w:rFonts w:hint="eastAsia"/>
                <w:color w:val="auto"/>
                <w:sz w:val="24"/>
                <w:highlight w:val="none"/>
              </w:rPr>
              <w:t>对于进出厂区的</w:t>
            </w:r>
            <w:r>
              <w:rPr>
                <w:rFonts w:hint="eastAsia"/>
                <w:color w:val="auto"/>
                <w:sz w:val="24"/>
                <w:highlight w:val="none"/>
                <w:lang w:val="en-US" w:eastAsia="zh-CN"/>
              </w:rPr>
              <w:t>运输</w:t>
            </w:r>
            <w:r>
              <w:rPr>
                <w:rFonts w:hint="eastAsia"/>
                <w:color w:val="auto"/>
                <w:sz w:val="24"/>
                <w:highlight w:val="none"/>
              </w:rPr>
              <w:t>车辆，要求进出厂区时要减速行驶，要求驾驶员加强环保意识，尽可能减少鸣笛次数。</w:t>
            </w:r>
          </w:p>
          <w:p w14:paraId="6560F52F">
            <w:pPr>
              <w:pStyle w:val="15"/>
              <w:numPr>
                <w:ilvl w:val="0"/>
                <w:numId w:val="0"/>
              </w:numPr>
              <w:spacing w:line="360" w:lineRule="auto"/>
              <w:ind w:firstLine="480" w:firstLineChars="200"/>
              <w:rPr>
                <w:rFonts w:hint="eastAsia" w:ascii="Times New Roman" w:hAnsi="Times New Roman"/>
                <w:color w:val="auto"/>
                <w:sz w:val="24"/>
                <w:szCs w:val="24"/>
                <w:highlight w:val="none"/>
                <w:lang w:eastAsia="zh-CN"/>
              </w:rPr>
            </w:pPr>
            <w:r>
              <w:rPr>
                <w:rFonts w:hint="eastAsia"/>
                <w:color w:val="auto"/>
                <w:sz w:val="24"/>
                <w:highlight w:val="none"/>
                <w:lang w:eastAsia="zh-CN"/>
              </w:rPr>
              <w:t>采取上述措施后，生产设备产生的噪声经厂房隔声及距离衰减后，对周边</w:t>
            </w:r>
            <w:r>
              <w:rPr>
                <w:rFonts w:hint="eastAsia"/>
                <w:color w:val="auto"/>
                <w:sz w:val="24"/>
                <w:highlight w:val="none"/>
                <w:lang w:val="en-US" w:eastAsia="zh-CN"/>
              </w:rPr>
              <w:t>声</w:t>
            </w:r>
            <w:r>
              <w:rPr>
                <w:rFonts w:hint="eastAsia"/>
                <w:color w:val="auto"/>
                <w:sz w:val="24"/>
                <w:highlight w:val="none"/>
                <w:lang w:eastAsia="zh-CN"/>
              </w:rPr>
              <w:t>环境影响较小。</w:t>
            </w:r>
          </w:p>
          <w:p w14:paraId="6A05AD03">
            <w:pPr>
              <w:pStyle w:val="27"/>
              <w:spacing w:line="360" w:lineRule="auto"/>
              <w:ind w:firstLine="482" w:firstLineChars="200"/>
              <w:rPr>
                <w:rFonts w:ascii="Times New Roman" w:hAnsi="Times New Roman" w:cs="Times New Roman" w:eastAsiaTheme="minorEastAsia"/>
                <w:b/>
                <w:bCs/>
                <w:color w:val="auto"/>
                <w:sz w:val="24"/>
                <w:highlight w:val="none"/>
                <w:lang w:val="en-US"/>
              </w:rPr>
            </w:pPr>
            <w:r>
              <w:rPr>
                <w:rFonts w:hint="eastAsia" w:ascii="Times New Roman" w:hAnsi="Times New Roman" w:cs="Times New Roman" w:eastAsiaTheme="minorEastAsia"/>
                <w:b/>
                <w:bCs/>
                <w:color w:val="auto"/>
                <w:sz w:val="24"/>
                <w:highlight w:val="none"/>
                <w:lang w:val="en-US" w:eastAsia="zh-CN"/>
              </w:rPr>
              <w:t>5.自行</w:t>
            </w:r>
            <w:r>
              <w:rPr>
                <w:rFonts w:ascii="Times New Roman" w:hAnsi="Times New Roman" w:cs="Times New Roman" w:eastAsiaTheme="minorEastAsia"/>
                <w:b/>
                <w:bCs/>
                <w:color w:val="auto"/>
                <w:sz w:val="24"/>
                <w:highlight w:val="none"/>
                <w:lang w:val="en-US"/>
              </w:rPr>
              <w:t>监测计划</w:t>
            </w:r>
          </w:p>
          <w:p w14:paraId="30ED4181">
            <w:pPr>
              <w:pStyle w:val="27"/>
              <w:spacing w:line="360" w:lineRule="auto"/>
              <w:ind w:firstLine="480" w:firstLineChars="200"/>
              <w:rPr>
                <w:rFonts w:ascii="Times New Roman" w:hAnsi="Times New Roman" w:cs="Times New Roman" w:eastAsiaTheme="minorEastAsia"/>
                <w:color w:val="auto"/>
                <w:sz w:val="24"/>
                <w:highlight w:val="none"/>
                <w:lang w:val="en-US"/>
              </w:rPr>
            </w:pPr>
            <w:r>
              <w:rPr>
                <w:rFonts w:ascii="Times New Roman" w:hAnsi="Times New Roman"/>
                <w:color w:val="auto"/>
                <w:sz w:val="24"/>
                <w:highlight w:val="none"/>
              </w:rPr>
              <w:t>监测工作可由企业自行完成，如不具备监测条件、委托有资质第三方单位完成</w:t>
            </w:r>
            <w:r>
              <w:rPr>
                <w:rFonts w:hint="eastAsia" w:ascii="Times New Roman" w:hAnsi="Times New Roman"/>
                <w:color w:val="auto"/>
                <w:sz w:val="24"/>
                <w:highlight w:val="none"/>
                <w:lang w:eastAsia="zh-CN"/>
              </w:rPr>
              <w:t>。</w:t>
            </w:r>
            <w:r>
              <w:rPr>
                <w:rFonts w:ascii="Times New Roman" w:hAnsi="Times New Roman" w:cs="Times New Roman" w:eastAsiaTheme="minorEastAsia"/>
                <w:color w:val="auto"/>
                <w:sz w:val="24"/>
                <w:highlight w:val="none"/>
                <w:lang w:val="en-US"/>
              </w:rPr>
              <w:t>根据《排污单位自行监测技术指南 总则》（HJ819-2017）</w:t>
            </w:r>
            <w:r>
              <w:rPr>
                <w:rFonts w:hint="eastAsia" w:ascii="Times New Roman" w:hAnsi="Times New Roman" w:cs="Times New Roman" w:eastAsiaTheme="minorEastAsia"/>
                <w:color w:val="auto"/>
                <w:sz w:val="24"/>
                <w:highlight w:val="none"/>
                <w:lang w:val="en-US" w:eastAsia="zh-CN"/>
              </w:rPr>
              <w:t>和</w:t>
            </w:r>
            <w:r>
              <w:rPr>
                <w:rFonts w:ascii="Times New Roman" w:hAnsi="Times New Roman" w:cs="Times New Roman" w:eastAsiaTheme="minorEastAsia"/>
                <w:color w:val="auto"/>
                <w:sz w:val="24"/>
                <w:highlight w:val="none"/>
                <w:lang w:val="en-US"/>
              </w:rPr>
              <w:t xml:space="preserve">《排污单位自行监测技术指南 </w:t>
            </w:r>
            <w:r>
              <w:rPr>
                <w:rFonts w:hint="eastAsia" w:ascii="Times New Roman" w:hAnsi="Times New Roman" w:cs="Times New Roman" w:eastAsiaTheme="minorEastAsia"/>
                <w:color w:val="auto"/>
                <w:sz w:val="24"/>
                <w:highlight w:val="none"/>
                <w:lang w:val="en-US" w:eastAsia="zh-CN"/>
              </w:rPr>
              <w:t>水泥工业</w:t>
            </w:r>
            <w:r>
              <w:rPr>
                <w:rFonts w:ascii="Times New Roman" w:hAnsi="Times New Roman" w:cs="Times New Roman" w:eastAsiaTheme="minorEastAsia"/>
                <w:color w:val="auto"/>
                <w:sz w:val="24"/>
                <w:highlight w:val="none"/>
                <w:lang w:val="en-US"/>
              </w:rPr>
              <w:t>》（HJ</w:t>
            </w:r>
            <w:r>
              <w:rPr>
                <w:rFonts w:hint="eastAsia" w:ascii="Times New Roman" w:hAnsi="Times New Roman" w:cs="Times New Roman" w:eastAsiaTheme="minorEastAsia"/>
                <w:color w:val="auto"/>
                <w:sz w:val="24"/>
                <w:highlight w:val="none"/>
                <w:lang w:val="en-US" w:eastAsia="zh-CN"/>
              </w:rPr>
              <w:t>848-2017</w:t>
            </w:r>
            <w:r>
              <w:rPr>
                <w:rFonts w:ascii="Times New Roman" w:hAnsi="Times New Roman" w:cs="Times New Roman" w:eastAsiaTheme="minorEastAsia"/>
                <w:color w:val="auto"/>
                <w:sz w:val="24"/>
                <w:highlight w:val="none"/>
                <w:lang w:val="en-US"/>
              </w:rPr>
              <w:t>），本项目噪声监测计划见下表4-</w:t>
            </w:r>
            <w:r>
              <w:rPr>
                <w:rFonts w:hint="eastAsia" w:ascii="Times New Roman" w:hAnsi="Times New Roman" w:cs="Times New Roman" w:eastAsiaTheme="minorEastAsia"/>
                <w:color w:val="auto"/>
                <w:sz w:val="24"/>
                <w:highlight w:val="none"/>
                <w:lang w:val="en-US" w:eastAsia="zh-CN"/>
              </w:rPr>
              <w:t>15</w:t>
            </w:r>
            <w:r>
              <w:rPr>
                <w:rFonts w:ascii="Times New Roman" w:hAnsi="Times New Roman" w:cs="Times New Roman" w:eastAsiaTheme="minorEastAsia"/>
                <w:color w:val="auto"/>
                <w:sz w:val="24"/>
                <w:highlight w:val="none"/>
                <w:lang w:val="en-US"/>
              </w:rPr>
              <w:t>。</w:t>
            </w:r>
          </w:p>
          <w:p w14:paraId="6CDCEDAB">
            <w:pPr>
              <w:pStyle w:val="27"/>
              <w:spacing w:line="240" w:lineRule="auto"/>
              <w:ind w:firstLine="422" w:firstLineChars="200"/>
              <w:jc w:val="center"/>
              <w:rPr>
                <w:rFonts w:ascii="Times New Roman" w:hAnsi="Times New Roman" w:cs="Times New Roman" w:eastAsiaTheme="minorEastAsia"/>
                <w:b/>
                <w:bCs/>
                <w:color w:val="auto"/>
                <w:sz w:val="21"/>
                <w:szCs w:val="21"/>
                <w:highlight w:val="none"/>
                <w:lang w:val="en-US"/>
              </w:rPr>
            </w:pPr>
            <w:r>
              <w:rPr>
                <w:rFonts w:ascii="Times New Roman" w:hAnsi="Times New Roman" w:cs="Times New Roman" w:eastAsiaTheme="minorEastAsia"/>
                <w:b/>
                <w:bCs/>
                <w:color w:val="auto"/>
                <w:sz w:val="21"/>
                <w:szCs w:val="21"/>
                <w:highlight w:val="none"/>
                <w:lang w:val="en-US"/>
              </w:rPr>
              <w:t>表4-</w:t>
            </w:r>
            <w:r>
              <w:rPr>
                <w:rFonts w:hint="eastAsia" w:ascii="Times New Roman" w:hAnsi="Times New Roman" w:cs="Times New Roman" w:eastAsiaTheme="minorEastAsia"/>
                <w:b/>
                <w:bCs/>
                <w:color w:val="auto"/>
                <w:sz w:val="21"/>
                <w:szCs w:val="21"/>
                <w:highlight w:val="none"/>
                <w:lang w:val="en-US" w:eastAsia="zh-CN"/>
              </w:rPr>
              <w:t>15</w:t>
            </w:r>
            <w:r>
              <w:rPr>
                <w:rFonts w:ascii="Times New Roman" w:hAnsi="Times New Roman" w:cs="Times New Roman" w:eastAsiaTheme="minorEastAsia"/>
                <w:b/>
                <w:bCs/>
                <w:color w:val="auto"/>
                <w:sz w:val="21"/>
                <w:szCs w:val="21"/>
                <w:highlight w:val="none"/>
                <w:lang w:val="en-US"/>
              </w:rPr>
              <w:t xml:space="preserve">  项目噪声监测计划表</w:t>
            </w:r>
          </w:p>
          <w:tbl>
            <w:tblPr>
              <w:tblStyle w:val="20"/>
              <w:tblW w:w="80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057"/>
              <w:gridCol w:w="1058"/>
              <w:gridCol w:w="1057"/>
              <w:gridCol w:w="1082"/>
              <w:gridCol w:w="2805"/>
            </w:tblGrid>
            <w:tr w14:paraId="0F834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6" w:type="dxa"/>
                  <w:tcBorders>
                    <w:tl2br w:val="nil"/>
                    <w:tr2bl w:val="nil"/>
                  </w:tcBorders>
                  <w:noWrap/>
                  <w:vAlign w:val="center"/>
                </w:tcPr>
                <w:p w14:paraId="35132CAB">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b/>
                      <w:bCs/>
                      <w:color w:val="auto"/>
                      <w:szCs w:val="21"/>
                      <w:highlight w:val="none"/>
                      <w:lang w:val="en-US" w:eastAsia="zh-CN"/>
                    </w:rPr>
                  </w:pPr>
                  <w:r>
                    <w:rPr>
                      <w:rFonts w:hint="eastAsia" w:eastAsiaTheme="minorEastAsia"/>
                      <w:b/>
                      <w:bCs/>
                      <w:color w:val="auto"/>
                      <w:szCs w:val="21"/>
                      <w:highlight w:val="none"/>
                      <w:lang w:val="en-US" w:eastAsia="zh-CN"/>
                    </w:rPr>
                    <w:t>类型</w:t>
                  </w:r>
                </w:p>
              </w:tc>
              <w:tc>
                <w:tcPr>
                  <w:tcW w:w="1057" w:type="dxa"/>
                  <w:tcBorders>
                    <w:tl2br w:val="nil"/>
                    <w:tr2bl w:val="nil"/>
                  </w:tcBorders>
                  <w:noWrap/>
                  <w:vAlign w:val="center"/>
                </w:tcPr>
                <w:p w14:paraId="0305C817">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b/>
                      <w:bCs/>
                      <w:color w:val="auto"/>
                      <w:szCs w:val="21"/>
                      <w:highlight w:val="none"/>
                      <w:lang w:val="en-US" w:eastAsia="zh-CN"/>
                    </w:rPr>
                  </w:pPr>
                  <w:r>
                    <w:rPr>
                      <w:rFonts w:hint="eastAsia" w:eastAsiaTheme="minorEastAsia"/>
                      <w:b/>
                      <w:bCs/>
                      <w:color w:val="auto"/>
                      <w:szCs w:val="21"/>
                      <w:highlight w:val="none"/>
                      <w:lang w:val="en-US" w:eastAsia="zh-CN"/>
                    </w:rPr>
                    <w:t>污染源</w:t>
                  </w:r>
                </w:p>
              </w:tc>
              <w:tc>
                <w:tcPr>
                  <w:tcW w:w="1058" w:type="dxa"/>
                  <w:tcBorders>
                    <w:tl2br w:val="nil"/>
                    <w:tr2bl w:val="nil"/>
                  </w:tcBorders>
                  <w:noWrap/>
                  <w:vAlign w:val="center"/>
                </w:tcPr>
                <w:p w14:paraId="42E1A935">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b/>
                      <w:bCs/>
                      <w:color w:val="auto"/>
                      <w:szCs w:val="21"/>
                      <w:highlight w:val="none"/>
                      <w:lang w:val="en-US" w:eastAsia="zh-CN"/>
                    </w:rPr>
                  </w:pPr>
                  <w:r>
                    <w:rPr>
                      <w:rFonts w:hint="eastAsia" w:eastAsiaTheme="minorEastAsia"/>
                      <w:b/>
                      <w:bCs/>
                      <w:color w:val="auto"/>
                      <w:szCs w:val="21"/>
                      <w:highlight w:val="none"/>
                      <w:lang w:val="en-US" w:eastAsia="zh-CN"/>
                    </w:rPr>
                    <w:t>监测</w:t>
                  </w:r>
                </w:p>
                <w:p w14:paraId="6CA8AFDF">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b/>
                      <w:bCs/>
                      <w:color w:val="auto"/>
                      <w:szCs w:val="21"/>
                      <w:highlight w:val="none"/>
                      <w:lang w:val="en-US" w:eastAsia="zh-CN"/>
                    </w:rPr>
                  </w:pPr>
                  <w:r>
                    <w:rPr>
                      <w:rFonts w:hint="eastAsia" w:eastAsiaTheme="minorEastAsia"/>
                      <w:b/>
                      <w:bCs/>
                      <w:color w:val="auto"/>
                      <w:szCs w:val="21"/>
                      <w:highlight w:val="none"/>
                      <w:lang w:val="en-US" w:eastAsia="zh-CN"/>
                    </w:rPr>
                    <w:t>项目</w:t>
                  </w:r>
                </w:p>
              </w:tc>
              <w:tc>
                <w:tcPr>
                  <w:tcW w:w="1057" w:type="dxa"/>
                  <w:tcBorders>
                    <w:tl2br w:val="nil"/>
                    <w:tr2bl w:val="nil"/>
                  </w:tcBorders>
                  <w:noWrap/>
                  <w:vAlign w:val="center"/>
                </w:tcPr>
                <w:p w14:paraId="57E2EE96">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b/>
                      <w:bCs/>
                      <w:color w:val="auto"/>
                      <w:szCs w:val="21"/>
                      <w:highlight w:val="none"/>
                      <w:lang w:val="en-US" w:eastAsia="zh-CN"/>
                    </w:rPr>
                  </w:pPr>
                  <w:r>
                    <w:rPr>
                      <w:rFonts w:hint="eastAsia" w:eastAsiaTheme="minorEastAsia"/>
                      <w:b/>
                      <w:bCs/>
                      <w:color w:val="auto"/>
                      <w:szCs w:val="21"/>
                      <w:highlight w:val="none"/>
                      <w:lang w:val="en-US" w:eastAsia="zh-CN"/>
                    </w:rPr>
                    <w:t>监测</w:t>
                  </w:r>
                </w:p>
                <w:p w14:paraId="7623A8A7">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b/>
                      <w:bCs/>
                      <w:color w:val="auto"/>
                      <w:szCs w:val="21"/>
                      <w:highlight w:val="none"/>
                      <w:lang w:val="en-US" w:eastAsia="zh-CN"/>
                    </w:rPr>
                  </w:pPr>
                  <w:r>
                    <w:rPr>
                      <w:rFonts w:hint="eastAsia" w:eastAsiaTheme="minorEastAsia"/>
                      <w:b/>
                      <w:bCs/>
                      <w:color w:val="auto"/>
                      <w:szCs w:val="21"/>
                      <w:highlight w:val="none"/>
                      <w:lang w:val="en-US" w:eastAsia="zh-CN"/>
                    </w:rPr>
                    <w:t>点位</w:t>
                  </w:r>
                </w:p>
              </w:tc>
              <w:tc>
                <w:tcPr>
                  <w:tcW w:w="1082" w:type="dxa"/>
                  <w:tcBorders>
                    <w:tl2br w:val="nil"/>
                    <w:tr2bl w:val="nil"/>
                  </w:tcBorders>
                  <w:noWrap/>
                  <w:vAlign w:val="center"/>
                </w:tcPr>
                <w:p w14:paraId="0F6D63D4">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b/>
                      <w:bCs/>
                      <w:color w:val="auto"/>
                      <w:szCs w:val="21"/>
                      <w:highlight w:val="none"/>
                      <w:lang w:val="en-US" w:eastAsia="zh-CN"/>
                    </w:rPr>
                  </w:pPr>
                  <w:r>
                    <w:rPr>
                      <w:rFonts w:hint="eastAsia" w:eastAsiaTheme="minorEastAsia"/>
                      <w:b/>
                      <w:bCs/>
                      <w:color w:val="auto"/>
                      <w:szCs w:val="21"/>
                      <w:highlight w:val="none"/>
                      <w:lang w:val="en-US" w:eastAsia="zh-CN"/>
                    </w:rPr>
                    <w:t>监测频率</w:t>
                  </w:r>
                </w:p>
              </w:tc>
              <w:tc>
                <w:tcPr>
                  <w:tcW w:w="2805" w:type="dxa"/>
                  <w:tcBorders>
                    <w:tl2br w:val="nil"/>
                    <w:tr2bl w:val="nil"/>
                  </w:tcBorders>
                  <w:noWrap/>
                  <w:vAlign w:val="center"/>
                </w:tcPr>
                <w:p w14:paraId="7A5D3745">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b/>
                      <w:bCs/>
                      <w:color w:val="auto"/>
                      <w:szCs w:val="21"/>
                      <w:highlight w:val="none"/>
                      <w:lang w:val="en-US" w:eastAsia="zh-CN"/>
                    </w:rPr>
                  </w:pPr>
                  <w:r>
                    <w:rPr>
                      <w:rFonts w:hint="eastAsia" w:eastAsiaTheme="minorEastAsia"/>
                      <w:b/>
                      <w:bCs/>
                      <w:color w:val="auto"/>
                      <w:szCs w:val="21"/>
                      <w:highlight w:val="none"/>
                      <w:lang w:val="en-US" w:eastAsia="zh-CN"/>
                    </w:rPr>
                    <w:t>执行标准</w:t>
                  </w:r>
                </w:p>
              </w:tc>
            </w:tr>
            <w:tr w14:paraId="62C65A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6" w:type="dxa"/>
                  <w:tcBorders>
                    <w:tl2br w:val="nil"/>
                    <w:tr2bl w:val="nil"/>
                  </w:tcBorders>
                  <w:noWrap/>
                  <w:vAlign w:val="center"/>
                </w:tcPr>
                <w:p w14:paraId="59FFA34D">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声环境</w:t>
                  </w:r>
                </w:p>
              </w:tc>
              <w:tc>
                <w:tcPr>
                  <w:tcW w:w="1057" w:type="dxa"/>
                  <w:tcBorders>
                    <w:tl2br w:val="nil"/>
                    <w:tr2bl w:val="nil"/>
                  </w:tcBorders>
                  <w:noWrap/>
                  <w:vAlign w:val="center"/>
                </w:tcPr>
                <w:p w14:paraId="2FD411CD">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生产设备</w:t>
                  </w:r>
                </w:p>
              </w:tc>
              <w:tc>
                <w:tcPr>
                  <w:tcW w:w="1058" w:type="dxa"/>
                  <w:tcBorders>
                    <w:tl2br w:val="nil"/>
                    <w:tr2bl w:val="nil"/>
                  </w:tcBorders>
                  <w:noWrap/>
                  <w:vAlign w:val="center"/>
                </w:tcPr>
                <w:p w14:paraId="040FCE08">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等效连续A声级</w:t>
                  </w:r>
                </w:p>
              </w:tc>
              <w:tc>
                <w:tcPr>
                  <w:tcW w:w="1057" w:type="dxa"/>
                  <w:tcBorders>
                    <w:tl2br w:val="nil"/>
                    <w:tr2bl w:val="nil"/>
                  </w:tcBorders>
                  <w:noWrap/>
                  <w:vAlign w:val="center"/>
                </w:tcPr>
                <w:p w14:paraId="53B862AF">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厂界四周</w:t>
                  </w:r>
                </w:p>
              </w:tc>
              <w:tc>
                <w:tcPr>
                  <w:tcW w:w="1082" w:type="dxa"/>
                  <w:tcBorders>
                    <w:tl2br w:val="nil"/>
                    <w:tr2bl w:val="nil"/>
                  </w:tcBorders>
                  <w:noWrap/>
                  <w:vAlign w:val="center"/>
                </w:tcPr>
                <w:p w14:paraId="0EE41AF8">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1次/季度</w:t>
                  </w:r>
                </w:p>
              </w:tc>
              <w:tc>
                <w:tcPr>
                  <w:tcW w:w="2805" w:type="dxa"/>
                  <w:tcBorders>
                    <w:tl2br w:val="nil"/>
                    <w:tr2bl w:val="nil"/>
                  </w:tcBorders>
                  <w:noWrap/>
                  <w:vAlign w:val="center"/>
                </w:tcPr>
                <w:p w14:paraId="51E2FF92">
                  <w:pPr>
                    <w:keepNext w:val="0"/>
                    <w:keepLines w:val="0"/>
                    <w:pageBreakBefore w:val="0"/>
                    <w:widowControl w:val="0"/>
                    <w:tabs>
                      <w:tab w:val="left" w:pos="2601"/>
                    </w:tabs>
                    <w:kinsoku/>
                    <w:wordWrap/>
                    <w:overflowPunct/>
                    <w:topLinePunct w:val="0"/>
                    <w:autoSpaceDE/>
                    <w:autoSpaceDN/>
                    <w:bidi w:val="0"/>
                    <w:adjustRightInd w:val="0"/>
                    <w:snapToGrid w:val="0"/>
                    <w:spacing w:line="240" w:lineRule="atLeast"/>
                    <w:jc w:val="center"/>
                    <w:textAlignment w:val="auto"/>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《工业企业厂界环境噪声排放标准》（GB12348-2008）表1中的3类标准</w:t>
                  </w:r>
                </w:p>
              </w:tc>
            </w:tr>
          </w:tbl>
          <w:p w14:paraId="27165DC0">
            <w:pPr>
              <w:pStyle w:val="27"/>
              <w:spacing w:line="360" w:lineRule="auto"/>
              <w:rPr>
                <w:rFonts w:ascii="Times New Roman" w:hAnsi="Times New Roman" w:cs="Times New Roman" w:eastAsiaTheme="minorEastAsia"/>
                <w:b/>
                <w:bCs/>
                <w:color w:val="auto"/>
                <w:sz w:val="24"/>
                <w:highlight w:val="none"/>
                <w:lang w:val="en-US"/>
              </w:rPr>
            </w:pPr>
            <w:r>
              <w:rPr>
                <w:rFonts w:ascii="Times New Roman" w:hAnsi="Times New Roman" w:cs="Times New Roman" w:eastAsiaTheme="minorEastAsia"/>
                <w:b/>
                <w:bCs/>
                <w:color w:val="auto"/>
                <w:sz w:val="24"/>
                <w:highlight w:val="none"/>
                <w:lang w:val="en-US"/>
              </w:rPr>
              <w:t>四、固体废物</w:t>
            </w:r>
          </w:p>
          <w:p w14:paraId="3C66AC37">
            <w:pPr>
              <w:pStyle w:val="27"/>
              <w:spacing w:line="360" w:lineRule="auto"/>
              <w:ind w:firstLine="480" w:firstLineChars="200"/>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本项目无新增劳动定员，无新增职工生活垃圾。</w:t>
            </w:r>
          </w:p>
          <w:p w14:paraId="084D5DC4">
            <w:pPr>
              <w:pStyle w:val="27"/>
              <w:spacing w:line="360" w:lineRule="auto"/>
              <w:ind w:firstLine="480" w:firstLineChars="200"/>
              <w:rPr>
                <w:rFonts w:ascii="Times New Roman" w:hAnsi="Times New Roman" w:cs="Times New Roman" w:eastAsiaTheme="minorEastAsia"/>
                <w:color w:val="auto"/>
                <w:sz w:val="24"/>
                <w:highlight w:val="none"/>
                <w:lang w:val="en-US"/>
              </w:rPr>
            </w:pPr>
            <w:r>
              <w:rPr>
                <w:rFonts w:ascii="Times New Roman" w:hAnsi="Times New Roman" w:cs="Times New Roman" w:eastAsiaTheme="minorEastAsia"/>
                <w:color w:val="auto"/>
                <w:sz w:val="24"/>
                <w:highlight w:val="none"/>
                <w:lang w:val="en-US"/>
              </w:rPr>
              <w:t>本项目</w:t>
            </w:r>
            <w:r>
              <w:rPr>
                <w:rFonts w:hint="eastAsia" w:ascii="Times New Roman" w:hAnsi="Times New Roman" w:cs="Times New Roman" w:eastAsiaTheme="minorEastAsia"/>
                <w:color w:val="auto"/>
                <w:sz w:val="24"/>
                <w:highlight w:val="none"/>
                <w:lang w:val="en-US" w:eastAsia="zh-CN"/>
              </w:rPr>
              <w:t>运营期产生的</w:t>
            </w:r>
            <w:r>
              <w:rPr>
                <w:rFonts w:ascii="Times New Roman" w:hAnsi="Times New Roman" w:cs="Times New Roman" w:eastAsiaTheme="minorEastAsia"/>
                <w:color w:val="auto"/>
                <w:sz w:val="24"/>
                <w:highlight w:val="none"/>
                <w:lang w:val="en-US"/>
              </w:rPr>
              <w:t>固体废物主要包括一般工业固体废物</w:t>
            </w:r>
            <w:r>
              <w:rPr>
                <w:rFonts w:hint="eastAsia" w:ascii="Times New Roman" w:hAnsi="Times New Roman" w:cs="Times New Roman" w:eastAsiaTheme="minorEastAsia"/>
                <w:color w:val="auto"/>
                <w:sz w:val="24"/>
                <w:highlight w:val="none"/>
                <w:lang w:val="en-US" w:eastAsia="zh-CN"/>
              </w:rPr>
              <w:t>（除尘器收集</w:t>
            </w:r>
            <w:r>
              <w:rPr>
                <w:rFonts w:hint="eastAsia"/>
                <w:sz w:val="24"/>
                <w:szCs w:val="32"/>
                <w:lang w:val="en-US" w:eastAsia="zh-CN"/>
              </w:rPr>
              <w:t>的</w:t>
            </w:r>
            <w:r>
              <w:rPr>
                <w:rFonts w:hint="eastAsia" w:ascii="Times New Roman" w:hAnsi="Times New Roman" w:cs="Times New Roman" w:eastAsiaTheme="minorEastAsia"/>
                <w:color w:val="auto"/>
                <w:sz w:val="24"/>
                <w:highlight w:val="none"/>
                <w:lang w:val="en-US" w:eastAsia="zh-CN"/>
              </w:rPr>
              <w:t>粉尘）</w:t>
            </w:r>
            <w:r>
              <w:rPr>
                <w:rFonts w:ascii="Times New Roman" w:hAnsi="Times New Roman" w:cs="Times New Roman" w:eastAsiaTheme="minorEastAsia"/>
                <w:color w:val="auto"/>
                <w:sz w:val="24"/>
                <w:highlight w:val="none"/>
                <w:lang w:val="en-US"/>
              </w:rPr>
              <w:t>和危险废物</w:t>
            </w:r>
            <w:r>
              <w:rPr>
                <w:rFonts w:hint="eastAsia" w:ascii="Times New Roman" w:hAnsi="Times New Roman" w:cs="Times New Roman" w:eastAsiaTheme="minorEastAsia"/>
                <w:color w:val="auto"/>
                <w:sz w:val="24"/>
                <w:highlight w:val="none"/>
                <w:lang w:val="en-US" w:eastAsia="zh-CN"/>
              </w:rPr>
              <w:t>（废润滑油）</w:t>
            </w:r>
            <w:r>
              <w:rPr>
                <w:rFonts w:ascii="Times New Roman" w:hAnsi="Times New Roman" w:cs="Times New Roman" w:eastAsiaTheme="minorEastAsia"/>
                <w:color w:val="auto"/>
                <w:sz w:val="24"/>
                <w:highlight w:val="none"/>
                <w:lang w:val="en-US"/>
              </w:rPr>
              <w:t>。</w:t>
            </w:r>
          </w:p>
          <w:p w14:paraId="121EDBD5">
            <w:pPr>
              <w:pStyle w:val="27"/>
              <w:spacing w:line="360" w:lineRule="auto"/>
              <w:ind w:firstLine="482" w:firstLineChars="200"/>
              <w:rPr>
                <w:rFonts w:hint="eastAsia" w:cs="Times New Roman" w:eastAsiaTheme="minorEastAsia"/>
                <w:b/>
                <w:bCs/>
                <w:color w:val="auto"/>
                <w:sz w:val="24"/>
                <w:highlight w:val="none"/>
                <w:lang w:val="en-US" w:eastAsia="zh-CN"/>
              </w:rPr>
            </w:pPr>
            <w:r>
              <w:rPr>
                <w:rFonts w:hint="eastAsia" w:ascii="Times New Roman" w:hAnsi="Times New Roman" w:cs="Times New Roman" w:eastAsiaTheme="minorEastAsia"/>
                <w:b/>
                <w:bCs/>
                <w:color w:val="auto"/>
                <w:sz w:val="24"/>
                <w:highlight w:val="none"/>
                <w:lang w:val="en-US" w:eastAsia="zh-CN"/>
              </w:rPr>
              <w:t>1.</w:t>
            </w:r>
            <w:r>
              <w:rPr>
                <w:rFonts w:ascii="Times New Roman" w:hAnsi="Times New Roman" w:cs="Times New Roman" w:eastAsiaTheme="minorEastAsia"/>
                <w:b/>
                <w:bCs/>
                <w:color w:val="auto"/>
                <w:sz w:val="24"/>
                <w:highlight w:val="none"/>
                <w:lang w:val="en-US"/>
              </w:rPr>
              <w:t>一般工业固体废物</w:t>
            </w:r>
          </w:p>
          <w:p w14:paraId="768336D2">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8"/>
                <w:highlight w:val="none"/>
                <w:lang w:val="en-US" w:eastAsia="zh-CN"/>
              </w:rPr>
            </w:pPr>
            <w:r>
              <w:rPr>
                <w:rFonts w:hint="eastAsia" w:ascii="Times New Roman" w:hAnsi="Times New Roman" w:cs="Times New Roman" w:eastAsiaTheme="minorEastAsia"/>
                <w:color w:val="auto"/>
                <w:sz w:val="24"/>
                <w:highlight w:val="none"/>
                <w:lang w:val="en-US"/>
              </w:rPr>
              <w:t>本项目</w:t>
            </w:r>
            <w:r>
              <w:rPr>
                <w:rFonts w:hint="eastAsia" w:cs="Times New Roman" w:eastAsiaTheme="minorEastAsia"/>
                <w:color w:val="auto"/>
                <w:sz w:val="24"/>
                <w:highlight w:val="none"/>
                <w:lang w:val="en-US" w:eastAsia="zh-CN"/>
              </w:rPr>
              <w:t>运营期产生的粉尘</w:t>
            </w:r>
            <w:r>
              <w:rPr>
                <w:rFonts w:hint="eastAsia" w:ascii="Times New Roman" w:hAnsi="Times New Roman" w:cs="Times New Roman" w:eastAsiaTheme="minorEastAsia"/>
                <w:color w:val="auto"/>
                <w:sz w:val="24"/>
                <w:highlight w:val="none"/>
                <w:lang w:val="en-US" w:eastAsia="zh-CN"/>
              </w:rPr>
              <w:t>经</w:t>
            </w:r>
            <w:r>
              <w:rPr>
                <w:rFonts w:hint="eastAsia" w:cs="Times New Roman" w:eastAsiaTheme="minorEastAsia"/>
                <w:color w:val="auto"/>
                <w:sz w:val="24"/>
                <w:highlight w:val="none"/>
                <w:lang w:val="en-US" w:eastAsia="zh-CN"/>
              </w:rPr>
              <w:t>脉冲式布袋除尘器</w:t>
            </w:r>
            <w:r>
              <w:rPr>
                <w:rFonts w:hint="eastAsia" w:ascii="Times New Roman" w:hAnsi="Times New Roman" w:cs="Times New Roman" w:eastAsiaTheme="minorEastAsia"/>
                <w:color w:val="auto"/>
                <w:sz w:val="24"/>
                <w:highlight w:val="none"/>
                <w:lang w:val="en-US" w:eastAsia="zh-CN"/>
              </w:rPr>
              <w:t>收集</w:t>
            </w:r>
            <w:r>
              <w:rPr>
                <w:rFonts w:hint="eastAsia" w:cs="Times New Roman" w:eastAsiaTheme="minorEastAsia"/>
                <w:color w:val="auto"/>
                <w:sz w:val="24"/>
                <w:highlight w:val="none"/>
                <w:lang w:val="en-US" w:eastAsia="zh-CN"/>
              </w:rPr>
              <w:t>，收集</w:t>
            </w:r>
            <w:r>
              <w:rPr>
                <w:rFonts w:hint="eastAsia" w:ascii="Times New Roman" w:hAnsi="Times New Roman" w:cs="Times New Roman" w:eastAsiaTheme="minorEastAsia"/>
                <w:color w:val="auto"/>
                <w:sz w:val="24"/>
                <w:highlight w:val="none"/>
                <w:lang w:val="en-US" w:eastAsia="zh-CN"/>
              </w:rPr>
              <w:t>后产生除尘器收集粉尘。</w:t>
            </w:r>
            <w:r>
              <w:rPr>
                <w:rFonts w:hint="eastAsia" w:cs="Times New Roman" w:eastAsiaTheme="minorEastAsia"/>
                <w:color w:val="auto"/>
                <w:sz w:val="24"/>
                <w:highlight w:val="none"/>
                <w:lang w:val="en-US" w:eastAsia="zh-CN"/>
              </w:rPr>
              <w:t>经计算，机制砂筛分工序</w:t>
            </w:r>
            <w:r>
              <w:rPr>
                <w:rFonts w:hint="eastAsia" w:ascii="Times New Roman" w:hAnsi="Times New Roman" w:cs="Times New Roman" w:eastAsiaTheme="minorEastAsia"/>
                <w:color w:val="auto"/>
                <w:sz w:val="24"/>
                <w:highlight w:val="none"/>
                <w:lang w:val="en-US" w:eastAsia="zh-CN"/>
              </w:rPr>
              <w:t>除尘器收集粉尘</w:t>
            </w:r>
            <w:r>
              <w:rPr>
                <w:rFonts w:hint="eastAsia" w:cs="Times New Roman" w:eastAsiaTheme="minorEastAsia"/>
                <w:color w:val="auto"/>
                <w:sz w:val="24"/>
                <w:highlight w:val="none"/>
                <w:lang w:val="en-US" w:eastAsia="zh-CN"/>
              </w:rPr>
              <w:t>量为184.091t/a，机制砂输送除尘器收集粉尘量19.48t/a，粉料筒仓顶脉冲式布袋除尘器收集粉尘量为29.97t/a，干混砂浆搅拌脉冲式布袋除尘器收集粉尘量130.62t/a，投料工序合</w:t>
            </w:r>
            <w:bookmarkStart w:id="43" w:name="OLE_LINK133"/>
            <w:r>
              <w:rPr>
                <w:rFonts w:hint="eastAsia" w:cs="Times New Roman" w:eastAsiaTheme="minorEastAsia"/>
                <w:color w:val="auto"/>
                <w:sz w:val="24"/>
                <w:highlight w:val="none"/>
                <w:lang w:val="en-US" w:eastAsia="zh-CN"/>
              </w:rPr>
              <w:t>脉冲式布袋除尘器收集粉尘量0.0013t/a，散装及袋装工序脉冲式布袋除尘器收集粉尘量10.28t/a</w:t>
            </w:r>
            <w:r>
              <w:rPr>
                <w:rFonts w:hint="eastAsia" w:ascii="Times New Roman" w:hAnsi="Times New Roman" w:cs="Times New Roman" w:eastAsiaTheme="minorEastAsia"/>
                <w:color w:val="auto"/>
                <w:sz w:val="24"/>
                <w:highlight w:val="none"/>
                <w:lang w:val="en-US"/>
              </w:rPr>
              <w:t>，</w:t>
            </w:r>
            <w:r>
              <w:rPr>
                <w:rFonts w:hint="eastAsia" w:cs="Times New Roman" w:eastAsiaTheme="minorEastAsia"/>
                <w:color w:val="auto"/>
                <w:sz w:val="24"/>
                <w:highlight w:val="none"/>
                <w:lang w:val="en-US" w:eastAsia="zh-CN"/>
              </w:rPr>
              <w:t>除尘器合计收集粉尘量为374.4423t/a，</w:t>
            </w:r>
            <w:r>
              <w:rPr>
                <w:rFonts w:hint="eastAsia" w:ascii="Times New Roman" w:hAnsi="Times New Roman" w:cs="Times New Roman" w:eastAsiaTheme="minorEastAsia"/>
                <w:color w:val="auto"/>
                <w:sz w:val="24"/>
                <w:highlight w:val="none"/>
                <w:lang w:val="en-US" w:eastAsia="zh-CN"/>
              </w:rPr>
              <w:t>主要</w:t>
            </w:r>
            <w:bookmarkEnd w:id="43"/>
            <w:r>
              <w:rPr>
                <w:rFonts w:hint="eastAsia" w:ascii="Times New Roman" w:hAnsi="Times New Roman" w:cs="Times New Roman" w:eastAsiaTheme="minorEastAsia"/>
                <w:color w:val="auto"/>
                <w:sz w:val="24"/>
                <w:highlight w:val="none"/>
                <w:lang w:val="en-US" w:eastAsia="zh-CN"/>
              </w:rPr>
              <w:t>成分为各类生产原料，经收集后</w:t>
            </w:r>
            <w:r>
              <w:rPr>
                <w:rFonts w:hint="default" w:ascii="Times New Roman" w:hAnsi="Times New Roman" w:eastAsia="宋体" w:cs="Times New Roman"/>
                <w:color w:val="auto"/>
                <w:sz w:val="24"/>
                <w:szCs w:val="28"/>
                <w:highlight w:val="none"/>
                <w:lang w:val="en-US" w:eastAsia="zh-CN"/>
              </w:rPr>
              <w:t>全部回用于生产工序中作为生产原料使用</w:t>
            </w:r>
            <w:r>
              <w:rPr>
                <w:rFonts w:hint="eastAsia" w:cs="Times New Roman"/>
                <w:color w:val="auto"/>
                <w:sz w:val="24"/>
                <w:szCs w:val="28"/>
                <w:highlight w:val="none"/>
                <w:lang w:val="en-US" w:eastAsia="zh-CN"/>
              </w:rPr>
              <w:t>。</w:t>
            </w:r>
          </w:p>
          <w:p w14:paraId="2FA5041A">
            <w:pPr>
              <w:pStyle w:val="27"/>
              <w:spacing w:line="360" w:lineRule="auto"/>
              <w:ind w:firstLine="480" w:firstLineChars="200"/>
              <w:rPr>
                <w:rFonts w:hint="default" w:ascii="Times New Roman" w:hAnsi="Times New Roman" w:cs="Times New Roman" w:eastAsiaTheme="minorEastAsia"/>
                <w:b w:val="0"/>
                <w:bCs w:val="0"/>
                <w:color w:val="auto"/>
                <w:sz w:val="24"/>
                <w:highlight w:val="none"/>
                <w:lang w:val="en-US" w:eastAsia="zh-CN"/>
              </w:rPr>
            </w:pPr>
            <w:r>
              <w:rPr>
                <w:rFonts w:hint="eastAsia" w:ascii="Times New Roman" w:hAnsi="Times New Roman" w:cs="Times New Roman" w:eastAsiaTheme="minorEastAsia"/>
                <w:b w:val="0"/>
                <w:bCs w:val="0"/>
                <w:color w:val="auto"/>
                <w:sz w:val="24"/>
                <w:highlight w:val="none"/>
                <w:lang w:val="en-US" w:eastAsia="zh-CN"/>
              </w:rPr>
              <w:t>本项目所有生产设备均位于车间内，搅拌粉尘及储罐粉尘经脉冲式布袋除尘器处理后在车间内部无组织排放，车间厂房对粉尘有一定的抑尘作用，部分粉尘落在车间，对车间内部定期清扫，清扫灰尘约为0.05t/a，</w:t>
            </w:r>
            <w:r>
              <w:rPr>
                <w:rFonts w:hint="eastAsia" w:ascii="Times New Roman" w:hAnsi="Times New Roman" w:cs="Times New Roman" w:eastAsiaTheme="minorEastAsia"/>
                <w:color w:val="auto"/>
                <w:sz w:val="24"/>
                <w:highlight w:val="none"/>
                <w:lang w:val="en-US" w:eastAsia="zh-CN"/>
              </w:rPr>
              <w:t>经清扫收集后</w:t>
            </w:r>
            <w:r>
              <w:rPr>
                <w:rFonts w:hint="default" w:ascii="Times New Roman" w:hAnsi="Times New Roman" w:eastAsia="宋体" w:cs="Times New Roman"/>
                <w:color w:val="auto"/>
                <w:sz w:val="24"/>
                <w:szCs w:val="28"/>
                <w:highlight w:val="none"/>
                <w:lang w:val="en-US" w:eastAsia="zh-CN"/>
              </w:rPr>
              <w:t>全部回用于生产工序中作为生产原料使用</w:t>
            </w:r>
            <w:r>
              <w:rPr>
                <w:rFonts w:hint="eastAsia" w:ascii="Times New Roman" w:hAnsi="Times New Roman" w:cs="Times New Roman"/>
                <w:color w:val="auto"/>
                <w:sz w:val="24"/>
                <w:szCs w:val="28"/>
                <w:highlight w:val="none"/>
                <w:lang w:val="en-US" w:eastAsia="zh-CN"/>
              </w:rPr>
              <w:t>。</w:t>
            </w:r>
          </w:p>
          <w:p w14:paraId="14B56074">
            <w:pPr>
              <w:pStyle w:val="27"/>
              <w:spacing w:line="360" w:lineRule="auto"/>
              <w:ind w:firstLine="480" w:firstLineChars="200"/>
              <w:rPr>
                <w:rFonts w:hint="default" w:ascii="Times New Roman" w:hAnsi="Times New Roman" w:cs="Times New Roman" w:eastAsiaTheme="minorEastAsia"/>
                <w:b w:val="0"/>
                <w:bCs w:val="0"/>
                <w:color w:val="auto"/>
                <w:sz w:val="24"/>
                <w:highlight w:val="none"/>
                <w:lang w:val="en-US" w:eastAsia="zh-CN"/>
              </w:rPr>
            </w:pPr>
            <w:r>
              <w:rPr>
                <w:rFonts w:hint="eastAsia" w:ascii="Times New Roman" w:hAnsi="Times New Roman" w:cs="Times New Roman" w:eastAsiaTheme="minorEastAsia"/>
                <w:b w:val="0"/>
                <w:bCs w:val="0"/>
                <w:color w:val="auto"/>
                <w:sz w:val="24"/>
                <w:highlight w:val="none"/>
                <w:lang w:val="en-US" w:eastAsia="zh-CN"/>
              </w:rPr>
              <w:t>①废布袋</w:t>
            </w:r>
          </w:p>
          <w:p w14:paraId="3C3F2716">
            <w:pPr>
              <w:pStyle w:val="27"/>
              <w:spacing w:line="360" w:lineRule="auto"/>
              <w:ind w:firstLine="480" w:firstLineChars="200"/>
              <w:rPr>
                <w:rFonts w:hint="eastAsia" w:ascii="Times New Roman" w:hAnsi="Times New Roman" w:cs="Times New Roman" w:eastAsiaTheme="minorEastAsia"/>
                <w:b w:val="0"/>
                <w:bCs w:val="0"/>
                <w:color w:val="auto"/>
                <w:sz w:val="24"/>
                <w:highlight w:val="none"/>
                <w:lang w:val="en-US" w:eastAsia="zh-CN"/>
              </w:rPr>
            </w:pPr>
            <w:r>
              <w:rPr>
                <w:rFonts w:hint="eastAsia" w:ascii="Times New Roman" w:hAnsi="Times New Roman" w:cs="Times New Roman" w:eastAsiaTheme="minorEastAsia"/>
                <w:b w:val="0"/>
                <w:bCs w:val="0"/>
                <w:color w:val="auto"/>
                <w:sz w:val="24"/>
                <w:highlight w:val="none"/>
                <w:lang w:val="en-US" w:eastAsia="zh-CN"/>
              </w:rPr>
              <w:t>本项目脉冲布袋除尘器中的布袋需定时更换，会产生废布袋，产生量约为0.5ta，根据《固体废物分类与代码目录》（2024年）的分类与编码规则，废布袋属于SW59其他工业生产过程中产生的固体废物，废物编码为900-099-S59。经收集后交由专业公司回收处理。</w:t>
            </w:r>
          </w:p>
          <w:p w14:paraId="36ED11E4">
            <w:pPr>
              <w:pStyle w:val="27"/>
              <w:spacing w:line="360" w:lineRule="auto"/>
              <w:ind w:firstLine="480" w:firstLineChars="200"/>
              <w:rPr>
                <w:rFonts w:hint="default" w:ascii="Times New Roman" w:hAnsi="Times New Roman" w:cs="Times New Roman" w:eastAsiaTheme="minorEastAsia"/>
                <w:b w:val="0"/>
                <w:bCs w:val="0"/>
                <w:color w:val="auto"/>
                <w:sz w:val="24"/>
                <w:highlight w:val="none"/>
                <w:lang w:val="en-US" w:eastAsia="zh-CN"/>
              </w:rPr>
            </w:pPr>
            <w:r>
              <w:rPr>
                <w:rFonts w:hint="eastAsia" w:ascii="Times New Roman" w:hAnsi="Times New Roman" w:cs="Times New Roman" w:eastAsiaTheme="minorEastAsia"/>
                <w:b w:val="0"/>
                <w:bCs w:val="0"/>
                <w:color w:val="auto"/>
                <w:sz w:val="24"/>
                <w:highlight w:val="none"/>
                <w:lang w:val="en-US" w:eastAsia="zh-CN"/>
              </w:rPr>
              <w:t>②废包装袋</w:t>
            </w:r>
          </w:p>
          <w:p w14:paraId="2F26DCBA">
            <w:pPr>
              <w:pStyle w:val="27"/>
              <w:spacing w:line="360" w:lineRule="auto"/>
              <w:ind w:firstLine="480" w:firstLineChars="200"/>
              <w:rPr>
                <w:rFonts w:hint="default" w:ascii="Times New Roman" w:hAnsi="Times New Roman" w:cs="Times New Roman" w:eastAsiaTheme="minorEastAsia"/>
                <w:b w:val="0"/>
                <w:bCs w:val="0"/>
                <w:color w:val="auto"/>
                <w:sz w:val="24"/>
                <w:highlight w:val="none"/>
                <w:lang w:val="en-US" w:eastAsia="zh-CN"/>
              </w:rPr>
            </w:pPr>
            <w:r>
              <w:rPr>
                <w:rFonts w:hint="eastAsia" w:ascii="Times New Roman" w:hAnsi="Times New Roman" w:cs="Times New Roman" w:eastAsiaTheme="minorEastAsia"/>
                <w:b w:val="0"/>
                <w:bCs w:val="0"/>
                <w:color w:val="auto"/>
                <w:sz w:val="24"/>
                <w:highlight w:val="none"/>
                <w:lang w:val="en-US" w:eastAsia="zh-CN"/>
              </w:rPr>
              <w:t>项目原料拆解进仓和分装会产生废包装袋，根据建设单位提供资料，项目运营期废包装袋产生量约为5ta，根据《固体废物分类与代码目录》（2024年）的分类与编码规定“产生的边角料”，废布袋属于SW17可再生类废物中“废弃塑料包装等废物”，废物编码为900-003-S17，经收集后交由专业公司回收处理。</w:t>
            </w:r>
          </w:p>
          <w:p w14:paraId="454F6A98">
            <w:pPr>
              <w:pStyle w:val="27"/>
              <w:spacing w:line="360" w:lineRule="auto"/>
              <w:ind w:firstLine="480" w:firstLineChars="200"/>
              <w:rPr>
                <w:rFonts w:hint="default" w:ascii="Times New Roman" w:hAnsi="Times New Roman" w:cs="Times New Roman" w:eastAsiaTheme="minorEastAsia"/>
                <w:b w:val="0"/>
                <w:bCs w:val="0"/>
                <w:color w:val="auto"/>
                <w:sz w:val="24"/>
                <w:highlight w:val="none"/>
                <w:lang w:val="en-US" w:eastAsia="zh-CN"/>
              </w:rPr>
            </w:pPr>
            <w:r>
              <w:rPr>
                <w:rFonts w:hint="eastAsia" w:ascii="Times New Roman" w:hAnsi="Times New Roman" w:cs="Times New Roman" w:eastAsiaTheme="minorEastAsia"/>
                <w:b w:val="0"/>
                <w:bCs w:val="0"/>
                <w:color w:val="auto"/>
                <w:sz w:val="24"/>
                <w:highlight w:val="none"/>
                <w:lang w:val="en-US" w:eastAsia="zh-CN"/>
              </w:rPr>
              <w:t>③废塑料膜</w:t>
            </w:r>
          </w:p>
          <w:p w14:paraId="7F4DB83A">
            <w:pPr>
              <w:pStyle w:val="27"/>
              <w:spacing w:line="360" w:lineRule="auto"/>
              <w:ind w:firstLine="480" w:firstLineChars="200"/>
              <w:rPr>
                <w:rFonts w:hint="eastAsia" w:ascii="Times New Roman" w:hAnsi="Times New Roman" w:cs="Times New Roman" w:eastAsiaTheme="minorEastAsia"/>
                <w:b w:val="0"/>
                <w:bCs w:val="0"/>
                <w:color w:val="auto"/>
                <w:sz w:val="24"/>
                <w:highlight w:val="none"/>
                <w:lang w:val="en-US" w:eastAsia="zh-CN"/>
              </w:rPr>
            </w:pPr>
            <w:r>
              <w:rPr>
                <w:rFonts w:hint="eastAsia" w:ascii="Times New Roman" w:hAnsi="Times New Roman" w:cs="Times New Roman" w:eastAsiaTheme="minorEastAsia"/>
                <w:b w:val="0"/>
                <w:bCs w:val="0"/>
                <w:color w:val="auto"/>
                <w:sz w:val="24"/>
                <w:highlight w:val="none"/>
                <w:lang w:val="en-US" w:eastAsia="zh-CN"/>
              </w:rPr>
              <w:t>项目产品包装覆膜工序会产生废塑料膜，根据建设单位提供资料，项目运营期废塑料膜产生量约为0.8ta，根据《固体废物分类与代码目录》（2024年）的分类与编码规定“产生的边角料”，废布袋属于SW17可再生类废物中“废弃塑料包装等废物”，废物编码为900-003-S17，经收集后交由专业公司回收处理。</w:t>
            </w:r>
          </w:p>
          <w:p w14:paraId="3A876F53">
            <w:pPr>
              <w:pStyle w:val="27"/>
              <w:spacing w:line="360" w:lineRule="auto"/>
              <w:ind w:firstLine="480" w:firstLineChars="200"/>
              <w:rPr>
                <w:rFonts w:hint="default" w:ascii="Times New Roman" w:hAnsi="Times New Roman" w:cs="Times New Roman" w:eastAsiaTheme="minorEastAsia"/>
                <w:b w:val="0"/>
                <w:bCs w:val="0"/>
                <w:color w:val="auto"/>
                <w:sz w:val="24"/>
                <w:highlight w:val="none"/>
                <w:lang w:val="en-US" w:eastAsia="zh-CN"/>
              </w:rPr>
            </w:pPr>
            <w:r>
              <w:rPr>
                <w:rFonts w:hint="eastAsia" w:ascii="Times New Roman" w:hAnsi="Times New Roman" w:cs="Times New Roman" w:eastAsiaTheme="minorEastAsia"/>
                <w:b w:val="0"/>
                <w:bCs w:val="0"/>
                <w:color w:val="auto"/>
                <w:sz w:val="24"/>
                <w:highlight w:val="none"/>
                <w:lang w:val="en-US" w:eastAsia="zh-CN"/>
              </w:rPr>
              <w:t>④洗车沉渣</w:t>
            </w:r>
          </w:p>
          <w:p w14:paraId="637FEB0B">
            <w:pPr>
              <w:pStyle w:val="27"/>
              <w:spacing w:line="360" w:lineRule="auto"/>
              <w:ind w:firstLine="480" w:firstLineChars="200"/>
              <w:rPr>
                <w:rFonts w:hint="default" w:ascii="Times New Roman" w:hAnsi="Times New Roman" w:cs="Times New Roman" w:eastAsiaTheme="minorEastAsia"/>
                <w:b w:val="0"/>
                <w:bCs w:val="0"/>
                <w:color w:val="auto"/>
                <w:sz w:val="24"/>
                <w:highlight w:val="none"/>
                <w:lang w:val="en-US" w:eastAsia="zh-CN"/>
              </w:rPr>
            </w:pPr>
            <w:r>
              <w:rPr>
                <w:rFonts w:hint="eastAsia" w:ascii="Times New Roman" w:hAnsi="Times New Roman" w:cs="Times New Roman" w:eastAsiaTheme="minorEastAsia"/>
                <w:b w:val="0"/>
                <w:bCs w:val="0"/>
                <w:color w:val="auto"/>
                <w:sz w:val="24"/>
                <w:highlight w:val="none"/>
                <w:lang w:val="en-US" w:eastAsia="zh-CN"/>
              </w:rPr>
              <w:t>本次扩建项目运输车辆及洗车频次增加，同时洗车台沉淀池沉渣产生量增加，根据同类项目，沉渣新增量约为0.4t/a</w:t>
            </w:r>
            <w:r>
              <w:rPr>
                <w:rFonts w:hint="eastAsia"/>
                <w:lang w:eastAsia="zh-CN"/>
              </w:rPr>
              <w:t>。</w:t>
            </w:r>
            <w:r>
              <w:rPr>
                <w:rFonts w:hint="eastAsia" w:ascii="Times New Roman" w:hAnsi="Times New Roman" w:cs="Times New Roman" w:eastAsiaTheme="minorEastAsia"/>
                <w:b w:val="0"/>
                <w:bCs w:val="0"/>
                <w:color w:val="auto"/>
                <w:sz w:val="24"/>
                <w:highlight w:val="none"/>
                <w:lang w:val="en-US" w:eastAsia="zh-CN"/>
              </w:rPr>
              <w:t>沉渣主要成分为砂石及石块，建设单位收集后回用于厂区砂料生产线及水泥混凝土生产线，综合利用。</w:t>
            </w:r>
          </w:p>
          <w:p w14:paraId="0A5D27CC">
            <w:pPr>
              <w:pStyle w:val="27"/>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cs="Times New Roman" w:eastAsiaTheme="minorEastAsia"/>
                <w:b/>
                <w:bCs/>
                <w:color w:val="auto"/>
                <w:sz w:val="24"/>
                <w:highlight w:val="none"/>
                <w:lang w:val="en-US" w:eastAsia="zh-CN"/>
              </w:rPr>
              <w:t>2.</w:t>
            </w:r>
            <w:r>
              <w:rPr>
                <w:rFonts w:ascii="Times New Roman" w:hAnsi="Times New Roman" w:cs="Times New Roman" w:eastAsiaTheme="minorEastAsia"/>
                <w:b/>
                <w:bCs/>
                <w:color w:val="auto"/>
                <w:sz w:val="24"/>
                <w:highlight w:val="none"/>
                <w:lang w:val="en-US"/>
              </w:rPr>
              <w:t>危险废物</w:t>
            </w:r>
          </w:p>
          <w:p w14:paraId="3900C286">
            <w:pPr>
              <w:pStyle w:val="27"/>
              <w:spacing w:line="360" w:lineRule="auto"/>
              <w:ind w:firstLine="480" w:firstLine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①废机油</w:t>
            </w:r>
          </w:p>
          <w:p w14:paraId="13BE22DE">
            <w:pPr>
              <w:pStyle w:val="27"/>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ascii="Times New Roman" w:hAnsi="Times New Roman" w:cs="Times New Roman"/>
                <w:color w:val="auto"/>
                <w:sz w:val="24"/>
                <w:highlight w:val="none"/>
                <w:lang w:val="en-US"/>
              </w:rPr>
              <w:t>本项目</w:t>
            </w:r>
            <w:r>
              <w:rPr>
                <w:rFonts w:hint="eastAsia" w:ascii="Times New Roman" w:hAnsi="Times New Roman" w:cs="Times New Roman"/>
                <w:color w:val="auto"/>
                <w:sz w:val="24"/>
                <w:highlight w:val="none"/>
                <w:lang w:val="en-US" w:eastAsia="zh-CN"/>
              </w:rPr>
              <w:t>生产</w:t>
            </w:r>
            <w:r>
              <w:rPr>
                <w:rFonts w:ascii="Times New Roman" w:hAnsi="Times New Roman" w:cs="Times New Roman"/>
                <w:color w:val="auto"/>
                <w:sz w:val="24"/>
                <w:highlight w:val="none"/>
                <w:lang w:val="en-US"/>
              </w:rPr>
              <w:t>设备需要定期维修保养，维修</w:t>
            </w:r>
            <w:r>
              <w:rPr>
                <w:rFonts w:hint="eastAsia" w:ascii="Times New Roman" w:hAnsi="Times New Roman" w:cs="Times New Roman"/>
                <w:color w:val="auto"/>
                <w:sz w:val="24"/>
                <w:highlight w:val="none"/>
                <w:lang w:val="en-US" w:eastAsia="zh-CN"/>
              </w:rPr>
              <w:t>保养</w:t>
            </w:r>
            <w:r>
              <w:rPr>
                <w:rFonts w:ascii="Times New Roman" w:hAnsi="Times New Roman" w:cs="Times New Roman"/>
                <w:color w:val="auto"/>
                <w:sz w:val="24"/>
                <w:highlight w:val="none"/>
                <w:lang w:val="en-US"/>
              </w:rPr>
              <w:t>过程</w:t>
            </w:r>
            <w:r>
              <w:rPr>
                <w:rFonts w:hint="eastAsia" w:ascii="Times New Roman" w:hAnsi="Times New Roman" w:cs="Times New Roman"/>
                <w:color w:val="auto"/>
                <w:sz w:val="24"/>
                <w:highlight w:val="none"/>
                <w:lang w:val="en-US" w:eastAsia="zh-CN"/>
              </w:rPr>
              <w:t>中产生废机油、含油抹布、手套等</w:t>
            </w:r>
            <w:r>
              <w:rPr>
                <w:rFonts w:ascii="Times New Roman" w:hAnsi="Times New Roman" w:cs="Times New Roman"/>
                <w:color w:val="auto"/>
                <w:sz w:val="24"/>
                <w:highlight w:val="none"/>
                <w:lang w:val="en-US"/>
              </w:rPr>
              <w:t>，</w:t>
            </w:r>
            <w:r>
              <w:rPr>
                <w:rFonts w:hint="eastAsia" w:ascii="Times New Roman" w:hAnsi="Times New Roman" w:cs="Times New Roman"/>
                <w:color w:val="auto"/>
                <w:sz w:val="24"/>
                <w:highlight w:val="none"/>
                <w:lang w:val="en-US" w:eastAsia="zh-CN"/>
              </w:rPr>
              <w:t>其中废机油</w:t>
            </w:r>
            <w:r>
              <w:rPr>
                <w:rFonts w:ascii="Times New Roman" w:hAnsi="Times New Roman" w:cs="Times New Roman"/>
                <w:color w:val="auto"/>
                <w:sz w:val="24"/>
                <w:highlight w:val="none"/>
                <w:lang w:val="en-US"/>
              </w:rPr>
              <w:t>产生量约为</w:t>
            </w:r>
            <w:r>
              <w:rPr>
                <w:rFonts w:hint="eastAsia" w:ascii="Times New Roman" w:hAnsi="Times New Roman" w:cs="Times New Roman"/>
                <w:color w:val="auto"/>
                <w:sz w:val="24"/>
                <w:highlight w:val="none"/>
                <w:lang w:val="en-US" w:eastAsia="zh-CN"/>
              </w:rPr>
              <w:t>0.1t</w:t>
            </w:r>
            <w:r>
              <w:rPr>
                <w:rFonts w:ascii="Times New Roman" w:hAnsi="Times New Roman" w:cs="Times New Roman"/>
                <w:color w:val="auto"/>
                <w:sz w:val="24"/>
                <w:highlight w:val="none"/>
                <w:lang w:val="en-US"/>
              </w:rPr>
              <w:t>/a</w:t>
            </w:r>
            <w:r>
              <w:rPr>
                <w:rFonts w:hint="eastAsia" w:ascii="Times New Roman" w:hAnsi="Times New Roman" w:cs="Times New Roman"/>
                <w:color w:val="auto"/>
                <w:sz w:val="24"/>
                <w:highlight w:val="none"/>
                <w:lang w:val="en-US" w:eastAsia="zh-CN"/>
              </w:rPr>
              <w:t>，含油抹布、手套产生量约为0.3t</w:t>
            </w:r>
            <w:r>
              <w:rPr>
                <w:rFonts w:ascii="Times New Roman" w:hAnsi="Times New Roman" w:cs="Times New Roman"/>
                <w:color w:val="auto"/>
                <w:sz w:val="24"/>
                <w:highlight w:val="none"/>
                <w:lang w:val="en-US"/>
              </w:rPr>
              <w:t>/a。</w:t>
            </w:r>
            <w:r>
              <w:rPr>
                <w:rFonts w:ascii="Times New Roman" w:hAnsi="Times New Roman"/>
                <w:color w:val="auto"/>
                <w:sz w:val="24"/>
                <w:szCs w:val="24"/>
                <w:highlight w:val="none"/>
              </w:rPr>
              <w:t>根据《国家危险废物名录》</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2021年版</w:t>
            </w:r>
            <w:r>
              <w:rPr>
                <w:rFonts w:hint="eastAsia" w:ascii="Times New Roman" w:hAnsi="Times New Roman"/>
                <w:color w:val="auto"/>
                <w:sz w:val="24"/>
                <w:szCs w:val="24"/>
                <w:highlight w:val="none"/>
                <w:lang w:eastAsia="zh-CN"/>
              </w:rPr>
              <w:t>）</w:t>
            </w:r>
            <w:r>
              <w:rPr>
                <w:rFonts w:ascii="Times New Roman" w:hAnsi="Times New Roman"/>
                <w:color w:val="auto"/>
                <w:sz w:val="24"/>
                <w:szCs w:val="24"/>
                <w:highlight w:val="none"/>
              </w:rPr>
              <w:t>，判定属</w:t>
            </w:r>
            <w:r>
              <w:rPr>
                <w:rFonts w:hint="eastAsia" w:ascii="Times New Roman" w:hAnsi="Times New Roman"/>
                <w:color w:val="auto"/>
                <w:sz w:val="24"/>
                <w:szCs w:val="24"/>
                <w:highlight w:val="none"/>
                <w:lang w:eastAsia="zh-CN"/>
              </w:rPr>
              <w:t>“其他生产、销售、使用过程中产生的废矿物油及沾染矿物油的废弃包装物”</w:t>
            </w:r>
            <w:r>
              <w:rPr>
                <w:rFonts w:ascii="Times New Roman" w:hAnsi="Times New Roman"/>
                <w:color w:val="auto"/>
                <w:sz w:val="24"/>
                <w:szCs w:val="24"/>
                <w:highlight w:val="none"/>
              </w:rPr>
              <w:t>，废物类别</w:t>
            </w:r>
            <w:r>
              <w:rPr>
                <w:rFonts w:hint="eastAsia" w:ascii="Times New Roman" w:hAnsi="Times New Roman"/>
                <w:color w:val="auto"/>
                <w:sz w:val="24"/>
                <w:szCs w:val="24"/>
                <w:highlight w:val="none"/>
                <w:lang w:val="en-US" w:eastAsia="zh-CN"/>
              </w:rPr>
              <w:t>为</w:t>
            </w:r>
            <w:r>
              <w:rPr>
                <w:rFonts w:ascii="Times New Roman" w:hAnsi="Times New Roman"/>
                <w:color w:val="auto"/>
                <w:sz w:val="24"/>
                <w:szCs w:val="24"/>
                <w:highlight w:val="none"/>
              </w:rPr>
              <w:t>HW08废矿物油与含矿物油废物，废物代码900-2</w:t>
            </w:r>
            <w:r>
              <w:rPr>
                <w:rFonts w:hint="eastAsia" w:ascii="Times New Roman" w:hAnsi="Times New Roman"/>
                <w:color w:val="auto"/>
                <w:sz w:val="24"/>
                <w:szCs w:val="24"/>
                <w:highlight w:val="none"/>
                <w:lang w:val="en-US" w:eastAsia="zh-CN"/>
              </w:rPr>
              <w:t>49</w:t>
            </w:r>
            <w:r>
              <w:rPr>
                <w:rFonts w:ascii="Times New Roman" w:hAnsi="Times New Roman"/>
                <w:color w:val="auto"/>
                <w:sz w:val="24"/>
                <w:szCs w:val="24"/>
                <w:highlight w:val="none"/>
              </w:rPr>
              <w:t>-08</w:t>
            </w:r>
            <w:r>
              <w:rPr>
                <w:rFonts w:hint="eastAsia" w:ascii="Times New Roman" w:hAnsi="Times New Roman"/>
                <w:color w:val="auto"/>
                <w:sz w:val="24"/>
                <w:szCs w:val="24"/>
                <w:highlight w:val="none"/>
                <w:lang w:eastAsia="zh-CN"/>
              </w:rPr>
              <w:t>。</w:t>
            </w:r>
            <w:r>
              <w:rPr>
                <w:rFonts w:ascii="Times New Roman" w:hAnsi="Times New Roman" w:cs="Times New Roman"/>
                <w:color w:val="auto"/>
                <w:sz w:val="24"/>
                <w:highlight w:val="none"/>
                <w:lang w:val="en-US"/>
              </w:rPr>
              <w:t>废</w:t>
            </w:r>
            <w:r>
              <w:rPr>
                <w:rFonts w:hint="eastAsia" w:ascii="Times New Roman" w:hAnsi="Times New Roman" w:cs="Times New Roman"/>
                <w:color w:val="auto"/>
                <w:sz w:val="24"/>
                <w:highlight w:val="none"/>
                <w:lang w:val="en-US" w:eastAsia="zh-CN"/>
              </w:rPr>
              <w:t>润滑油</w:t>
            </w:r>
            <w:r>
              <w:rPr>
                <w:rFonts w:hint="eastAsia" w:ascii="Times New Roman" w:hAnsi="Times New Roman" w:cs="Times New Roman"/>
                <w:color w:val="auto"/>
                <w:sz w:val="24"/>
                <w:highlight w:val="none"/>
                <w:lang w:val="en-US"/>
              </w:rPr>
              <w:t>经收集后送至厂区现有危废贮存库暂存，依托现有水泥窑协同处置100000t/a危险废物项目进行协同处置</w:t>
            </w:r>
            <w:r>
              <w:rPr>
                <w:rFonts w:hint="eastAsia" w:ascii="Times New Roman" w:hAnsi="Times New Roman" w:cs="Times New Roman"/>
                <w:color w:val="auto"/>
                <w:sz w:val="24"/>
                <w:highlight w:val="none"/>
                <w:lang w:val="en-US" w:eastAsia="zh-CN"/>
              </w:rPr>
              <w:t>。</w:t>
            </w:r>
          </w:p>
          <w:p w14:paraId="21B1E583">
            <w:pPr>
              <w:pStyle w:val="27"/>
              <w:spacing w:line="360" w:lineRule="auto"/>
              <w:ind w:firstLine="480" w:firstLineChars="200"/>
              <w:jc w:val="left"/>
              <w:rPr>
                <w:rFonts w:hint="default" w:ascii="Times New Roman" w:hAnsi="Times New Roman" w:cs="Times New Roman"/>
                <w:color w:val="auto"/>
                <w:sz w:val="24"/>
                <w:highlight w:val="none"/>
                <w:lang w:val="en-US"/>
              </w:rPr>
            </w:pPr>
            <w:r>
              <w:rPr>
                <w:rFonts w:hint="default" w:ascii="Times New Roman" w:hAnsi="Times New Roman" w:cs="Times New Roman"/>
                <w:color w:val="auto"/>
                <w:sz w:val="24"/>
                <w:highlight w:val="none"/>
                <w:lang w:val="en-US"/>
              </w:rPr>
              <w:t>本项目危险废物</w:t>
            </w:r>
            <w:r>
              <w:rPr>
                <w:rFonts w:hint="default" w:ascii="Times New Roman" w:hAnsi="Times New Roman" w:cs="Times New Roman"/>
                <w:color w:val="auto"/>
                <w:sz w:val="24"/>
                <w:highlight w:val="none"/>
                <w:lang w:val="en-US" w:eastAsia="zh-CN"/>
              </w:rPr>
              <w:t>产生与处置</w:t>
            </w:r>
            <w:r>
              <w:rPr>
                <w:rFonts w:hint="default" w:ascii="Times New Roman" w:hAnsi="Times New Roman" w:cs="Times New Roman"/>
                <w:color w:val="auto"/>
                <w:sz w:val="24"/>
                <w:highlight w:val="none"/>
                <w:lang w:val="en-US"/>
              </w:rPr>
              <w:t>见下表4-</w:t>
            </w:r>
            <w:r>
              <w:rPr>
                <w:rFonts w:hint="eastAsia" w:ascii="Times New Roman" w:hAnsi="Times New Roman" w:cs="Times New Roman"/>
                <w:color w:val="auto"/>
                <w:sz w:val="24"/>
                <w:highlight w:val="none"/>
                <w:lang w:val="en-US" w:eastAsia="zh-CN"/>
              </w:rPr>
              <w:t>16</w:t>
            </w:r>
            <w:r>
              <w:rPr>
                <w:rFonts w:hint="default" w:ascii="Times New Roman" w:hAnsi="Times New Roman" w:cs="Times New Roman"/>
                <w:color w:val="auto"/>
                <w:sz w:val="24"/>
                <w:highlight w:val="none"/>
                <w:lang w:val="en-US"/>
              </w:rPr>
              <w:t>。</w:t>
            </w:r>
          </w:p>
          <w:p w14:paraId="214E57F0">
            <w:pPr>
              <w:pStyle w:val="6"/>
              <w:spacing w:line="240" w:lineRule="auto"/>
              <w:ind w:firstLine="48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w:t>
            </w:r>
            <w:r>
              <w:rPr>
                <w:rFonts w:hint="eastAsia" w:cs="Times New Roman"/>
                <w:b/>
                <w:bCs/>
                <w:color w:val="auto"/>
                <w:sz w:val="21"/>
                <w:szCs w:val="21"/>
                <w:highlight w:val="none"/>
                <w:lang w:val="en-US" w:eastAsia="zh-CN"/>
              </w:rPr>
              <w:t>16</w:t>
            </w: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项目危险废物</w:t>
            </w:r>
            <w:r>
              <w:rPr>
                <w:rFonts w:hint="default" w:ascii="Times New Roman" w:hAnsi="Times New Roman" w:cs="Times New Roman"/>
                <w:b/>
                <w:bCs/>
                <w:color w:val="auto"/>
                <w:sz w:val="21"/>
                <w:szCs w:val="21"/>
                <w:highlight w:val="none"/>
                <w:lang w:eastAsia="zh-CN"/>
              </w:rPr>
              <w:t>产生与</w:t>
            </w:r>
            <w:r>
              <w:rPr>
                <w:rFonts w:hint="default" w:ascii="Times New Roman" w:hAnsi="Times New Roman" w:cs="Times New Roman"/>
                <w:b/>
                <w:bCs/>
                <w:color w:val="auto"/>
                <w:sz w:val="21"/>
                <w:szCs w:val="21"/>
                <w:highlight w:val="none"/>
              </w:rPr>
              <w:t>处置情况一览表</w:t>
            </w:r>
          </w:p>
          <w:tbl>
            <w:tblPr>
              <w:tblStyle w:val="19"/>
              <w:tblW w:w="872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30"/>
              <w:gridCol w:w="826"/>
              <w:gridCol w:w="966"/>
              <w:gridCol w:w="753"/>
              <w:gridCol w:w="737"/>
              <w:gridCol w:w="720"/>
              <w:gridCol w:w="679"/>
              <w:gridCol w:w="1046"/>
              <w:gridCol w:w="796"/>
              <w:gridCol w:w="1872"/>
            </w:tblGrid>
            <w:tr w14:paraId="0C7DF5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9" w:type="pct"/>
                  <w:tcBorders>
                    <w:tl2br w:val="nil"/>
                    <w:tr2bl w:val="nil"/>
                  </w:tcBorders>
                  <w:noWrap w:val="0"/>
                  <w:vAlign w:val="center"/>
                </w:tcPr>
                <w:p w14:paraId="47E35204">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auto"/>
                      <w:spacing w:val="-6"/>
                      <w:sz w:val="21"/>
                      <w:szCs w:val="21"/>
                      <w:highlight w:val="none"/>
                    </w:rPr>
                  </w:pPr>
                  <w:r>
                    <w:rPr>
                      <w:rFonts w:hint="default" w:ascii="Times New Roman" w:hAnsi="Times New Roman" w:cs="Times New Roman"/>
                      <w:b/>
                      <w:bCs/>
                      <w:color w:val="auto"/>
                      <w:spacing w:val="-6"/>
                      <w:sz w:val="21"/>
                      <w:szCs w:val="21"/>
                      <w:highlight w:val="none"/>
                    </w:rPr>
                    <w:t>序号</w:t>
                  </w:r>
                </w:p>
              </w:tc>
              <w:tc>
                <w:tcPr>
                  <w:tcW w:w="473" w:type="pct"/>
                  <w:tcBorders>
                    <w:tl2br w:val="nil"/>
                    <w:tr2bl w:val="nil"/>
                  </w:tcBorders>
                  <w:noWrap w:val="0"/>
                  <w:vAlign w:val="center"/>
                </w:tcPr>
                <w:p w14:paraId="7E02FD53">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auto"/>
                      <w:spacing w:val="-6"/>
                      <w:sz w:val="21"/>
                      <w:szCs w:val="21"/>
                      <w:highlight w:val="none"/>
                    </w:rPr>
                  </w:pPr>
                  <w:r>
                    <w:rPr>
                      <w:rFonts w:hint="default" w:ascii="Times New Roman" w:hAnsi="Times New Roman" w:cs="Times New Roman"/>
                      <w:b/>
                      <w:bCs/>
                      <w:color w:val="auto"/>
                      <w:spacing w:val="-6"/>
                      <w:sz w:val="21"/>
                      <w:szCs w:val="21"/>
                      <w:highlight w:val="none"/>
                    </w:rPr>
                    <w:t>危险废物名称</w:t>
                  </w:r>
                </w:p>
              </w:tc>
              <w:tc>
                <w:tcPr>
                  <w:tcW w:w="553" w:type="pct"/>
                  <w:tcBorders>
                    <w:tl2br w:val="nil"/>
                    <w:tr2bl w:val="nil"/>
                  </w:tcBorders>
                  <w:noWrap w:val="0"/>
                  <w:vAlign w:val="center"/>
                </w:tcPr>
                <w:p w14:paraId="02983393">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auto"/>
                      <w:spacing w:val="-6"/>
                      <w:sz w:val="21"/>
                      <w:szCs w:val="21"/>
                      <w:highlight w:val="none"/>
                    </w:rPr>
                  </w:pPr>
                  <w:r>
                    <w:rPr>
                      <w:rFonts w:hint="default" w:ascii="Times New Roman" w:hAnsi="Times New Roman" w:cs="Times New Roman"/>
                      <w:b/>
                      <w:bCs/>
                      <w:color w:val="auto"/>
                      <w:spacing w:val="-6"/>
                      <w:sz w:val="21"/>
                      <w:szCs w:val="21"/>
                      <w:highlight w:val="none"/>
                    </w:rPr>
                    <w:t>危险废物类别</w:t>
                  </w:r>
                </w:p>
              </w:tc>
              <w:tc>
                <w:tcPr>
                  <w:tcW w:w="431" w:type="pct"/>
                  <w:tcBorders>
                    <w:tl2br w:val="nil"/>
                    <w:tr2bl w:val="nil"/>
                  </w:tcBorders>
                  <w:noWrap w:val="0"/>
                  <w:vAlign w:val="center"/>
                </w:tcPr>
                <w:p w14:paraId="077B4B7F">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auto"/>
                      <w:spacing w:val="-6"/>
                      <w:sz w:val="21"/>
                      <w:szCs w:val="21"/>
                      <w:highlight w:val="none"/>
                    </w:rPr>
                  </w:pPr>
                  <w:r>
                    <w:rPr>
                      <w:rFonts w:hint="default" w:ascii="Times New Roman" w:hAnsi="Times New Roman" w:cs="Times New Roman"/>
                      <w:b/>
                      <w:bCs/>
                      <w:color w:val="auto"/>
                      <w:spacing w:val="-6"/>
                      <w:sz w:val="21"/>
                      <w:szCs w:val="21"/>
                      <w:highlight w:val="none"/>
                    </w:rPr>
                    <w:t>危险废物代码</w:t>
                  </w:r>
                </w:p>
              </w:tc>
              <w:tc>
                <w:tcPr>
                  <w:tcW w:w="422" w:type="pct"/>
                  <w:tcBorders>
                    <w:tl2br w:val="nil"/>
                    <w:tr2bl w:val="nil"/>
                  </w:tcBorders>
                  <w:noWrap w:val="0"/>
                  <w:vAlign w:val="center"/>
                </w:tcPr>
                <w:p w14:paraId="55280D4C">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auto"/>
                      <w:spacing w:val="-6"/>
                      <w:sz w:val="21"/>
                      <w:szCs w:val="21"/>
                      <w:highlight w:val="none"/>
                    </w:rPr>
                  </w:pPr>
                  <w:r>
                    <w:rPr>
                      <w:rFonts w:hint="default" w:ascii="Times New Roman" w:hAnsi="Times New Roman" w:cs="Times New Roman"/>
                      <w:b/>
                      <w:bCs/>
                      <w:color w:val="auto"/>
                      <w:spacing w:val="-6"/>
                      <w:sz w:val="21"/>
                      <w:szCs w:val="21"/>
                      <w:highlight w:val="none"/>
                    </w:rPr>
                    <w:t>产生量</w:t>
                  </w:r>
                </w:p>
              </w:tc>
              <w:tc>
                <w:tcPr>
                  <w:tcW w:w="412" w:type="pct"/>
                  <w:tcBorders>
                    <w:tl2br w:val="nil"/>
                    <w:tr2bl w:val="nil"/>
                  </w:tcBorders>
                  <w:noWrap w:val="0"/>
                  <w:vAlign w:val="center"/>
                </w:tcPr>
                <w:p w14:paraId="47C7D57F">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auto"/>
                      <w:spacing w:val="-6"/>
                      <w:sz w:val="21"/>
                      <w:szCs w:val="21"/>
                      <w:highlight w:val="none"/>
                    </w:rPr>
                  </w:pPr>
                  <w:r>
                    <w:rPr>
                      <w:rFonts w:hint="default" w:ascii="Times New Roman" w:hAnsi="Times New Roman" w:cs="Times New Roman"/>
                      <w:b/>
                      <w:bCs/>
                      <w:color w:val="auto"/>
                      <w:spacing w:val="-6"/>
                      <w:sz w:val="21"/>
                      <w:szCs w:val="21"/>
                      <w:highlight w:val="none"/>
                    </w:rPr>
                    <w:t>产生</w:t>
                  </w:r>
                </w:p>
                <w:p w14:paraId="1070923F">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auto"/>
                      <w:spacing w:val="-6"/>
                      <w:sz w:val="21"/>
                      <w:szCs w:val="21"/>
                      <w:highlight w:val="none"/>
                    </w:rPr>
                  </w:pPr>
                  <w:r>
                    <w:rPr>
                      <w:rFonts w:hint="default" w:ascii="Times New Roman" w:hAnsi="Times New Roman" w:cs="Times New Roman"/>
                      <w:b/>
                      <w:bCs/>
                      <w:color w:val="auto"/>
                      <w:spacing w:val="-6"/>
                      <w:sz w:val="21"/>
                      <w:szCs w:val="21"/>
                      <w:highlight w:val="none"/>
                    </w:rPr>
                    <w:t>工序</w:t>
                  </w:r>
                </w:p>
              </w:tc>
              <w:tc>
                <w:tcPr>
                  <w:tcW w:w="389" w:type="pct"/>
                  <w:tcBorders>
                    <w:tl2br w:val="nil"/>
                    <w:tr2bl w:val="nil"/>
                  </w:tcBorders>
                  <w:noWrap w:val="0"/>
                  <w:vAlign w:val="center"/>
                </w:tcPr>
                <w:p w14:paraId="583CD048">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auto"/>
                      <w:spacing w:val="-6"/>
                      <w:sz w:val="21"/>
                      <w:szCs w:val="21"/>
                      <w:highlight w:val="none"/>
                    </w:rPr>
                  </w:pPr>
                  <w:r>
                    <w:rPr>
                      <w:rFonts w:hint="default" w:ascii="Times New Roman" w:hAnsi="Times New Roman" w:cs="Times New Roman"/>
                      <w:b/>
                      <w:bCs/>
                      <w:color w:val="auto"/>
                      <w:spacing w:val="-6"/>
                      <w:sz w:val="21"/>
                      <w:szCs w:val="21"/>
                      <w:highlight w:val="none"/>
                    </w:rPr>
                    <w:t>形态</w:t>
                  </w:r>
                </w:p>
              </w:tc>
              <w:tc>
                <w:tcPr>
                  <w:tcW w:w="599" w:type="pct"/>
                  <w:tcBorders>
                    <w:tl2br w:val="nil"/>
                    <w:tr2bl w:val="nil"/>
                  </w:tcBorders>
                  <w:noWrap w:val="0"/>
                  <w:vAlign w:val="center"/>
                </w:tcPr>
                <w:p w14:paraId="31E7BF33">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auto"/>
                      <w:spacing w:val="-6"/>
                      <w:sz w:val="21"/>
                      <w:szCs w:val="21"/>
                      <w:highlight w:val="none"/>
                    </w:rPr>
                  </w:pPr>
                  <w:r>
                    <w:rPr>
                      <w:rFonts w:hint="default" w:ascii="Times New Roman" w:hAnsi="Times New Roman" w:cs="Times New Roman"/>
                      <w:b/>
                      <w:bCs/>
                      <w:color w:val="auto"/>
                      <w:spacing w:val="-6"/>
                      <w:sz w:val="21"/>
                      <w:szCs w:val="21"/>
                      <w:highlight w:val="none"/>
                    </w:rPr>
                    <w:t>有害成分</w:t>
                  </w:r>
                </w:p>
              </w:tc>
              <w:tc>
                <w:tcPr>
                  <w:tcW w:w="456" w:type="pct"/>
                  <w:tcBorders>
                    <w:tl2br w:val="nil"/>
                    <w:tr2bl w:val="nil"/>
                  </w:tcBorders>
                  <w:noWrap w:val="0"/>
                  <w:vAlign w:val="center"/>
                </w:tcPr>
                <w:p w14:paraId="25B12376">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auto"/>
                      <w:spacing w:val="-6"/>
                      <w:sz w:val="21"/>
                      <w:szCs w:val="21"/>
                      <w:highlight w:val="none"/>
                    </w:rPr>
                  </w:pPr>
                  <w:r>
                    <w:rPr>
                      <w:rFonts w:hint="default" w:ascii="Times New Roman" w:hAnsi="Times New Roman" w:cs="Times New Roman"/>
                      <w:b/>
                      <w:bCs/>
                      <w:color w:val="auto"/>
                      <w:spacing w:val="-6"/>
                      <w:sz w:val="21"/>
                      <w:szCs w:val="21"/>
                      <w:highlight w:val="none"/>
                    </w:rPr>
                    <w:t>危险</w:t>
                  </w:r>
                </w:p>
                <w:p w14:paraId="1FD426E9">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auto"/>
                      <w:spacing w:val="-6"/>
                      <w:sz w:val="21"/>
                      <w:szCs w:val="21"/>
                      <w:highlight w:val="none"/>
                    </w:rPr>
                  </w:pPr>
                  <w:r>
                    <w:rPr>
                      <w:rFonts w:hint="default" w:ascii="Times New Roman" w:hAnsi="Times New Roman" w:cs="Times New Roman"/>
                      <w:b/>
                      <w:bCs/>
                      <w:color w:val="auto"/>
                      <w:spacing w:val="-6"/>
                      <w:sz w:val="21"/>
                      <w:szCs w:val="21"/>
                      <w:highlight w:val="none"/>
                    </w:rPr>
                    <w:t>特性</w:t>
                  </w:r>
                </w:p>
              </w:tc>
              <w:tc>
                <w:tcPr>
                  <w:tcW w:w="1072" w:type="pct"/>
                  <w:tcBorders>
                    <w:tl2br w:val="nil"/>
                    <w:tr2bl w:val="nil"/>
                  </w:tcBorders>
                  <w:noWrap w:val="0"/>
                  <w:vAlign w:val="center"/>
                </w:tcPr>
                <w:p w14:paraId="253FFF6A">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auto"/>
                      <w:spacing w:val="-6"/>
                      <w:sz w:val="21"/>
                      <w:szCs w:val="21"/>
                      <w:highlight w:val="none"/>
                    </w:rPr>
                  </w:pPr>
                  <w:r>
                    <w:rPr>
                      <w:rFonts w:hint="default" w:ascii="Times New Roman" w:hAnsi="Times New Roman" w:cs="Times New Roman"/>
                      <w:b/>
                      <w:bCs/>
                      <w:color w:val="auto"/>
                      <w:spacing w:val="-6"/>
                      <w:sz w:val="21"/>
                      <w:szCs w:val="21"/>
                      <w:highlight w:val="none"/>
                    </w:rPr>
                    <w:t>污染防治措施</w:t>
                  </w:r>
                </w:p>
              </w:tc>
            </w:tr>
            <w:tr w14:paraId="78EF16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9" w:type="pct"/>
                  <w:tcBorders>
                    <w:tl2br w:val="nil"/>
                    <w:tr2bl w:val="nil"/>
                  </w:tcBorders>
                  <w:noWrap w:val="0"/>
                  <w:vAlign w:val="center"/>
                </w:tcPr>
                <w:p w14:paraId="421A3F3D">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cs="Times New Roman"/>
                      <w:color w:val="auto"/>
                      <w:spacing w:val="-6"/>
                      <w:sz w:val="21"/>
                      <w:szCs w:val="21"/>
                      <w:highlight w:val="none"/>
                      <w:lang w:val="en-US" w:eastAsia="zh-CN"/>
                    </w:rPr>
                    <w:t>1</w:t>
                  </w:r>
                </w:p>
              </w:tc>
              <w:tc>
                <w:tcPr>
                  <w:tcW w:w="473" w:type="pct"/>
                  <w:tcBorders>
                    <w:tl2br w:val="nil"/>
                    <w:tr2bl w:val="nil"/>
                  </w:tcBorders>
                  <w:noWrap w:val="0"/>
                  <w:vAlign w:val="center"/>
                </w:tcPr>
                <w:p w14:paraId="0710618A">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auto"/>
                      <w:spacing w:val="-6"/>
                      <w:sz w:val="21"/>
                      <w:szCs w:val="21"/>
                      <w:highlight w:val="none"/>
                      <w:lang w:val="en-US" w:eastAsia="zh-CN"/>
                    </w:rPr>
                  </w:pPr>
                  <w:r>
                    <w:rPr>
                      <w:rFonts w:hint="default" w:ascii="Times New Roman" w:hAnsi="Times New Roman" w:cs="Times New Roman"/>
                      <w:color w:val="auto"/>
                      <w:sz w:val="21"/>
                      <w:szCs w:val="21"/>
                      <w:highlight w:val="none"/>
                    </w:rPr>
                    <w:t>废</w:t>
                  </w:r>
                  <w:r>
                    <w:rPr>
                      <w:rFonts w:hint="eastAsia" w:ascii="Times New Roman" w:hAnsi="Times New Roman" w:cs="Times New Roman"/>
                      <w:color w:val="auto"/>
                      <w:sz w:val="21"/>
                      <w:szCs w:val="21"/>
                      <w:highlight w:val="none"/>
                      <w:lang w:val="en-US" w:eastAsia="zh-CN"/>
                    </w:rPr>
                    <w:t>机油</w:t>
                  </w:r>
                </w:p>
              </w:tc>
              <w:tc>
                <w:tcPr>
                  <w:tcW w:w="553" w:type="pct"/>
                  <w:tcBorders>
                    <w:tl2br w:val="nil"/>
                    <w:tr2bl w:val="nil"/>
                  </w:tcBorders>
                  <w:noWrap w:val="0"/>
                  <w:vAlign w:val="center"/>
                </w:tcPr>
                <w:p w14:paraId="6615A1C7">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pacing w:val="-6"/>
                      <w:sz w:val="21"/>
                      <w:szCs w:val="21"/>
                      <w:highlight w:val="none"/>
                    </w:rPr>
                  </w:pPr>
                  <w:r>
                    <w:rPr>
                      <w:rFonts w:hint="default" w:ascii="Times New Roman" w:hAnsi="Times New Roman" w:cs="Times New Roman"/>
                      <w:color w:val="auto"/>
                      <w:spacing w:val="-6"/>
                      <w:sz w:val="21"/>
                      <w:szCs w:val="21"/>
                      <w:highlight w:val="none"/>
                    </w:rPr>
                    <w:t>HW08废矿物油与含矿物油废物</w:t>
                  </w:r>
                </w:p>
              </w:tc>
              <w:tc>
                <w:tcPr>
                  <w:tcW w:w="431" w:type="pct"/>
                  <w:tcBorders>
                    <w:tl2br w:val="nil"/>
                    <w:tr2bl w:val="nil"/>
                  </w:tcBorders>
                  <w:noWrap w:val="0"/>
                  <w:vAlign w:val="center"/>
                </w:tcPr>
                <w:p w14:paraId="11568D02">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pacing w:val="-6"/>
                      <w:sz w:val="21"/>
                      <w:szCs w:val="21"/>
                      <w:highlight w:val="none"/>
                    </w:rPr>
                  </w:pPr>
                  <w:r>
                    <w:rPr>
                      <w:rFonts w:hint="default" w:ascii="Times New Roman" w:hAnsi="Times New Roman" w:cs="Times New Roman"/>
                      <w:color w:val="auto"/>
                      <w:spacing w:val="-6"/>
                      <w:sz w:val="21"/>
                      <w:szCs w:val="21"/>
                      <w:highlight w:val="none"/>
                    </w:rPr>
                    <w:t>900-2</w:t>
                  </w:r>
                  <w:r>
                    <w:rPr>
                      <w:rFonts w:hint="eastAsia" w:ascii="Times New Roman" w:hAnsi="Times New Roman" w:cs="Times New Roman"/>
                      <w:color w:val="auto"/>
                      <w:spacing w:val="-6"/>
                      <w:sz w:val="21"/>
                      <w:szCs w:val="21"/>
                      <w:highlight w:val="none"/>
                      <w:lang w:val="en-US" w:eastAsia="zh-CN"/>
                    </w:rPr>
                    <w:t>49</w:t>
                  </w:r>
                  <w:r>
                    <w:rPr>
                      <w:rFonts w:hint="default" w:ascii="Times New Roman" w:hAnsi="Times New Roman" w:cs="Times New Roman"/>
                      <w:color w:val="auto"/>
                      <w:spacing w:val="-6"/>
                      <w:sz w:val="21"/>
                      <w:szCs w:val="21"/>
                      <w:highlight w:val="none"/>
                    </w:rPr>
                    <w:t>-08</w:t>
                  </w:r>
                </w:p>
              </w:tc>
              <w:tc>
                <w:tcPr>
                  <w:tcW w:w="422" w:type="pct"/>
                  <w:tcBorders>
                    <w:tl2br w:val="nil"/>
                    <w:tr2bl w:val="nil"/>
                  </w:tcBorders>
                  <w:noWrap w:val="0"/>
                  <w:vAlign w:val="center"/>
                </w:tcPr>
                <w:p w14:paraId="0BAD1662">
                  <w:pPr>
                    <w:pStyle w:val="42"/>
                    <w:keepNext w:val="0"/>
                    <w:keepLines w:val="0"/>
                    <w:pageBreakBefore w:val="0"/>
                    <w:widowControl/>
                    <w:kinsoku/>
                    <w:wordWrap/>
                    <w:overflowPunct/>
                    <w:topLinePunct w:val="0"/>
                    <w:autoSpaceDE/>
                    <w:autoSpaceDN/>
                    <w:bidi w:val="0"/>
                    <w:adjustRightInd w:val="0"/>
                    <w:snapToGrid w:val="0"/>
                    <w:spacing w:line="240" w:lineRule="atLeast"/>
                    <w:textAlignment w:val="auto"/>
                    <w:rPr>
                      <w:rFonts w:hint="default" w:ascii="Times New Roman" w:hAnsi="Times New Roman" w:eastAsia="宋体" w:cs="Times New Roman"/>
                      <w:b w:val="0"/>
                      <w:bCs w:val="0"/>
                      <w:color w:val="auto"/>
                      <w:spacing w:val="-6"/>
                      <w:sz w:val="21"/>
                      <w:szCs w:val="21"/>
                      <w:highlight w:val="none"/>
                      <w:lang w:val="en-US" w:eastAsia="zh-CN"/>
                    </w:rPr>
                  </w:pPr>
                  <w:r>
                    <w:rPr>
                      <w:rFonts w:hint="eastAsia" w:cs="Times New Roman"/>
                      <w:b w:val="0"/>
                      <w:bCs w:val="0"/>
                      <w:color w:val="auto"/>
                      <w:spacing w:val="-6"/>
                      <w:sz w:val="21"/>
                      <w:szCs w:val="21"/>
                      <w:highlight w:val="none"/>
                      <w:lang w:val="en-US" w:eastAsia="zh-CN"/>
                    </w:rPr>
                    <w:t>0.1</w:t>
                  </w:r>
                  <w:r>
                    <w:rPr>
                      <w:rFonts w:hint="default" w:ascii="Times New Roman" w:hAnsi="Times New Roman" w:cs="Times New Roman"/>
                      <w:b w:val="0"/>
                      <w:bCs w:val="0"/>
                      <w:color w:val="auto"/>
                      <w:spacing w:val="-6"/>
                      <w:sz w:val="21"/>
                      <w:szCs w:val="21"/>
                      <w:highlight w:val="none"/>
                    </w:rPr>
                    <w:t>t/a</w:t>
                  </w:r>
                </w:p>
              </w:tc>
              <w:tc>
                <w:tcPr>
                  <w:tcW w:w="412" w:type="pct"/>
                  <w:vMerge w:val="restart"/>
                  <w:tcBorders>
                    <w:tl2br w:val="nil"/>
                    <w:tr2bl w:val="nil"/>
                  </w:tcBorders>
                  <w:noWrap w:val="0"/>
                  <w:vAlign w:val="center"/>
                </w:tcPr>
                <w:p w14:paraId="4F1056A1">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cs="Times New Roman"/>
                      <w:color w:val="auto"/>
                      <w:spacing w:val="-6"/>
                      <w:sz w:val="21"/>
                      <w:szCs w:val="21"/>
                      <w:highlight w:val="none"/>
                      <w:lang w:val="en-US" w:eastAsia="zh-CN"/>
                    </w:rPr>
                    <w:t>设备维修保养</w:t>
                  </w:r>
                </w:p>
              </w:tc>
              <w:tc>
                <w:tcPr>
                  <w:tcW w:w="389" w:type="pct"/>
                  <w:tcBorders>
                    <w:tl2br w:val="nil"/>
                    <w:tr2bl w:val="nil"/>
                  </w:tcBorders>
                  <w:noWrap w:val="0"/>
                  <w:vAlign w:val="center"/>
                </w:tcPr>
                <w:p w14:paraId="020DBB0C">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pacing w:val="-6"/>
                      <w:sz w:val="21"/>
                      <w:szCs w:val="21"/>
                      <w:highlight w:val="none"/>
                    </w:rPr>
                  </w:pPr>
                  <w:r>
                    <w:rPr>
                      <w:rFonts w:hint="default" w:ascii="Times New Roman" w:hAnsi="Times New Roman" w:cs="Times New Roman"/>
                      <w:color w:val="auto"/>
                      <w:spacing w:val="-6"/>
                      <w:sz w:val="21"/>
                      <w:szCs w:val="21"/>
                      <w:highlight w:val="none"/>
                    </w:rPr>
                    <w:t>液态</w:t>
                  </w:r>
                </w:p>
              </w:tc>
              <w:tc>
                <w:tcPr>
                  <w:tcW w:w="599" w:type="pct"/>
                  <w:tcBorders>
                    <w:tl2br w:val="nil"/>
                    <w:tr2bl w:val="nil"/>
                  </w:tcBorders>
                  <w:noWrap w:val="0"/>
                  <w:vAlign w:val="center"/>
                </w:tcPr>
                <w:p w14:paraId="1437E030">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pacing w:val="-6"/>
                      <w:sz w:val="21"/>
                      <w:szCs w:val="21"/>
                      <w:highlight w:val="none"/>
                    </w:rPr>
                  </w:pPr>
                  <w:r>
                    <w:rPr>
                      <w:rFonts w:hint="default" w:ascii="Times New Roman" w:hAnsi="Times New Roman" w:cs="Times New Roman"/>
                      <w:color w:val="auto"/>
                      <w:spacing w:val="-6"/>
                      <w:sz w:val="21"/>
                      <w:szCs w:val="21"/>
                      <w:highlight w:val="none"/>
                    </w:rPr>
                    <w:t>烷烃、环烷烃、芳香烃</w:t>
                  </w:r>
                </w:p>
              </w:tc>
              <w:tc>
                <w:tcPr>
                  <w:tcW w:w="456" w:type="pct"/>
                  <w:tcBorders>
                    <w:tl2br w:val="nil"/>
                    <w:tr2bl w:val="nil"/>
                  </w:tcBorders>
                  <w:noWrap w:val="0"/>
                  <w:vAlign w:val="center"/>
                </w:tcPr>
                <w:p w14:paraId="54CDA619">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pacing w:val="-6"/>
                      <w:sz w:val="21"/>
                      <w:szCs w:val="21"/>
                      <w:highlight w:val="none"/>
                    </w:rPr>
                  </w:pPr>
                  <w:r>
                    <w:rPr>
                      <w:rFonts w:hint="default" w:ascii="Times New Roman" w:hAnsi="Times New Roman" w:cs="Times New Roman"/>
                      <w:color w:val="auto"/>
                      <w:spacing w:val="-6"/>
                      <w:sz w:val="21"/>
                      <w:szCs w:val="21"/>
                      <w:highlight w:val="none"/>
                    </w:rPr>
                    <w:t>毒性</w:t>
                  </w:r>
                </w:p>
                <w:p w14:paraId="36504C7E">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pacing w:val="-6"/>
                      <w:sz w:val="21"/>
                      <w:szCs w:val="21"/>
                      <w:highlight w:val="none"/>
                    </w:rPr>
                  </w:pPr>
                  <w:r>
                    <w:rPr>
                      <w:rFonts w:hint="default" w:ascii="Times New Roman" w:hAnsi="Times New Roman" w:cs="Times New Roman"/>
                      <w:color w:val="auto"/>
                      <w:spacing w:val="-6"/>
                      <w:sz w:val="21"/>
                      <w:szCs w:val="21"/>
                      <w:highlight w:val="none"/>
                    </w:rPr>
                    <w:t>易燃性</w:t>
                  </w:r>
                </w:p>
              </w:tc>
              <w:tc>
                <w:tcPr>
                  <w:tcW w:w="1072" w:type="pct"/>
                  <w:vMerge w:val="restart"/>
                  <w:tcBorders>
                    <w:tl2br w:val="nil"/>
                    <w:tr2bl w:val="nil"/>
                  </w:tcBorders>
                  <w:noWrap w:val="0"/>
                  <w:vAlign w:val="center"/>
                </w:tcPr>
                <w:p w14:paraId="6AEACE83">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pacing w:val="-6"/>
                      <w:sz w:val="21"/>
                      <w:szCs w:val="21"/>
                      <w:highlight w:val="none"/>
                    </w:rPr>
                  </w:pPr>
                  <w:r>
                    <w:rPr>
                      <w:rFonts w:hint="default" w:ascii="Times New Roman" w:hAnsi="Times New Roman" w:cs="Times New Roman"/>
                      <w:color w:val="auto"/>
                      <w:spacing w:val="-6"/>
                      <w:sz w:val="21"/>
                      <w:szCs w:val="21"/>
                      <w:highlight w:val="none"/>
                    </w:rPr>
                    <w:t>经收集后送至厂区现有危废贮存库暂存，依托现有水泥窑协同处置100000t/a危险废物项目进行协同处置</w:t>
                  </w:r>
                  <w:r>
                    <w:rPr>
                      <w:rFonts w:hint="eastAsia" w:ascii="Times New Roman" w:hAnsi="Times New Roman" w:cs="Times New Roman"/>
                      <w:color w:val="auto"/>
                      <w:spacing w:val="-6"/>
                      <w:sz w:val="21"/>
                      <w:szCs w:val="21"/>
                      <w:highlight w:val="none"/>
                      <w:lang w:eastAsia="zh-CN"/>
                    </w:rPr>
                    <w:t>。</w:t>
                  </w:r>
                </w:p>
              </w:tc>
            </w:tr>
            <w:tr w14:paraId="00D3DC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9" w:type="pct"/>
                  <w:tcBorders>
                    <w:tl2br w:val="nil"/>
                    <w:tr2bl w:val="nil"/>
                  </w:tcBorders>
                  <w:noWrap w:val="0"/>
                  <w:vAlign w:val="center"/>
                </w:tcPr>
                <w:p w14:paraId="2AF9A5B1">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pacing w:val="-6"/>
                      <w:sz w:val="21"/>
                      <w:szCs w:val="21"/>
                      <w:highlight w:val="none"/>
                      <w:lang w:val="en-US" w:eastAsia="zh-CN"/>
                    </w:rPr>
                  </w:pPr>
                  <w:r>
                    <w:rPr>
                      <w:rFonts w:hint="eastAsia" w:ascii="Times New Roman" w:hAnsi="Times New Roman" w:cs="Times New Roman"/>
                      <w:color w:val="auto"/>
                      <w:spacing w:val="-6"/>
                      <w:sz w:val="21"/>
                      <w:szCs w:val="21"/>
                      <w:highlight w:val="none"/>
                      <w:lang w:val="en-US" w:eastAsia="zh-CN"/>
                    </w:rPr>
                    <w:t>2</w:t>
                  </w:r>
                </w:p>
              </w:tc>
              <w:tc>
                <w:tcPr>
                  <w:tcW w:w="473" w:type="pct"/>
                  <w:tcBorders>
                    <w:tl2br w:val="nil"/>
                    <w:tr2bl w:val="nil"/>
                  </w:tcBorders>
                  <w:noWrap w:val="0"/>
                  <w:vAlign w:val="center"/>
                </w:tcPr>
                <w:p w14:paraId="5ADC49FE">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含油抹布、手套</w:t>
                  </w:r>
                </w:p>
              </w:tc>
              <w:tc>
                <w:tcPr>
                  <w:tcW w:w="553" w:type="pct"/>
                  <w:tcBorders>
                    <w:tl2br w:val="nil"/>
                    <w:tr2bl w:val="nil"/>
                  </w:tcBorders>
                  <w:noWrap w:val="0"/>
                  <w:vAlign w:val="center"/>
                </w:tcPr>
                <w:p w14:paraId="2AC2AB68">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auto"/>
                      <w:spacing w:val="-6"/>
                      <w:sz w:val="21"/>
                      <w:szCs w:val="21"/>
                      <w:highlight w:val="none"/>
                      <w:lang w:val="en-US" w:eastAsia="zh-CN"/>
                    </w:rPr>
                  </w:pPr>
                  <w:r>
                    <w:rPr>
                      <w:rFonts w:hint="eastAsia" w:ascii="Times New Roman" w:hAnsi="Times New Roman" w:cs="Times New Roman"/>
                      <w:color w:val="auto"/>
                      <w:spacing w:val="-6"/>
                      <w:sz w:val="21"/>
                      <w:szCs w:val="21"/>
                      <w:highlight w:val="none"/>
                      <w:lang w:val="en-US" w:eastAsia="zh-CN"/>
                    </w:rPr>
                    <w:t>/</w:t>
                  </w:r>
                </w:p>
              </w:tc>
              <w:tc>
                <w:tcPr>
                  <w:tcW w:w="431" w:type="pct"/>
                  <w:tcBorders>
                    <w:tl2br w:val="nil"/>
                    <w:tr2bl w:val="nil"/>
                  </w:tcBorders>
                  <w:noWrap w:val="0"/>
                  <w:vAlign w:val="center"/>
                </w:tcPr>
                <w:p w14:paraId="0C90B15B">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cs="Times New Roman"/>
                      <w:color w:val="auto"/>
                      <w:spacing w:val="-6"/>
                      <w:sz w:val="21"/>
                      <w:szCs w:val="21"/>
                      <w:highlight w:val="none"/>
                      <w:lang w:val="en-US" w:eastAsia="zh-CN"/>
                    </w:rPr>
                    <w:t>900-041-49</w:t>
                  </w:r>
                </w:p>
              </w:tc>
              <w:tc>
                <w:tcPr>
                  <w:tcW w:w="422" w:type="pct"/>
                  <w:tcBorders>
                    <w:tl2br w:val="nil"/>
                    <w:tr2bl w:val="nil"/>
                  </w:tcBorders>
                  <w:noWrap w:val="0"/>
                  <w:vAlign w:val="center"/>
                </w:tcPr>
                <w:p w14:paraId="7DD850D6">
                  <w:pPr>
                    <w:pStyle w:val="42"/>
                    <w:keepNext w:val="0"/>
                    <w:keepLines w:val="0"/>
                    <w:pageBreakBefore w:val="0"/>
                    <w:widowControl/>
                    <w:kinsoku/>
                    <w:wordWrap/>
                    <w:overflowPunct/>
                    <w:topLinePunct w:val="0"/>
                    <w:autoSpaceDE/>
                    <w:autoSpaceDN/>
                    <w:bidi w:val="0"/>
                    <w:adjustRightInd w:val="0"/>
                    <w:snapToGrid w:val="0"/>
                    <w:spacing w:line="240" w:lineRule="atLeast"/>
                    <w:textAlignment w:val="auto"/>
                    <w:rPr>
                      <w:rFonts w:hint="default" w:cs="Times New Roman"/>
                      <w:b w:val="0"/>
                      <w:bCs w:val="0"/>
                      <w:color w:val="auto"/>
                      <w:spacing w:val="-6"/>
                      <w:sz w:val="21"/>
                      <w:szCs w:val="21"/>
                      <w:highlight w:val="none"/>
                      <w:lang w:val="en-US" w:eastAsia="zh-CN"/>
                    </w:rPr>
                  </w:pPr>
                  <w:r>
                    <w:rPr>
                      <w:rFonts w:hint="eastAsia" w:cs="Times New Roman"/>
                      <w:b w:val="0"/>
                      <w:bCs w:val="0"/>
                      <w:color w:val="auto"/>
                      <w:spacing w:val="-6"/>
                      <w:sz w:val="21"/>
                      <w:szCs w:val="21"/>
                      <w:highlight w:val="none"/>
                      <w:lang w:val="en-US" w:eastAsia="zh-CN"/>
                    </w:rPr>
                    <w:t>0.3</w:t>
                  </w:r>
                </w:p>
              </w:tc>
              <w:tc>
                <w:tcPr>
                  <w:tcW w:w="412" w:type="pct"/>
                  <w:vMerge w:val="continue"/>
                  <w:tcBorders>
                    <w:tl2br w:val="nil"/>
                    <w:tr2bl w:val="nil"/>
                  </w:tcBorders>
                  <w:noWrap w:val="0"/>
                  <w:vAlign w:val="center"/>
                </w:tcPr>
                <w:p w14:paraId="760DECD9">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pacing w:val="-6"/>
                      <w:sz w:val="21"/>
                      <w:szCs w:val="21"/>
                      <w:highlight w:val="none"/>
                      <w:lang w:val="en-US" w:eastAsia="zh-CN"/>
                    </w:rPr>
                  </w:pPr>
                </w:p>
              </w:tc>
              <w:tc>
                <w:tcPr>
                  <w:tcW w:w="389" w:type="pct"/>
                  <w:tcBorders>
                    <w:tl2br w:val="nil"/>
                    <w:tr2bl w:val="nil"/>
                  </w:tcBorders>
                  <w:noWrap w:val="0"/>
                  <w:vAlign w:val="center"/>
                </w:tcPr>
                <w:p w14:paraId="15BD7354">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auto"/>
                      <w:spacing w:val="-6"/>
                      <w:sz w:val="21"/>
                      <w:szCs w:val="21"/>
                      <w:highlight w:val="none"/>
                      <w:lang w:val="en-US" w:eastAsia="zh-CN"/>
                    </w:rPr>
                  </w:pPr>
                  <w:r>
                    <w:rPr>
                      <w:rFonts w:hint="eastAsia" w:ascii="Times New Roman" w:hAnsi="Times New Roman" w:cs="Times New Roman"/>
                      <w:color w:val="auto"/>
                      <w:spacing w:val="-6"/>
                      <w:sz w:val="21"/>
                      <w:szCs w:val="21"/>
                      <w:highlight w:val="none"/>
                      <w:lang w:val="en-US" w:eastAsia="zh-CN"/>
                    </w:rPr>
                    <w:t>固态</w:t>
                  </w:r>
                </w:p>
              </w:tc>
              <w:tc>
                <w:tcPr>
                  <w:tcW w:w="599" w:type="pct"/>
                  <w:tcBorders>
                    <w:tl2br w:val="nil"/>
                    <w:tr2bl w:val="nil"/>
                  </w:tcBorders>
                  <w:noWrap w:val="0"/>
                  <w:vAlign w:val="center"/>
                </w:tcPr>
                <w:p w14:paraId="2D44CE00">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eastAsia="宋体" w:cs="Times New Roman"/>
                      <w:color w:val="auto"/>
                      <w:spacing w:val="-6"/>
                      <w:sz w:val="21"/>
                      <w:szCs w:val="21"/>
                      <w:highlight w:val="none"/>
                      <w:lang w:val="en-US" w:eastAsia="zh-CN"/>
                    </w:rPr>
                  </w:pPr>
                  <w:r>
                    <w:rPr>
                      <w:rFonts w:hint="eastAsia" w:ascii="Times New Roman" w:hAnsi="Times New Roman" w:cs="Times New Roman"/>
                      <w:color w:val="auto"/>
                      <w:spacing w:val="-6"/>
                      <w:sz w:val="21"/>
                      <w:szCs w:val="21"/>
                      <w:highlight w:val="none"/>
                      <w:lang w:val="en-US" w:eastAsia="zh-CN"/>
                    </w:rPr>
                    <w:t>石油烃</w:t>
                  </w:r>
                </w:p>
              </w:tc>
              <w:tc>
                <w:tcPr>
                  <w:tcW w:w="456" w:type="pct"/>
                  <w:tcBorders>
                    <w:tl2br w:val="nil"/>
                    <w:tr2bl w:val="nil"/>
                  </w:tcBorders>
                  <w:noWrap w:val="0"/>
                  <w:vAlign w:val="center"/>
                </w:tcPr>
                <w:p w14:paraId="0B1E1EAB">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cs="Times New Roman"/>
                      <w:color w:val="auto"/>
                      <w:spacing w:val="-6"/>
                      <w:sz w:val="21"/>
                      <w:szCs w:val="21"/>
                      <w:highlight w:val="none"/>
                      <w:lang w:val="en-US" w:eastAsia="zh-CN"/>
                    </w:rPr>
                    <w:t>易燃</w:t>
                  </w:r>
                </w:p>
              </w:tc>
              <w:tc>
                <w:tcPr>
                  <w:tcW w:w="1072" w:type="pct"/>
                  <w:vMerge w:val="continue"/>
                  <w:tcBorders>
                    <w:tl2br w:val="nil"/>
                    <w:tr2bl w:val="nil"/>
                  </w:tcBorders>
                  <w:noWrap w:val="0"/>
                  <w:vAlign w:val="center"/>
                </w:tcPr>
                <w:p w14:paraId="3338A419">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pacing w:val="-6"/>
                      <w:sz w:val="21"/>
                      <w:szCs w:val="21"/>
                      <w:highlight w:val="none"/>
                    </w:rPr>
                  </w:pPr>
                </w:p>
              </w:tc>
            </w:tr>
          </w:tbl>
          <w:p w14:paraId="2813DF8C">
            <w:pPr>
              <w:pStyle w:val="15"/>
              <w:ind w:left="0" w:leftChars="0" w:firstLine="0" w:firstLineChars="0"/>
              <w:jc w:val="center"/>
              <w:rPr>
                <w:rFonts w:hint="default" w:ascii="Times New Roman" w:hAnsi="Times New Roman" w:eastAsia="宋体" w:cs="Times New Roman"/>
                <w:b/>
                <w:bCs/>
                <w:color w:val="auto"/>
                <w:szCs w:val="21"/>
                <w:highlight w:val="none"/>
                <w:lang w:val="en-US" w:eastAsia="zh-CN"/>
              </w:rPr>
            </w:pPr>
            <w:r>
              <w:rPr>
                <w:rFonts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17</w:t>
            </w:r>
            <w:r>
              <w:rPr>
                <w:rFonts w:ascii="Times New Roman" w:hAnsi="Times New Roman" w:cs="Times New Roman"/>
                <w:b/>
                <w:bCs/>
                <w:color w:val="auto"/>
                <w:szCs w:val="21"/>
                <w:highlight w:val="none"/>
              </w:rPr>
              <w:t xml:space="preserve">  本项目一般</w:t>
            </w:r>
            <w:r>
              <w:rPr>
                <w:rFonts w:hint="eastAsia" w:cs="Times New Roman"/>
                <w:b/>
                <w:bCs/>
                <w:color w:val="auto"/>
                <w:szCs w:val="21"/>
                <w:highlight w:val="none"/>
                <w:lang w:val="en-US" w:eastAsia="zh-CN"/>
              </w:rPr>
              <w:t>工业</w:t>
            </w:r>
            <w:r>
              <w:rPr>
                <w:rFonts w:ascii="Times New Roman" w:hAnsi="Times New Roman" w:cs="Times New Roman"/>
                <w:b/>
                <w:bCs/>
                <w:color w:val="auto"/>
                <w:szCs w:val="21"/>
                <w:highlight w:val="none"/>
              </w:rPr>
              <w:t>固体废物</w:t>
            </w:r>
            <w:r>
              <w:rPr>
                <w:rFonts w:hint="eastAsia" w:cs="Times New Roman"/>
                <w:b/>
                <w:bCs/>
                <w:color w:val="auto"/>
                <w:szCs w:val="21"/>
                <w:highlight w:val="none"/>
                <w:lang w:val="en-US" w:eastAsia="zh-CN"/>
              </w:rPr>
              <w:t>产生与处置一览表</w:t>
            </w:r>
          </w:p>
          <w:tbl>
            <w:tblPr>
              <w:tblStyle w:val="19"/>
              <w:tblW w:w="493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498"/>
              <w:gridCol w:w="1458"/>
              <w:gridCol w:w="766"/>
              <w:gridCol w:w="1337"/>
              <w:gridCol w:w="959"/>
              <w:gridCol w:w="644"/>
              <w:gridCol w:w="1364"/>
            </w:tblGrid>
            <w:tr w14:paraId="7DF42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71" w:type="pct"/>
                  <w:tcBorders>
                    <w:tl2br w:val="nil"/>
                    <w:tr2bl w:val="nil"/>
                  </w:tcBorders>
                  <w:vAlign w:val="center"/>
                </w:tcPr>
                <w:p w14:paraId="13D57DBE">
                  <w:pPr>
                    <w:widowControl/>
                    <w:adjustRightInd w:val="0"/>
                    <w:snapToGrid w:val="0"/>
                    <w:jc w:val="center"/>
                    <w:rPr>
                      <w:rFonts w:hint="default" w:ascii="Times New Roman" w:hAnsi="Times New Roman" w:eastAsia="宋体" w:cs="Times New Roman"/>
                      <w:b w:val="0"/>
                      <w:bCs/>
                      <w:color w:val="auto"/>
                      <w:kern w:val="0"/>
                      <w:szCs w:val="21"/>
                      <w:highlight w:val="none"/>
                      <w:lang w:val="en-GB" w:eastAsia="zh-CN"/>
                    </w:rPr>
                  </w:pPr>
                  <w:r>
                    <w:rPr>
                      <w:rFonts w:hint="default" w:ascii="Times New Roman" w:hAnsi="Times New Roman" w:eastAsia="宋体" w:cs="Times New Roman"/>
                      <w:b w:val="0"/>
                      <w:bCs/>
                      <w:color w:val="auto"/>
                      <w:kern w:val="0"/>
                      <w:szCs w:val="21"/>
                      <w:highlight w:val="none"/>
                      <w:lang w:val="en-GB" w:eastAsia="zh-CN"/>
                    </w:rPr>
                    <w:t>序号</w:t>
                  </w:r>
                </w:p>
              </w:tc>
              <w:tc>
                <w:tcPr>
                  <w:tcW w:w="882" w:type="pct"/>
                  <w:tcBorders>
                    <w:tl2br w:val="nil"/>
                    <w:tr2bl w:val="nil"/>
                  </w:tcBorders>
                  <w:vAlign w:val="center"/>
                </w:tcPr>
                <w:p w14:paraId="0EDDB961">
                  <w:pPr>
                    <w:widowControl/>
                    <w:adjustRightInd w:val="0"/>
                    <w:snapToGrid w:val="0"/>
                    <w:jc w:val="center"/>
                    <w:rPr>
                      <w:rFonts w:hint="default" w:ascii="Times New Roman" w:hAnsi="Times New Roman" w:eastAsia="宋体" w:cs="Times New Roman"/>
                      <w:b w:val="0"/>
                      <w:bCs/>
                      <w:color w:val="auto"/>
                      <w:kern w:val="0"/>
                      <w:szCs w:val="21"/>
                      <w:highlight w:val="none"/>
                      <w:lang w:val="en-GB" w:eastAsia="zh-CN"/>
                    </w:rPr>
                  </w:pPr>
                  <w:r>
                    <w:rPr>
                      <w:rFonts w:hint="default" w:ascii="Times New Roman" w:hAnsi="Times New Roman" w:eastAsia="宋体" w:cs="Times New Roman"/>
                      <w:b w:val="0"/>
                      <w:bCs/>
                      <w:color w:val="auto"/>
                      <w:kern w:val="0"/>
                      <w:szCs w:val="21"/>
                      <w:highlight w:val="none"/>
                      <w:lang w:val="en-GB" w:eastAsia="zh-CN"/>
                    </w:rPr>
                    <w:t>产污环节</w:t>
                  </w:r>
                </w:p>
              </w:tc>
              <w:tc>
                <w:tcPr>
                  <w:tcW w:w="858" w:type="pct"/>
                  <w:tcBorders>
                    <w:tl2br w:val="nil"/>
                    <w:tr2bl w:val="nil"/>
                  </w:tcBorders>
                  <w:vAlign w:val="center"/>
                </w:tcPr>
                <w:p w14:paraId="451C1885">
                  <w:pPr>
                    <w:widowControl/>
                    <w:adjustRightInd w:val="0"/>
                    <w:snapToGrid w:val="0"/>
                    <w:jc w:val="center"/>
                    <w:rPr>
                      <w:rFonts w:hint="default" w:ascii="Times New Roman" w:hAnsi="Times New Roman" w:eastAsia="宋体" w:cs="Times New Roman"/>
                      <w:b w:val="0"/>
                      <w:bCs/>
                      <w:color w:val="auto"/>
                      <w:kern w:val="0"/>
                      <w:szCs w:val="21"/>
                      <w:highlight w:val="none"/>
                      <w:lang w:val="en-GB" w:eastAsia="zh-CN"/>
                    </w:rPr>
                  </w:pPr>
                  <w:r>
                    <w:rPr>
                      <w:rFonts w:hint="default" w:ascii="Times New Roman" w:hAnsi="Times New Roman" w:eastAsia="宋体" w:cs="Times New Roman"/>
                      <w:b w:val="0"/>
                      <w:bCs/>
                      <w:color w:val="auto"/>
                      <w:kern w:val="0"/>
                      <w:szCs w:val="21"/>
                      <w:highlight w:val="none"/>
                      <w:lang w:val="en-GB" w:eastAsia="zh-CN"/>
                    </w:rPr>
                    <w:t>固废名称</w:t>
                  </w:r>
                </w:p>
              </w:tc>
              <w:tc>
                <w:tcPr>
                  <w:tcW w:w="451" w:type="pct"/>
                  <w:tcBorders>
                    <w:tl2br w:val="nil"/>
                    <w:tr2bl w:val="nil"/>
                  </w:tcBorders>
                  <w:vAlign w:val="center"/>
                </w:tcPr>
                <w:p w14:paraId="6EEC986B">
                  <w:pPr>
                    <w:widowControl/>
                    <w:adjustRightInd w:val="0"/>
                    <w:snapToGrid w:val="0"/>
                    <w:jc w:val="center"/>
                    <w:rPr>
                      <w:rFonts w:hint="default" w:ascii="Times New Roman" w:hAnsi="Times New Roman" w:eastAsia="宋体" w:cs="Times New Roman"/>
                      <w:b w:val="0"/>
                      <w:bCs/>
                      <w:color w:val="auto"/>
                      <w:kern w:val="0"/>
                      <w:szCs w:val="21"/>
                      <w:highlight w:val="none"/>
                      <w:lang w:val="en-GB" w:eastAsia="zh-CN"/>
                    </w:rPr>
                  </w:pPr>
                  <w:r>
                    <w:rPr>
                      <w:rFonts w:hint="default" w:ascii="Times New Roman" w:hAnsi="Times New Roman" w:eastAsia="宋体" w:cs="Times New Roman"/>
                      <w:b w:val="0"/>
                      <w:bCs/>
                      <w:color w:val="auto"/>
                      <w:kern w:val="0"/>
                      <w:szCs w:val="21"/>
                      <w:highlight w:val="none"/>
                      <w:lang w:val="en-GB" w:eastAsia="zh-CN"/>
                    </w:rPr>
                    <w:t>固废属性</w:t>
                  </w:r>
                </w:p>
              </w:tc>
              <w:tc>
                <w:tcPr>
                  <w:tcW w:w="787" w:type="pct"/>
                  <w:tcBorders>
                    <w:tl2br w:val="nil"/>
                    <w:tr2bl w:val="nil"/>
                  </w:tcBorders>
                  <w:vAlign w:val="center"/>
                </w:tcPr>
                <w:p w14:paraId="5FD52C40">
                  <w:pPr>
                    <w:widowControl/>
                    <w:adjustRightInd w:val="0"/>
                    <w:snapToGrid w:val="0"/>
                    <w:jc w:val="center"/>
                    <w:rPr>
                      <w:rFonts w:hint="default" w:ascii="Times New Roman" w:hAnsi="Times New Roman" w:eastAsia="宋体" w:cs="Times New Roman"/>
                      <w:b w:val="0"/>
                      <w:bCs/>
                      <w:color w:val="auto"/>
                      <w:kern w:val="0"/>
                      <w:szCs w:val="21"/>
                      <w:highlight w:val="none"/>
                      <w:lang w:val="en-GB" w:eastAsia="zh-CN"/>
                    </w:rPr>
                  </w:pPr>
                  <w:r>
                    <w:rPr>
                      <w:rFonts w:hint="default" w:ascii="Times New Roman" w:hAnsi="Times New Roman" w:eastAsia="宋体" w:cs="Times New Roman"/>
                      <w:b w:val="0"/>
                      <w:bCs/>
                      <w:color w:val="auto"/>
                      <w:kern w:val="0"/>
                      <w:szCs w:val="21"/>
                      <w:highlight w:val="none"/>
                      <w:lang w:val="en-GB" w:eastAsia="zh-CN"/>
                    </w:rPr>
                    <w:t>废物代码</w:t>
                  </w:r>
                </w:p>
              </w:tc>
              <w:tc>
                <w:tcPr>
                  <w:tcW w:w="564" w:type="pct"/>
                  <w:tcBorders>
                    <w:tl2br w:val="nil"/>
                    <w:tr2bl w:val="nil"/>
                  </w:tcBorders>
                  <w:vAlign w:val="center"/>
                </w:tcPr>
                <w:p w14:paraId="469453FE">
                  <w:pPr>
                    <w:widowControl/>
                    <w:adjustRightInd w:val="0"/>
                    <w:snapToGrid w:val="0"/>
                    <w:jc w:val="center"/>
                    <w:rPr>
                      <w:rFonts w:hint="default" w:ascii="Times New Roman" w:hAnsi="Times New Roman" w:eastAsia="宋体" w:cs="Times New Roman"/>
                      <w:b w:val="0"/>
                      <w:bCs/>
                      <w:color w:val="auto"/>
                      <w:kern w:val="0"/>
                      <w:szCs w:val="21"/>
                      <w:highlight w:val="none"/>
                      <w:lang w:val="en-GB" w:eastAsia="zh-CN"/>
                    </w:rPr>
                  </w:pPr>
                  <w:r>
                    <w:rPr>
                      <w:rFonts w:hint="default" w:ascii="Times New Roman" w:hAnsi="Times New Roman" w:eastAsia="宋体" w:cs="Times New Roman"/>
                      <w:b w:val="0"/>
                      <w:bCs/>
                      <w:color w:val="auto"/>
                      <w:kern w:val="0"/>
                      <w:szCs w:val="21"/>
                      <w:highlight w:val="none"/>
                      <w:lang w:val="en-GB" w:eastAsia="zh-CN"/>
                    </w:rPr>
                    <w:t>产生量</w:t>
                  </w:r>
                </w:p>
              </w:tc>
              <w:tc>
                <w:tcPr>
                  <w:tcW w:w="379" w:type="pct"/>
                  <w:tcBorders>
                    <w:tl2br w:val="nil"/>
                    <w:tr2bl w:val="nil"/>
                  </w:tcBorders>
                  <w:vAlign w:val="center"/>
                </w:tcPr>
                <w:p w14:paraId="490BB3BE">
                  <w:pPr>
                    <w:widowControl/>
                    <w:adjustRightInd w:val="0"/>
                    <w:snapToGrid w:val="0"/>
                    <w:jc w:val="center"/>
                    <w:rPr>
                      <w:rFonts w:hint="default" w:ascii="Times New Roman" w:hAnsi="Times New Roman" w:eastAsia="宋体" w:cs="Times New Roman"/>
                      <w:b w:val="0"/>
                      <w:bCs/>
                      <w:color w:val="auto"/>
                      <w:kern w:val="0"/>
                      <w:szCs w:val="21"/>
                      <w:highlight w:val="none"/>
                      <w:lang w:val="en-GB" w:eastAsia="zh-CN"/>
                    </w:rPr>
                  </w:pPr>
                  <w:r>
                    <w:rPr>
                      <w:rFonts w:hint="default" w:ascii="Times New Roman" w:hAnsi="Times New Roman" w:eastAsia="宋体" w:cs="Times New Roman"/>
                      <w:b w:val="0"/>
                      <w:bCs/>
                      <w:color w:val="auto"/>
                      <w:kern w:val="0"/>
                      <w:szCs w:val="21"/>
                      <w:highlight w:val="none"/>
                      <w:lang w:val="en-GB" w:eastAsia="zh-CN"/>
                    </w:rPr>
                    <w:t>贮存方式</w:t>
                  </w:r>
                </w:p>
              </w:tc>
              <w:tc>
                <w:tcPr>
                  <w:tcW w:w="803" w:type="pct"/>
                  <w:tcBorders>
                    <w:tl2br w:val="nil"/>
                    <w:tr2bl w:val="nil"/>
                  </w:tcBorders>
                  <w:vAlign w:val="center"/>
                </w:tcPr>
                <w:p w14:paraId="7A66968A">
                  <w:pPr>
                    <w:widowControl/>
                    <w:adjustRightInd w:val="0"/>
                    <w:snapToGrid w:val="0"/>
                    <w:jc w:val="center"/>
                    <w:rPr>
                      <w:rFonts w:hint="default" w:ascii="Times New Roman" w:hAnsi="Times New Roman" w:eastAsia="宋体" w:cs="Times New Roman"/>
                      <w:b w:val="0"/>
                      <w:bCs/>
                      <w:color w:val="auto"/>
                      <w:kern w:val="0"/>
                      <w:szCs w:val="21"/>
                      <w:highlight w:val="none"/>
                      <w:lang w:val="en-GB" w:eastAsia="zh-CN"/>
                    </w:rPr>
                  </w:pPr>
                  <w:r>
                    <w:rPr>
                      <w:rFonts w:hint="default" w:ascii="Times New Roman" w:hAnsi="Times New Roman" w:eastAsia="宋体" w:cs="Times New Roman"/>
                      <w:b w:val="0"/>
                      <w:bCs/>
                      <w:color w:val="auto"/>
                      <w:kern w:val="0"/>
                      <w:szCs w:val="21"/>
                      <w:highlight w:val="none"/>
                      <w:lang w:val="en-GB" w:eastAsia="zh-CN"/>
                    </w:rPr>
                    <w:t>利用处置方式和去向</w:t>
                  </w:r>
                </w:p>
              </w:tc>
            </w:tr>
            <w:tr w14:paraId="22648E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71" w:type="pct"/>
                  <w:tcBorders>
                    <w:tl2br w:val="nil"/>
                    <w:tr2bl w:val="nil"/>
                  </w:tcBorders>
                  <w:vAlign w:val="center"/>
                </w:tcPr>
                <w:p w14:paraId="52C5D5CA">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r>
                    <w:rPr>
                      <w:rFonts w:hint="eastAsia" w:cs="Times New Roman"/>
                      <w:b w:val="0"/>
                      <w:bCs/>
                      <w:color w:val="auto"/>
                      <w:kern w:val="0"/>
                      <w:szCs w:val="21"/>
                      <w:highlight w:val="none"/>
                      <w:lang w:val="en-US" w:eastAsia="zh-CN"/>
                    </w:rPr>
                    <w:t>1</w:t>
                  </w:r>
                </w:p>
              </w:tc>
              <w:tc>
                <w:tcPr>
                  <w:tcW w:w="882" w:type="pct"/>
                  <w:tcBorders>
                    <w:tl2br w:val="nil"/>
                    <w:tr2bl w:val="nil"/>
                  </w:tcBorders>
                  <w:vAlign w:val="center"/>
                </w:tcPr>
                <w:p w14:paraId="2A519228">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r>
                    <w:rPr>
                      <w:rFonts w:hint="eastAsia" w:ascii="Times New Roman" w:hAnsi="Times New Roman" w:eastAsia="宋体" w:cs="Times New Roman"/>
                      <w:b w:val="0"/>
                      <w:bCs/>
                      <w:color w:val="auto"/>
                      <w:kern w:val="0"/>
                      <w:szCs w:val="21"/>
                      <w:highlight w:val="none"/>
                      <w:lang w:val="en-US" w:eastAsia="zh-CN"/>
                    </w:rPr>
                    <w:t>包装</w:t>
                  </w:r>
                </w:p>
              </w:tc>
              <w:tc>
                <w:tcPr>
                  <w:tcW w:w="858" w:type="pct"/>
                  <w:tcBorders>
                    <w:tl2br w:val="nil"/>
                    <w:tr2bl w:val="nil"/>
                  </w:tcBorders>
                  <w:vAlign w:val="center"/>
                </w:tcPr>
                <w:p w14:paraId="7C709B47">
                  <w:pPr>
                    <w:widowControl/>
                    <w:adjustRightInd w:val="0"/>
                    <w:snapToGrid w:val="0"/>
                    <w:jc w:val="center"/>
                    <w:rPr>
                      <w:rFonts w:hint="default" w:ascii="Times New Roman" w:hAnsi="Times New Roman" w:eastAsia="宋体" w:cs="Times New Roman"/>
                      <w:b w:val="0"/>
                      <w:bCs/>
                      <w:color w:val="auto"/>
                      <w:kern w:val="0"/>
                      <w:szCs w:val="21"/>
                      <w:highlight w:val="none"/>
                      <w:lang w:val="en-GB" w:eastAsia="zh-CN"/>
                    </w:rPr>
                  </w:pPr>
                  <w:r>
                    <w:rPr>
                      <w:rFonts w:hint="default" w:ascii="Times New Roman" w:hAnsi="Times New Roman" w:eastAsia="宋体" w:cs="Times New Roman"/>
                      <w:b w:val="0"/>
                      <w:bCs/>
                      <w:color w:val="auto"/>
                      <w:kern w:val="0"/>
                      <w:szCs w:val="21"/>
                      <w:highlight w:val="none"/>
                      <w:lang w:val="en-GB" w:eastAsia="zh-CN"/>
                    </w:rPr>
                    <w:t>废钢丸</w:t>
                  </w:r>
                </w:p>
              </w:tc>
              <w:tc>
                <w:tcPr>
                  <w:tcW w:w="451" w:type="pct"/>
                  <w:vMerge w:val="restart"/>
                  <w:tcBorders>
                    <w:tl2br w:val="nil"/>
                    <w:tr2bl w:val="nil"/>
                  </w:tcBorders>
                  <w:vAlign w:val="center"/>
                </w:tcPr>
                <w:p w14:paraId="77058196">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r>
                    <w:rPr>
                      <w:rFonts w:hint="eastAsia" w:cs="Times New Roman"/>
                      <w:b w:val="0"/>
                      <w:bCs/>
                      <w:color w:val="auto"/>
                      <w:kern w:val="0"/>
                      <w:szCs w:val="21"/>
                      <w:highlight w:val="none"/>
                      <w:lang w:val="en-US" w:eastAsia="zh-CN"/>
                    </w:rPr>
                    <w:t>一般固废</w:t>
                  </w:r>
                </w:p>
              </w:tc>
              <w:tc>
                <w:tcPr>
                  <w:tcW w:w="787" w:type="pct"/>
                  <w:tcBorders>
                    <w:tl2br w:val="nil"/>
                    <w:tr2bl w:val="nil"/>
                  </w:tcBorders>
                  <w:vAlign w:val="center"/>
                </w:tcPr>
                <w:p w14:paraId="70B5E719">
                  <w:pPr>
                    <w:widowControl/>
                    <w:adjustRightInd w:val="0"/>
                    <w:snapToGrid w:val="0"/>
                    <w:jc w:val="center"/>
                    <w:rPr>
                      <w:rFonts w:hint="default" w:ascii="Times New Roman" w:hAnsi="Times New Roman" w:eastAsia="宋体" w:cs="Times New Roman"/>
                      <w:b w:val="0"/>
                      <w:bCs/>
                      <w:color w:val="auto"/>
                      <w:kern w:val="0"/>
                      <w:szCs w:val="21"/>
                      <w:highlight w:val="none"/>
                      <w:lang w:val="en-GB" w:eastAsia="zh-CN"/>
                    </w:rPr>
                  </w:pPr>
                  <w:r>
                    <w:rPr>
                      <w:rFonts w:hint="default" w:ascii="Times New Roman" w:hAnsi="Times New Roman" w:eastAsia="宋体" w:cs="Times New Roman"/>
                      <w:b w:val="0"/>
                      <w:bCs/>
                      <w:color w:val="auto"/>
                      <w:kern w:val="0"/>
                      <w:szCs w:val="21"/>
                      <w:highlight w:val="none"/>
                      <w:lang w:val="en-GB" w:eastAsia="zh-CN"/>
                    </w:rPr>
                    <w:t>900-003-S17</w:t>
                  </w:r>
                </w:p>
              </w:tc>
              <w:tc>
                <w:tcPr>
                  <w:tcW w:w="564" w:type="pct"/>
                  <w:tcBorders>
                    <w:tl2br w:val="nil"/>
                    <w:tr2bl w:val="nil"/>
                  </w:tcBorders>
                  <w:vAlign w:val="center"/>
                </w:tcPr>
                <w:p w14:paraId="3858868F">
                  <w:pPr>
                    <w:widowControl/>
                    <w:adjustRightInd w:val="0"/>
                    <w:snapToGrid w:val="0"/>
                    <w:jc w:val="center"/>
                    <w:rPr>
                      <w:rFonts w:hint="default" w:ascii="Times New Roman" w:hAnsi="Times New Roman" w:eastAsia="宋体" w:cs="Times New Roman"/>
                      <w:b w:val="0"/>
                      <w:bCs/>
                      <w:color w:val="auto"/>
                      <w:kern w:val="0"/>
                      <w:szCs w:val="21"/>
                      <w:highlight w:val="none"/>
                      <w:lang w:val="en-GB" w:eastAsia="zh-CN"/>
                    </w:rPr>
                  </w:pPr>
                  <w:r>
                    <w:rPr>
                      <w:rFonts w:hint="eastAsia" w:ascii="Times New Roman" w:hAnsi="Times New Roman" w:eastAsia="宋体" w:cs="Times New Roman"/>
                      <w:b w:val="0"/>
                      <w:bCs/>
                      <w:color w:val="auto"/>
                      <w:kern w:val="0"/>
                      <w:szCs w:val="21"/>
                      <w:highlight w:val="none"/>
                      <w:lang w:val="en-US" w:eastAsia="zh-CN"/>
                    </w:rPr>
                    <w:t>5</w:t>
                  </w:r>
                  <w:r>
                    <w:rPr>
                      <w:rFonts w:hint="default" w:ascii="Times New Roman" w:hAnsi="Times New Roman" w:eastAsia="宋体" w:cs="Times New Roman"/>
                      <w:b w:val="0"/>
                      <w:bCs/>
                      <w:color w:val="auto"/>
                      <w:kern w:val="0"/>
                      <w:szCs w:val="21"/>
                      <w:highlight w:val="none"/>
                      <w:lang w:val="en-GB" w:eastAsia="zh-CN"/>
                    </w:rPr>
                    <w:t>t/a</w:t>
                  </w:r>
                </w:p>
              </w:tc>
              <w:tc>
                <w:tcPr>
                  <w:tcW w:w="379" w:type="pct"/>
                  <w:vMerge w:val="restart"/>
                  <w:tcBorders>
                    <w:tl2br w:val="nil"/>
                    <w:tr2bl w:val="nil"/>
                  </w:tcBorders>
                  <w:vAlign w:val="center"/>
                </w:tcPr>
                <w:p w14:paraId="5306FC69">
                  <w:pPr>
                    <w:widowControl/>
                    <w:adjustRightInd w:val="0"/>
                    <w:snapToGrid w:val="0"/>
                    <w:jc w:val="center"/>
                    <w:rPr>
                      <w:rFonts w:hint="default" w:ascii="Times New Roman" w:hAnsi="Times New Roman" w:eastAsia="宋体" w:cs="Times New Roman"/>
                      <w:b w:val="0"/>
                      <w:bCs/>
                      <w:color w:val="auto"/>
                      <w:kern w:val="0"/>
                      <w:szCs w:val="21"/>
                      <w:highlight w:val="none"/>
                      <w:lang w:val="en-GB" w:eastAsia="zh-CN"/>
                    </w:rPr>
                  </w:pPr>
                  <w:r>
                    <w:rPr>
                      <w:rFonts w:hint="default" w:ascii="Times New Roman" w:hAnsi="Times New Roman" w:eastAsia="宋体" w:cs="Times New Roman"/>
                      <w:b w:val="0"/>
                      <w:bCs/>
                      <w:color w:val="auto"/>
                      <w:kern w:val="0"/>
                      <w:szCs w:val="21"/>
                      <w:highlight w:val="none"/>
                      <w:lang w:val="en-GB" w:eastAsia="zh-CN"/>
                    </w:rPr>
                    <w:t>一般固废暂存区</w:t>
                  </w:r>
                </w:p>
              </w:tc>
              <w:tc>
                <w:tcPr>
                  <w:tcW w:w="803" w:type="pct"/>
                  <w:vMerge w:val="restart"/>
                  <w:tcBorders>
                    <w:tl2br w:val="nil"/>
                    <w:tr2bl w:val="nil"/>
                  </w:tcBorders>
                  <w:vAlign w:val="center"/>
                </w:tcPr>
                <w:p w14:paraId="1F89F1A2">
                  <w:pPr>
                    <w:widowControl/>
                    <w:adjustRightInd w:val="0"/>
                    <w:snapToGrid w:val="0"/>
                    <w:jc w:val="center"/>
                    <w:rPr>
                      <w:rFonts w:hint="default" w:ascii="Times New Roman" w:hAnsi="Times New Roman" w:eastAsia="宋体" w:cs="Times New Roman"/>
                      <w:b w:val="0"/>
                      <w:bCs/>
                      <w:color w:val="auto"/>
                      <w:kern w:val="0"/>
                      <w:szCs w:val="21"/>
                      <w:highlight w:val="none"/>
                      <w:lang w:val="en-GB" w:eastAsia="zh-CN"/>
                    </w:rPr>
                  </w:pPr>
                  <w:r>
                    <w:rPr>
                      <w:rFonts w:hint="default" w:ascii="Times New Roman" w:hAnsi="Times New Roman" w:eastAsia="宋体" w:cs="Times New Roman"/>
                      <w:b w:val="0"/>
                      <w:bCs/>
                      <w:color w:val="auto"/>
                      <w:kern w:val="0"/>
                      <w:szCs w:val="21"/>
                      <w:highlight w:val="none"/>
                      <w:lang w:val="en-GB" w:eastAsia="zh-CN"/>
                    </w:rPr>
                    <w:t>定期外售于物资回收公司</w:t>
                  </w:r>
                </w:p>
              </w:tc>
            </w:tr>
            <w:tr w14:paraId="70AFFF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71" w:type="pct"/>
                  <w:tcBorders>
                    <w:tl2br w:val="nil"/>
                    <w:tr2bl w:val="nil"/>
                  </w:tcBorders>
                  <w:vAlign w:val="center"/>
                </w:tcPr>
                <w:p w14:paraId="55037508">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r>
                    <w:rPr>
                      <w:rFonts w:hint="eastAsia" w:cs="Times New Roman"/>
                      <w:b w:val="0"/>
                      <w:bCs/>
                      <w:color w:val="auto"/>
                      <w:kern w:val="0"/>
                      <w:szCs w:val="21"/>
                      <w:highlight w:val="none"/>
                      <w:lang w:val="en-US" w:eastAsia="zh-CN"/>
                    </w:rPr>
                    <w:t>2</w:t>
                  </w:r>
                </w:p>
              </w:tc>
              <w:tc>
                <w:tcPr>
                  <w:tcW w:w="882" w:type="pct"/>
                  <w:tcBorders>
                    <w:tl2br w:val="nil"/>
                    <w:tr2bl w:val="nil"/>
                  </w:tcBorders>
                  <w:vAlign w:val="center"/>
                </w:tcPr>
                <w:p w14:paraId="354221DE">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r>
                    <w:rPr>
                      <w:rFonts w:hint="eastAsia" w:cs="Times New Roman"/>
                      <w:b w:val="0"/>
                      <w:bCs/>
                      <w:color w:val="auto"/>
                      <w:kern w:val="0"/>
                      <w:szCs w:val="21"/>
                      <w:highlight w:val="none"/>
                      <w:lang w:val="en-US" w:eastAsia="zh-CN"/>
                    </w:rPr>
                    <w:t>覆膜</w:t>
                  </w:r>
                </w:p>
              </w:tc>
              <w:tc>
                <w:tcPr>
                  <w:tcW w:w="858" w:type="pct"/>
                  <w:tcBorders>
                    <w:tl2br w:val="nil"/>
                    <w:tr2bl w:val="nil"/>
                  </w:tcBorders>
                  <w:vAlign w:val="center"/>
                </w:tcPr>
                <w:p w14:paraId="62057B73">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r>
                    <w:rPr>
                      <w:rFonts w:hint="eastAsia" w:cs="Times New Roman"/>
                      <w:b w:val="0"/>
                      <w:bCs/>
                      <w:color w:val="auto"/>
                      <w:kern w:val="0"/>
                      <w:szCs w:val="21"/>
                      <w:highlight w:val="none"/>
                      <w:lang w:val="en-US" w:eastAsia="zh-CN"/>
                    </w:rPr>
                    <w:t>废塑料膜</w:t>
                  </w:r>
                </w:p>
              </w:tc>
              <w:tc>
                <w:tcPr>
                  <w:tcW w:w="451" w:type="pct"/>
                  <w:vMerge w:val="continue"/>
                  <w:tcBorders>
                    <w:tl2br w:val="nil"/>
                    <w:tr2bl w:val="nil"/>
                  </w:tcBorders>
                  <w:vAlign w:val="center"/>
                </w:tcPr>
                <w:p w14:paraId="3BE2EC1C">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p>
              </w:tc>
              <w:tc>
                <w:tcPr>
                  <w:tcW w:w="787" w:type="pct"/>
                  <w:tcBorders>
                    <w:tl2br w:val="nil"/>
                    <w:tr2bl w:val="nil"/>
                  </w:tcBorders>
                  <w:vAlign w:val="center"/>
                </w:tcPr>
                <w:p w14:paraId="5CDD6075">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r>
                    <w:rPr>
                      <w:rFonts w:hint="default" w:ascii="Times New Roman" w:hAnsi="Times New Roman" w:eastAsia="宋体" w:cs="Times New Roman"/>
                      <w:b w:val="0"/>
                      <w:bCs/>
                      <w:color w:val="auto"/>
                      <w:kern w:val="0"/>
                      <w:szCs w:val="21"/>
                      <w:highlight w:val="none"/>
                      <w:lang w:val="en-GB" w:eastAsia="zh-CN"/>
                    </w:rPr>
                    <w:t>900-003-S17</w:t>
                  </w:r>
                </w:p>
              </w:tc>
              <w:tc>
                <w:tcPr>
                  <w:tcW w:w="564" w:type="pct"/>
                  <w:tcBorders>
                    <w:tl2br w:val="nil"/>
                    <w:tr2bl w:val="nil"/>
                  </w:tcBorders>
                  <w:vAlign w:val="center"/>
                </w:tcPr>
                <w:p w14:paraId="14145105">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r>
                    <w:rPr>
                      <w:rFonts w:hint="eastAsia" w:cs="Times New Roman"/>
                      <w:b w:val="0"/>
                      <w:bCs/>
                      <w:color w:val="auto"/>
                      <w:kern w:val="0"/>
                      <w:szCs w:val="21"/>
                      <w:highlight w:val="none"/>
                      <w:lang w:val="en-US" w:eastAsia="zh-CN"/>
                    </w:rPr>
                    <w:t>0.8</w:t>
                  </w:r>
                  <w:r>
                    <w:rPr>
                      <w:rFonts w:hint="default" w:ascii="Times New Roman" w:hAnsi="Times New Roman" w:eastAsia="宋体" w:cs="Times New Roman"/>
                      <w:b w:val="0"/>
                      <w:bCs/>
                      <w:color w:val="auto"/>
                      <w:kern w:val="0"/>
                      <w:szCs w:val="21"/>
                      <w:highlight w:val="none"/>
                      <w:lang w:val="en-GB" w:eastAsia="zh-CN"/>
                    </w:rPr>
                    <w:t>t/a</w:t>
                  </w:r>
                </w:p>
              </w:tc>
              <w:tc>
                <w:tcPr>
                  <w:tcW w:w="379" w:type="pct"/>
                  <w:vMerge w:val="continue"/>
                  <w:tcBorders>
                    <w:tl2br w:val="nil"/>
                    <w:tr2bl w:val="nil"/>
                  </w:tcBorders>
                  <w:vAlign w:val="center"/>
                </w:tcPr>
                <w:p w14:paraId="7949ADC7">
                  <w:pPr>
                    <w:widowControl/>
                    <w:adjustRightInd w:val="0"/>
                    <w:snapToGrid w:val="0"/>
                    <w:jc w:val="center"/>
                    <w:rPr>
                      <w:rFonts w:hint="default" w:ascii="Times New Roman" w:hAnsi="Times New Roman" w:eastAsia="宋体" w:cs="Times New Roman"/>
                      <w:b w:val="0"/>
                      <w:bCs/>
                      <w:color w:val="auto"/>
                      <w:kern w:val="0"/>
                      <w:szCs w:val="21"/>
                      <w:highlight w:val="none"/>
                      <w:lang w:val="en-GB" w:eastAsia="zh-CN"/>
                    </w:rPr>
                  </w:pPr>
                </w:p>
              </w:tc>
              <w:tc>
                <w:tcPr>
                  <w:tcW w:w="803" w:type="pct"/>
                  <w:vMerge w:val="continue"/>
                  <w:tcBorders>
                    <w:tl2br w:val="nil"/>
                    <w:tr2bl w:val="nil"/>
                  </w:tcBorders>
                  <w:vAlign w:val="center"/>
                </w:tcPr>
                <w:p w14:paraId="6DDCF5F6">
                  <w:pPr>
                    <w:widowControl/>
                    <w:adjustRightInd w:val="0"/>
                    <w:snapToGrid w:val="0"/>
                    <w:jc w:val="center"/>
                    <w:rPr>
                      <w:rFonts w:hint="default" w:ascii="Times New Roman" w:hAnsi="Times New Roman" w:eastAsia="宋体" w:cs="Times New Roman"/>
                      <w:b w:val="0"/>
                      <w:bCs/>
                      <w:color w:val="auto"/>
                      <w:kern w:val="0"/>
                      <w:szCs w:val="21"/>
                      <w:highlight w:val="none"/>
                      <w:lang w:val="en-GB" w:eastAsia="zh-CN"/>
                    </w:rPr>
                  </w:pPr>
                </w:p>
              </w:tc>
            </w:tr>
            <w:tr w14:paraId="38D12F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71" w:type="pct"/>
                  <w:tcBorders>
                    <w:tl2br w:val="nil"/>
                    <w:tr2bl w:val="nil"/>
                  </w:tcBorders>
                  <w:vAlign w:val="center"/>
                </w:tcPr>
                <w:p w14:paraId="691C869C">
                  <w:pPr>
                    <w:widowControl/>
                    <w:adjustRightInd w:val="0"/>
                    <w:snapToGrid w:val="0"/>
                    <w:jc w:val="center"/>
                    <w:rPr>
                      <w:rFonts w:hint="default" w:cs="Times New Roman"/>
                      <w:b w:val="0"/>
                      <w:bCs/>
                      <w:color w:val="auto"/>
                      <w:kern w:val="0"/>
                      <w:szCs w:val="21"/>
                      <w:highlight w:val="none"/>
                      <w:lang w:val="en-US" w:eastAsia="zh-CN"/>
                    </w:rPr>
                  </w:pPr>
                  <w:r>
                    <w:rPr>
                      <w:rFonts w:hint="eastAsia" w:cs="Times New Roman"/>
                      <w:b w:val="0"/>
                      <w:bCs/>
                      <w:color w:val="auto"/>
                      <w:kern w:val="0"/>
                      <w:szCs w:val="21"/>
                      <w:highlight w:val="none"/>
                      <w:lang w:val="en-US" w:eastAsia="zh-CN"/>
                    </w:rPr>
                    <w:t>4</w:t>
                  </w:r>
                </w:p>
              </w:tc>
              <w:tc>
                <w:tcPr>
                  <w:tcW w:w="882" w:type="pct"/>
                  <w:tcBorders>
                    <w:tl2br w:val="nil"/>
                    <w:tr2bl w:val="nil"/>
                  </w:tcBorders>
                  <w:vAlign w:val="center"/>
                </w:tcPr>
                <w:p w14:paraId="5AAEDF4A">
                  <w:pPr>
                    <w:widowControl/>
                    <w:adjustRightInd w:val="0"/>
                    <w:snapToGrid w:val="0"/>
                    <w:jc w:val="center"/>
                    <w:rPr>
                      <w:rFonts w:hint="default" w:cs="Times New Roman"/>
                      <w:b w:val="0"/>
                      <w:bCs/>
                      <w:color w:val="auto"/>
                      <w:kern w:val="0"/>
                      <w:szCs w:val="21"/>
                      <w:highlight w:val="none"/>
                      <w:lang w:val="en-US" w:eastAsia="zh-CN"/>
                    </w:rPr>
                  </w:pPr>
                  <w:r>
                    <w:rPr>
                      <w:rFonts w:hint="eastAsia" w:cs="Times New Roman"/>
                      <w:b w:val="0"/>
                      <w:bCs/>
                      <w:color w:val="auto"/>
                      <w:kern w:val="0"/>
                      <w:szCs w:val="21"/>
                      <w:highlight w:val="none"/>
                      <w:lang w:val="en-US" w:eastAsia="zh-CN"/>
                    </w:rPr>
                    <w:t>洗车</w:t>
                  </w:r>
                </w:p>
              </w:tc>
              <w:tc>
                <w:tcPr>
                  <w:tcW w:w="858" w:type="pct"/>
                  <w:tcBorders>
                    <w:tl2br w:val="nil"/>
                    <w:tr2bl w:val="nil"/>
                  </w:tcBorders>
                  <w:vAlign w:val="center"/>
                </w:tcPr>
                <w:p w14:paraId="33D4375D">
                  <w:pPr>
                    <w:widowControl/>
                    <w:adjustRightInd w:val="0"/>
                    <w:snapToGrid w:val="0"/>
                    <w:jc w:val="center"/>
                    <w:rPr>
                      <w:rFonts w:hint="default" w:cs="Times New Roman"/>
                      <w:b w:val="0"/>
                      <w:bCs/>
                      <w:color w:val="auto"/>
                      <w:kern w:val="0"/>
                      <w:szCs w:val="21"/>
                      <w:highlight w:val="none"/>
                      <w:lang w:val="en-US" w:eastAsia="zh-CN"/>
                    </w:rPr>
                  </w:pPr>
                  <w:r>
                    <w:rPr>
                      <w:rFonts w:hint="eastAsia" w:cs="Times New Roman"/>
                      <w:b w:val="0"/>
                      <w:bCs/>
                      <w:color w:val="auto"/>
                      <w:kern w:val="0"/>
                      <w:szCs w:val="21"/>
                      <w:highlight w:val="none"/>
                      <w:lang w:val="en-US" w:eastAsia="zh-CN"/>
                    </w:rPr>
                    <w:t>沉渣</w:t>
                  </w:r>
                </w:p>
              </w:tc>
              <w:tc>
                <w:tcPr>
                  <w:tcW w:w="451" w:type="pct"/>
                  <w:vMerge w:val="continue"/>
                  <w:tcBorders>
                    <w:tl2br w:val="nil"/>
                    <w:tr2bl w:val="nil"/>
                  </w:tcBorders>
                  <w:vAlign w:val="center"/>
                </w:tcPr>
                <w:p w14:paraId="67272BA0">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p>
              </w:tc>
              <w:tc>
                <w:tcPr>
                  <w:tcW w:w="787" w:type="pct"/>
                  <w:tcBorders>
                    <w:tl2br w:val="nil"/>
                    <w:tr2bl w:val="nil"/>
                  </w:tcBorders>
                  <w:vAlign w:val="center"/>
                </w:tcPr>
                <w:p w14:paraId="6B960410">
                  <w:pPr>
                    <w:widowControl/>
                    <w:adjustRightInd w:val="0"/>
                    <w:snapToGrid w:val="0"/>
                    <w:jc w:val="center"/>
                    <w:rPr>
                      <w:rFonts w:hint="default" w:ascii="Times New Roman" w:hAnsi="Times New Roman" w:eastAsia="宋体" w:cs="Times New Roman"/>
                      <w:b w:val="0"/>
                      <w:bCs/>
                      <w:color w:val="auto"/>
                      <w:kern w:val="0"/>
                      <w:szCs w:val="21"/>
                      <w:highlight w:val="none"/>
                      <w:lang w:val="en-GB" w:eastAsia="zh-CN"/>
                    </w:rPr>
                  </w:pPr>
                  <w:r>
                    <w:rPr>
                      <w:rFonts w:hint="default" w:ascii="Times New Roman" w:hAnsi="Times New Roman" w:eastAsia="宋体" w:cs="Times New Roman"/>
                      <w:b w:val="0"/>
                      <w:bCs/>
                      <w:color w:val="auto"/>
                      <w:kern w:val="0"/>
                      <w:szCs w:val="21"/>
                      <w:highlight w:val="none"/>
                      <w:lang w:val="en-GB" w:eastAsia="zh-CN"/>
                    </w:rPr>
                    <w:t>900-099-S07</w:t>
                  </w:r>
                </w:p>
              </w:tc>
              <w:tc>
                <w:tcPr>
                  <w:tcW w:w="564" w:type="pct"/>
                  <w:tcBorders>
                    <w:tl2br w:val="nil"/>
                    <w:tr2bl w:val="nil"/>
                  </w:tcBorders>
                  <w:vAlign w:val="center"/>
                </w:tcPr>
                <w:p w14:paraId="16455731">
                  <w:pPr>
                    <w:widowControl/>
                    <w:adjustRightInd w:val="0"/>
                    <w:snapToGrid w:val="0"/>
                    <w:jc w:val="center"/>
                    <w:rPr>
                      <w:rFonts w:hint="default" w:cs="Times New Roman"/>
                      <w:b w:val="0"/>
                      <w:bCs/>
                      <w:color w:val="auto"/>
                      <w:kern w:val="0"/>
                      <w:szCs w:val="21"/>
                      <w:highlight w:val="none"/>
                      <w:lang w:val="en-US" w:eastAsia="zh-CN"/>
                    </w:rPr>
                  </w:pPr>
                  <w:r>
                    <w:rPr>
                      <w:rFonts w:hint="eastAsia" w:cs="Times New Roman"/>
                      <w:b w:val="0"/>
                      <w:bCs/>
                      <w:color w:val="auto"/>
                      <w:kern w:val="0"/>
                      <w:szCs w:val="21"/>
                      <w:highlight w:val="none"/>
                      <w:lang w:val="en-US" w:eastAsia="zh-CN"/>
                    </w:rPr>
                    <w:t>0.4</w:t>
                  </w:r>
                </w:p>
              </w:tc>
              <w:tc>
                <w:tcPr>
                  <w:tcW w:w="379" w:type="pct"/>
                  <w:vMerge w:val="continue"/>
                  <w:tcBorders>
                    <w:tl2br w:val="nil"/>
                    <w:tr2bl w:val="nil"/>
                  </w:tcBorders>
                  <w:vAlign w:val="center"/>
                </w:tcPr>
                <w:p w14:paraId="1C8C3DF6">
                  <w:pPr>
                    <w:widowControl/>
                    <w:adjustRightInd w:val="0"/>
                    <w:snapToGrid w:val="0"/>
                    <w:jc w:val="center"/>
                    <w:rPr>
                      <w:rFonts w:hint="default" w:ascii="Times New Roman" w:hAnsi="Times New Roman" w:eastAsia="宋体" w:cs="Times New Roman"/>
                      <w:b w:val="0"/>
                      <w:bCs/>
                      <w:color w:val="auto"/>
                      <w:kern w:val="0"/>
                      <w:szCs w:val="21"/>
                      <w:highlight w:val="none"/>
                      <w:lang w:val="en-GB" w:eastAsia="zh-CN"/>
                    </w:rPr>
                  </w:pPr>
                </w:p>
              </w:tc>
              <w:tc>
                <w:tcPr>
                  <w:tcW w:w="803" w:type="pct"/>
                  <w:tcBorders>
                    <w:tl2br w:val="nil"/>
                    <w:tr2bl w:val="nil"/>
                  </w:tcBorders>
                  <w:vAlign w:val="center"/>
                </w:tcPr>
                <w:p w14:paraId="14F3E83C">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r>
                    <w:rPr>
                      <w:rFonts w:hint="eastAsia" w:cs="Times New Roman"/>
                      <w:b w:val="0"/>
                      <w:bCs/>
                      <w:color w:val="auto"/>
                      <w:kern w:val="0"/>
                      <w:szCs w:val="21"/>
                      <w:highlight w:val="none"/>
                      <w:lang w:val="en-US" w:eastAsia="zh-CN"/>
                    </w:rPr>
                    <w:t>厂区回用</w:t>
                  </w:r>
                </w:p>
              </w:tc>
            </w:tr>
            <w:tr w14:paraId="5089F9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1" w:type="pct"/>
                  <w:tcBorders>
                    <w:tl2br w:val="nil"/>
                    <w:tr2bl w:val="nil"/>
                  </w:tcBorders>
                  <w:vAlign w:val="center"/>
                </w:tcPr>
                <w:p w14:paraId="7D0AB86D">
                  <w:pPr>
                    <w:widowControl/>
                    <w:adjustRightInd w:val="0"/>
                    <w:snapToGrid w:val="0"/>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3</w:t>
                  </w:r>
                </w:p>
              </w:tc>
              <w:tc>
                <w:tcPr>
                  <w:tcW w:w="882" w:type="pct"/>
                  <w:tcBorders>
                    <w:tl2br w:val="nil"/>
                    <w:tr2bl w:val="nil"/>
                  </w:tcBorders>
                  <w:vAlign w:val="center"/>
                </w:tcPr>
                <w:p w14:paraId="3F08DD66">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r>
                    <w:rPr>
                      <w:rFonts w:hint="default" w:ascii="Times New Roman" w:hAnsi="Times New Roman" w:eastAsia="宋体" w:cs="Times New Roman"/>
                      <w:b w:val="0"/>
                      <w:bCs/>
                      <w:color w:val="auto"/>
                      <w:kern w:val="0"/>
                      <w:szCs w:val="21"/>
                      <w:highlight w:val="none"/>
                      <w:lang w:val="en-US" w:eastAsia="zh-CN"/>
                    </w:rPr>
                    <w:t>设备维护保养</w:t>
                  </w:r>
                </w:p>
              </w:tc>
              <w:tc>
                <w:tcPr>
                  <w:tcW w:w="858" w:type="pct"/>
                  <w:tcBorders>
                    <w:tl2br w:val="nil"/>
                    <w:tr2bl w:val="nil"/>
                  </w:tcBorders>
                  <w:vAlign w:val="center"/>
                </w:tcPr>
                <w:p w14:paraId="7817695A">
                  <w:pPr>
                    <w:widowControl/>
                    <w:adjustRightInd w:val="0"/>
                    <w:snapToGrid w:val="0"/>
                    <w:jc w:val="center"/>
                    <w:rPr>
                      <w:rFonts w:hint="default" w:ascii="Times New Roman" w:hAnsi="Times New Roman" w:eastAsia="宋体" w:cs="Times New Roman"/>
                      <w:b w:val="0"/>
                      <w:bCs/>
                      <w:color w:val="auto"/>
                      <w:kern w:val="0"/>
                      <w:szCs w:val="21"/>
                      <w:highlight w:val="none"/>
                      <w:lang w:val="en-GB" w:eastAsia="zh-CN"/>
                    </w:rPr>
                  </w:pPr>
                  <w:r>
                    <w:rPr>
                      <w:rFonts w:hint="default" w:ascii="Times New Roman" w:hAnsi="Times New Roman" w:eastAsia="宋体" w:cs="Times New Roman"/>
                      <w:b w:val="0"/>
                      <w:bCs/>
                      <w:color w:val="auto"/>
                      <w:kern w:val="0"/>
                      <w:szCs w:val="21"/>
                      <w:highlight w:val="none"/>
                      <w:lang w:val="en-US" w:eastAsia="zh-CN"/>
                    </w:rPr>
                    <w:t>废机油</w:t>
                  </w:r>
                </w:p>
              </w:tc>
              <w:tc>
                <w:tcPr>
                  <w:tcW w:w="451" w:type="pct"/>
                  <w:vMerge w:val="restart"/>
                  <w:tcBorders>
                    <w:tl2br w:val="nil"/>
                    <w:tr2bl w:val="nil"/>
                  </w:tcBorders>
                  <w:vAlign w:val="center"/>
                </w:tcPr>
                <w:p w14:paraId="58033A7F">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r>
                    <w:rPr>
                      <w:rFonts w:hint="default" w:ascii="Times New Roman" w:hAnsi="Times New Roman" w:eastAsia="宋体" w:cs="Times New Roman"/>
                      <w:b w:val="0"/>
                      <w:bCs/>
                      <w:color w:val="auto"/>
                      <w:kern w:val="0"/>
                      <w:szCs w:val="21"/>
                      <w:highlight w:val="none"/>
                      <w:lang w:val="en-US" w:eastAsia="zh-CN"/>
                    </w:rPr>
                    <w:t>危险废物</w:t>
                  </w:r>
                </w:p>
              </w:tc>
              <w:tc>
                <w:tcPr>
                  <w:tcW w:w="787" w:type="pct"/>
                  <w:tcBorders>
                    <w:tl2br w:val="nil"/>
                    <w:tr2bl w:val="nil"/>
                  </w:tcBorders>
                  <w:vAlign w:val="center"/>
                </w:tcPr>
                <w:p w14:paraId="34F974BF">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r>
                    <w:rPr>
                      <w:rFonts w:hint="default" w:ascii="Times New Roman" w:hAnsi="Times New Roman" w:eastAsia="宋体" w:cs="Times New Roman"/>
                      <w:b w:val="0"/>
                      <w:bCs/>
                      <w:color w:val="auto"/>
                      <w:kern w:val="0"/>
                      <w:szCs w:val="21"/>
                      <w:highlight w:val="none"/>
                      <w:lang w:val="en-US" w:eastAsia="zh-CN"/>
                    </w:rPr>
                    <w:t>HW08</w:t>
                  </w:r>
                </w:p>
                <w:p w14:paraId="10B3CE8D">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r>
                    <w:rPr>
                      <w:rFonts w:hint="default" w:ascii="Times New Roman" w:hAnsi="Times New Roman" w:eastAsia="宋体" w:cs="Times New Roman"/>
                      <w:b w:val="0"/>
                      <w:bCs/>
                      <w:color w:val="auto"/>
                      <w:kern w:val="0"/>
                      <w:szCs w:val="21"/>
                      <w:highlight w:val="none"/>
                      <w:lang w:val="en-US" w:eastAsia="zh-CN"/>
                    </w:rPr>
                    <w:t>900-249-08</w:t>
                  </w:r>
                </w:p>
              </w:tc>
              <w:tc>
                <w:tcPr>
                  <w:tcW w:w="564" w:type="pct"/>
                  <w:tcBorders>
                    <w:tl2br w:val="nil"/>
                    <w:tr2bl w:val="nil"/>
                  </w:tcBorders>
                  <w:vAlign w:val="center"/>
                </w:tcPr>
                <w:p w14:paraId="6B515773">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r>
                    <w:rPr>
                      <w:rFonts w:hint="eastAsia" w:ascii="Times New Roman" w:hAnsi="Times New Roman" w:eastAsia="宋体" w:cs="Times New Roman"/>
                      <w:b w:val="0"/>
                      <w:bCs/>
                      <w:color w:val="auto"/>
                      <w:kern w:val="0"/>
                      <w:szCs w:val="21"/>
                      <w:highlight w:val="none"/>
                      <w:lang w:val="en-US" w:eastAsia="zh-CN"/>
                    </w:rPr>
                    <w:t>0.1</w:t>
                  </w:r>
                  <w:r>
                    <w:rPr>
                      <w:rFonts w:hint="default" w:ascii="Times New Roman" w:hAnsi="Times New Roman" w:eastAsia="宋体" w:cs="Times New Roman"/>
                      <w:b w:val="0"/>
                      <w:bCs/>
                      <w:color w:val="auto"/>
                      <w:kern w:val="0"/>
                      <w:szCs w:val="21"/>
                      <w:highlight w:val="none"/>
                      <w:lang w:val="en-US" w:eastAsia="zh-CN"/>
                    </w:rPr>
                    <w:t>t/a</w:t>
                  </w:r>
                </w:p>
              </w:tc>
              <w:tc>
                <w:tcPr>
                  <w:tcW w:w="379" w:type="pct"/>
                  <w:vMerge w:val="restart"/>
                  <w:tcBorders>
                    <w:tl2br w:val="nil"/>
                    <w:tr2bl w:val="nil"/>
                  </w:tcBorders>
                  <w:vAlign w:val="center"/>
                </w:tcPr>
                <w:p w14:paraId="06B2F78D">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r>
                    <w:rPr>
                      <w:rFonts w:hint="default" w:ascii="Times New Roman" w:hAnsi="Times New Roman" w:eastAsia="宋体" w:cs="Times New Roman"/>
                      <w:b w:val="0"/>
                      <w:bCs/>
                      <w:color w:val="auto"/>
                      <w:kern w:val="0"/>
                      <w:szCs w:val="21"/>
                      <w:highlight w:val="none"/>
                      <w:lang w:val="en-US" w:eastAsia="zh-CN"/>
                    </w:rPr>
                    <w:t>危废贮存间</w:t>
                  </w:r>
                </w:p>
              </w:tc>
              <w:tc>
                <w:tcPr>
                  <w:tcW w:w="803" w:type="pct"/>
                  <w:vMerge w:val="restart"/>
                  <w:tcBorders>
                    <w:tl2br w:val="nil"/>
                    <w:tr2bl w:val="nil"/>
                  </w:tcBorders>
                  <w:vAlign w:val="center"/>
                </w:tcPr>
                <w:p w14:paraId="78797513">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r>
                    <w:rPr>
                      <w:rFonts w:hint="default" w:ascii="Times New Roman" w:hAnsi="Times New Roman" w:eastAsia="宋体" w:cs="Times New Roman"/>
                      <w:b w:val="0"/>
                      <w:bCs/>
                      <w:color w:val="auto"/>
                      <w:kern w:val="0"/>
                      <w:szCs w:val="21"/>
                      <w:highlight w:val="none"/>
                      <w:lang w:val="en-US" w:eastAsia="zh-CN"/>
                    </w:rPr>
                    <w:t>委托有资质的单位处置</w:t>
                  </w:r>
                </w:p>
              </w:tc>
            </w:tr>
            <w:tr w14:paraId="21AFFB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1" w:type="pct"/>
                  <w:tcBorders>
                    <w:tl2br w:val="nil"/>
                    <w:tr2bl w:val="nil"/>
                  </w:tcBorders>
                  <w:vAlign w:val="center"/>
                </w:tcPr>
                <w:p w14:paraId="5F45EDA3">
                  <w:pPr>
                    <w:widowControl/>
                    <w:adjustRightInd w:val="0"/>
                    <w:snapToGrid w:val="0"/>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4</w:t>
                  </w:r>
                </w:p>
              </w:tc>
              <w:tc>
                <w:tcPr>
                  <w:tcW w:w="882" w:type="pct"/>
                  <w:tcBorders>
                    <w:tl2br w:val="nil"/>
                    <w:tr2bl w:val="nil"/>
                  </w:tcBorders>
                  <w:vAlign w:val="center"/>
                </w:tcPr>
                <w:p w14:paraId="34DB04D2">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r>
                    <w:rPr>
                      <w:rFonts w:hint="default" w:ascii="Times New Roman" w:hAnsi="Times New Roman" w:eastAsia="宋体" w:cs="Times New Roman"/>
                      <w:b w:val="0"/>
                      <w:bCs/>
                      <w:color w:val="auto"/>
                      <w:kern w:val="0"/>
                      <w:szCs w:val="21"/>
                      <w:highlight w:val="none"/>
                      <w:lang w:val="en-US" w:eastAsia="zh-CN"/>
                    </w:rPr>
                    <w:t>设备维护保养</w:t>
                  </w:r>
                </w:p>
              </w:tc>
              <w:tc>
                <w:tcPr>
                  <w:tcW w:w="858" w:type="pct"/>
                  <w:tcBorders>
                    <w:tl2br w:val="nil"/>
                    <w:tr2bl w:val="nil"/>
                  </w:tcBorders>
                  <w:vAlign w:val="center"/>
                </w:tcPr>
                <w:p w14:paraId="78D9CF9D">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r>
                    <w:rPr>
                      <w:rFonts w:hint="default" w:ascii="Times New Roman" w:hAnsi="Times New Roman" w:eastAsia="宋体" w:cs="Times New Roman"/>
                      <w:b w:val="0"/>
                      <w:bCs/>
                      <w:color w:val="auto"/>
                      <w:kern w:val="0"/>
                      <w:szCs w:val="21"/>
                      <w:highlight w:val="none"/>
                      <w:lang w:val="en-US" w:eastAsia="zh-CN"/>
                    </w:rPr>
                    <w:t>含油抹布、手套</w:t>
                  </w:r>
                </w:p>
              </w:tc>
              <w:tc>
                <w:tcPr>
                  <w:tcW w:w="451" w:type="pct"/>
                  <w:vMerge w:val="continue"/>
                  <w:tcBorders>
                    <w:tl2br w:val="nil"/>
                    <w:tr2bl w:val="nil"/>
                  </w:tcBorders>
                  <w:vAlign w:val="center"/>
                </w:tcPr>
                <w:p w14:paraId="3D5B6436">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p>
              </w:tc>
              <w:tc>
                <w:tcPr>
                  <w:tcW w:w="787" w:type="pct"/>
                  <w:tcBorders>
                    <w:tl2br w:val="nil"/>
                    <w:tr2bl w:val="nil"/>
                  </w:tcBorders>
                  <w:vAlign w:val="center"/>
                </w:tcPr>
                <w:p w14:paraId="7FAEDE5C">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r>
                    <w:rPr>
                      <w:rFonts w:hint="eastAsia" w:cs="Times New Roman"/>
                      <w:b w:val="0"/>
                      <w:bCs/>
                      <w:color w:val="auto"/>
                      <w:kern w:val="0"/>
                      <w:szCs w:val="21"/>
                      <w:highlight w:val="none"/>
                      <w:lang w:val="en-US" w:eastAsia="zh-CN"/>
                    </w:rPr>
                    <w:t>900-041-049</w:t>
                  </w:r>
                </w:p>
              </w:tc>
              <w:tc>
                <w:tcPr>
                  <w:tcW w:w="564" w:type="pct"/>
                  <w:tcBorders>
                    <w:tl2br w:val="nil"/>
                    <w:tr2bl w:val="nil"/>
                  </w:tcBorders>
                  <w:vAlign w:val="center"/>
                </w:tcPr>
                <w:p w14:paraId="6C9FCA67">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r>
                    <w:rPr>
                      <w:rFonts w:hint="eastAsia" w:cs="Times New Roman"/>
                      <w:b w:val="0"/>
                      <w:bCs/>
                      <w:color w:val="auto"/>
                      <w:kern w:val="0"/>
                      <w:szCs w:val="21"/>
                      <w:highlight w:val="none"/>
                      <w:lang w:val="en-US" w:eastAsia="zh-CN"/>
                    </w:rPr>
                    <w:t>0.3</w:t>
                  </w:r>
                  <w:r>
                    <w:rPr>
                      <w:rFonts w:hint="default" w:ascii="Times New Roman" w:hAnsi="Times New Roman" w:eastAsia="宋体" w:cs="Times New Roman"/>
                      <w:b w:val="0"/>
                      <w:bCs/>
                      <w:color w:val="auto"/>
                      <w:kern w:val="0"/>
                      <w:szCs w:val="21"/>
                      <w:highlight w:val="none"/>
                      <w:lang w:val="en-US" w:eastAsia="zh-CN"/>
                    </w:rPr>
                    <w:t>t/a</w:t>
                  </w:r>
                </w:p>
              </w:tc>
              <w:tc>
                <w:tcPr>
                  <w:tcW w:w="379" w:type="pct"/>
                  <w:vMerge w:val="continue"/>
                  <w:tcBorders>
                    <w:tl2br w:val="nil"/>
                    <w:tr2bl w:val="nil"/>
                  </w:tcBorders>
                  <w:vAlign w:val="center"/>
                </w:tcPr>
                <w:p w14:paraId="4C07B186">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p>
              </w:tc>
              <w:tc>
                <w:tcPr>
                  <w:tcW w:w="803" w:type="pct"/>
                  <w:vMerge w:val="continue"/>
                  <w:tcBorders>
                    <w:tl2br w:val="nil"/>
                    <w:tr2bl w:val="nil"/>
                  </w:tcBorders>
                  <w:vAlign w:val="center"/>
                </w:tcPr>
                <w:p w14:paraId="021825A9">
                  <w:pPr>
                    <w:widowControl/>
                    <w:adjustRightInd w:val="0"/>
                    <w:snapToGrid w:val="0"/>
                    <w:jc w:val="center"/>
                    <w:rPr>
                      <w:rFonts w:hint="default" w:ascii="Times New Roman" w:hAnsi="Times New Roman" w:eastAsia="宋体" w:cs="Times New Roman"/>
                      <w:b w:val="0"/>
                      <w:bCs/>
                      <w:color w:val="auto"/>
                      <w:kern w:val="0"/>
                      <w:szCs w:val="21"/>
                      <w:highlight w:val="none"/>
                      <w:lang w:val="en-US" w:eastAsia="zh-CN"/>
                    </w:rPr>
                  </w:pPr>
                </w:p>
              </w:tc>
            </w:tr>
          </w:tbl>
          <w:p w14:paraId="45EB7F69">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3.一般固废依托暂存可行性分析</w:t>
            </w:r>
          </w:p>
          <w:p w14:paraId="097F0DCE">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本项目产生的一般固废依托现有项目一般固废暂存间暂存，定期外售于物资回收公司。</w:t>
            </w:r>
          </w:p>
          <w:p w14:paraId="68D2810F">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b w:val="0"/>
                <w:bCs w:val="0"/>
                <w:color w:val="auto"/>
                <w:sz w:val="24"/>
                <w:highlight w:val="none"/>
                <w:vertAlign w:val="baseline"/>
                <w:lang w:val="en-US" w:eastAsia="zh-CN"/>
              </w:rPr>
            </w:pPr>
            <w:r>
              <w:rPr>
                <w:rFonts w:hint="eastAsia" w:ascii="Times New Roman" w:hAnsi="Times New Roman" w:cs="Times New Roman"/>
                <w:b w:val="0"/>
                <w:bCs w:val="0"/>
                <w:color w:val="auto"/>
                <w:sz w:val="24"/>
                <w:highlight w:val="none"/>
                <w:lang w:val="en-US" w:eastAsia="zh-CN"/>
              </w:rPr>
              <w:t>根据建设单位提供资料，现有一般固废间暂存容量约为30t/a</w:t>
            </w:r>
            <w:r>
              <w:rPr>
                <w:rFonts w:hint="eastAsia" w:ascii="Times New Roman" w:hAnsi="Times New Roman" w:cs="Times New Roman"/>
                <w:b w:val="0"/>
                <w:bCs w:val="0"/>
                <w:color w:val="auto"/>
                <w:sz w:val="24"/>
                <w:highlight w:val="none"/>
                <w:vertAlign w:val="baseline"/>
                <w:lang w:val="en-US" w:eastAsia="zh-CN"/>
              </w:rPr>
              <w:t>，现有项目产生的一般固废量约7</w:t>
            </w:r>
            <w:r>
              <w:rPr>
                <w:rFonts w:hint="eastAsia" w:ascii="Times New Roman" w:hAnsi="Times New Roman" w:cs="Times New Roman"/>
                <w:b w:val="0"/>
                <w:bCs w:val="0"/>
                <w:color w:val="auto"/>
                <w:sz w:val="24"/>
                <w:highlight w:val="none"/>
                <w:lang w:val="en-US" w:eastAsia="zh-CN"/>
              </w:rPr>
              <w:t>t/am</w:t>
            </w:r>
            <w:r>
              <w:rPr>
                <w:rFonts w:hint="eastAsia" w:ascii="Times New Roman" w:hAnsi="Times New Roman" w:cs="Times New Roman"/>
                <w:b w:val="0"/>
                <w:bCs w:val="0"/>
                <w:color w:val="auto"/>
                <w:sz w:val="24"/>
                <w:highlight w:val="none"/>
                <w:vertAlign w:val="superscript"/>
                <w:lang w:val="en-US" w:eastAsia="zh-CN"/>
              </w:rPr>
              <w:t>2</w:t>
            </w:r>
            <w:r>
              <w:rPr>
                <w:rFonts w:hint="eastAsia" w:ascii="Times New Roman" w:hAnsi="Times New Roman" w:cs="Times New Roman"/>
                <w:b w:val="0"/>
                <w:bCs w:val="0"/>
                <w:color w:val="auto"/>
                <w:sz w:val="24"/>
                <w:highlight w:val="none"/>
                <w:vertAlign w:val="baseline"/>
                <w:lang w:val="en-US" w:eastAsia="zh-CN"/>
              </w:rPr>
              <w:t>，还剩余23t的容量空间，本项目一般固废产生量为6.3t/a，现有一般固废暂存间可容纳。并且一般固废定期外售处置，保证厂区所有项目产生的一般固废均可暂存。因此本项目产生的一般固废依托现有一般固废暂存间存放较为可行。</w:t>
            </w:r>
          </w:p>
          <w:p w14:paraId="02FB4E9D">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4.危险废物依托处置可行性分析</w:t>
            </w:r>
            <w:bookmarkStart w:id="60" w:name="_GoBack"/>
            <w:bookmarkEnd w:id="60"/>
          </w:p>
          <w:p w14:paraId="4B2AF9C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1）危废贮存间选址可行性</w:t>
            </w:r>
          </w:p>
          <w:p w14:paraId="63A41EA3">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lang w:val="en-US" w:eastAsia="zh-CN"/>
              </w:rPr>
              <w:t>经现场踏勘，金隅冀东凤翔环保科技有限公司已建有</w:t>
            </w:r>
            <w:r>
              <w:rPr>
                <w:rFonts w:hint="eastAsia" w:ascii="Times New Roman" w:hAnsi="Times New Roman" w:cs="Times New Roman"/>
                <w:color w:val="auto"/>
                <w:sz w:val="24"/>
                <w:szCs w:val="24"/>
                <w:highlight w:val="none"/>
                <w:lang w:val="en-US" w:eastAsia="zh-CN"/>
              </w:rPr>
              <w:t>危废贮存库</w:t>
            </w:r>
            <w:r>
              <w:rPr>
                <w:rFonts w:hint="default" w:ascii="Times New Roman" w:hAnsi="Times New Roman" w:cs="Times New Roman"/>
                <w:color w:val="auto"/>
                <w:sz w:val="24"/>
                <w:szCs w:val="24"/>
                <w:highlight w:val="none"/>
                <w:lang w:val="en-US" w:eastAsia="zh-CN"/>
              </w:rPr>
              <w:t>2座，其中</w:t>
            </w:r>
            <w:r>
              <w:rPr>
                <w:rFonts w:hint="eastAsia" w:ascii="Times New Roman" w:hAnsi="Times New Roman" w:cs="Times New Roman"/>
                <w:color w:val="auto"/>
                <w:sz w:val="24"/>
                <w:szCs w:val="24"/>
                <w:highlight w:val="none"/>
                <w:lang w:val="en-US" w:eastAsia="zh-CN"/>
              </w:rPr>
              <w:t>危废贮存库a</w:t>
            </w:r>
            <w:r>
              <w:rPr>
                <w:rFonts w:hint="default" w:ascii="Times New Roman" w:hAnsi="Times New Roman" w:cs="Times New Roman"/>
                <w:color w:val="auto"/>
                <w:sz w:val="24"/>
                <w:szCs w:val="24"/>
                <w:highlight w:val="none"/>
                <w:lang w:val="en-US" w:eastAsia="zh-CN"/>
              </w:rPr>
              <w:t>位于现有油库西侧，建筑面积420m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危废贮存库</w:t>
            </w:r>
            <w:r>
              <w:rPr>
                <w:rFonts w:hint="default" w:ascii="Times New Roman" w:hAnsi="Times New Roman" w:cs="Times New Roman"/>
                <w:color w:val="auto"/>
                <w:sz w:val="24"/>
                <w:szCs w:val="24"/>
                <w:highlight w:val="none"/>
                <w:lang w:val="en-US" w:eastAsia="zh-CN"/>
              </w:rPr>
              <w:t>b位于厂区东南角，建筑面积855m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。2座</w:t>
            </w:r>
            <w:r>
              <w:rPr>
                <w:rFonts w:hint="eastAsia" w:ascii="Times New Roman" w:hAnsi="Times New Roman" w:cs="Times New Roman"/>
                <w:color w:val="auto"/>
                <w:sz w:val="24"/>
                <w:szCs w:val="24"/>
                <w:highlight w:val="none"/>
                <w:lang w:val="en-US" w:eastAsia="zh-CN"/>
              </w:rPr>
              <w:t>危废贮存库</w:t>
            </w:r>
            <w:r>
              <w:rPr>
                <w:rFonts w:hint="default" w:ascii="Times New Roman" w:hAnsi="Times New Roman" w:cs="Times New Roman"/>
                <w:color w:val="auto"/>
                <w:sz w:val="24"/>
                <w:szCs w:val="24"/>
                <w:highlight w:val="none"/>
                <w:lang w:val="en-US" w:eastAsia="zh-CN"/>
              </w:rPr>
              <w:t>主要用于储存有包装的固态、半固态及液态危险废物的贮存</w:t>
            </w:r>
            <w:r>
              <w:rPr>
                <w:rFonts w:hint="default" w:ascii="Times New Roman" w:hAnsi="Times New Roman" w:eastAsia="宋体" w:cs="Times New Roman"/>
                <w:color w:val="auto"/>
                <w:sz w:val="24"/>
                <w:highlight w:val="none"/>
              </w:rPr>
              <w:t>，危险废物暂存间建设</w:t>
            </w:r>
            <w:r>
              <w:rPr>
                <w:rFonts w:hint="eastAsia" w:ascii="Times New Roman" w:hAnsi="Times New Roman" w:cs="Times New Roman"/>
                <w:color w:val="auto"/>
                <w:sz w:val="24"/>
                <w:highlight w:val="none"/>
                <w:lang w:val="en-US" w:eastAsia="zh-CN"/>
              </w:rPr>
              <w:t>的</w:t>
            </w:r>
            <w:r>
              <w:rPr>
                <w:rFonts w:hint="default" w:ascii="Times New Roman" w:hAnsi="Times New Roman" w:eastAsia="宋体" w:cs="Times New Roman"/>
                <w:color w:val="auto"/>
                <w:sz w:val="24"/>
                <w:highlight w:val="none"/>
              </w:rPr>
              <w:t>位置地质结构稳定，建设和管理符合《危险废物贮存污染控制标准》（GB 18597-2023）及修改单中的要求，危险废物根据其危险特性进行了分类贮存，铺设水泥地面，防止渗滤液流出。</w:t>
            </w:r>
          </w:p>
          <w:p w14:paraId="49FFB07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2）暂存能力</w:t>
            </w:r>
          </w:p>
          <w:p w14:paraId="5461112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本项目产生的危险废物废润滑油</w:t>
            </w:r>
            <w:r>
              <w:rPr>
                <w:rFonts w:hint="default" w:ascii="Times New Roman" w:hAnsi="Times New Roman" w:eastAsia="宋体" w:cs="Times New Roman"/>
                <w:color w:val="auto"/>
                <w:sz w:val="24"/>
                <w:highlight w:val="none"/>
                <w:lang w:val="en-US"/>
              </w:rPr>
              <w:t>经收集后送至厂区现有危废贮存库暂存，依托现有水泥窑协同处置100000t/a危险废物项目进行协同处置</w:t>
            </w:r>
            <w:r>
              <w:rPr>
                <w:rFonts w:hint="default" w:ascii="Times New Roman" w:hAnsi="Times New Roman" w:eastAsia="宋体" w:cs="Times New Roman"/>
                <w:color w:val="auto"/>
                <w:sz w:val="24"/>
                <w:highlight w:val="none"/>
                <w:lang w:val="en-US" w:eastAsia="zh-CN"/>
              </w:rPr>
              <w:t>，本项目建成后，产生的危废总量为0.4t/a，产生的总量较小，不会影响工业炉窑处理负荷</w:t>
            </w:r>
            <w:r>
              <w:rPr>
                <w:rFonts w:hint="default" w:ascii="Times New Roman" w:hAnsi="Times New Roman" w:eastAsia="宋体" w:cs="Times New Roman"/>
                <w:color w:val="auto"/>
                <w:sz w:val="24"/>
                <w:highlight w:val="none"/>
              </w:rPr>
              <w:t>。</w:t>
            </w:r>
          </w:p>
          <w:p w14:paraId="40DE764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3）环境影响</w:t>
            </w:r>
          </w:p>
          <w:p w14:paraId="287DD33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本项目产生的危险废物主要是废机油，暂存于收集桶并加盖保存于</w:t>
            </w:r>
            <w:r>
              <w:rPr>
                <w:rFonts w:hint="default" w:ascii="Times New Roman" w:hAnsi="Times New Roman" w:eastAsia="宋体" w:cs="Times New Roman"/>
                <w:color w:val="auto"/>
                <w:sz w:val="24"/>
                <w:highlight w:val="none"/>
                <w:lang w:eastAsia="zh-CN"/>
              </w:rPr>
              <w:t>危废暂存间</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正常情况下不对环境空气、地表水、地下水及土壤造成污染影响。且原有</w:t>
            </w:r>
            <w:r>
              <w:rPr>
                <w:rFonts w:hint="default" w:ascii="Times New Roman" w:hAnsi="Times New Roman" w:eastAsia="宋体" w:cs="Times New Roman"/>
                <w:color w:val="auto"/>
                <w:sz w:val="24"/>
                <w:highlight w:val="none"/>
                <w:lang w:eastAsia="zh-CN"/>
              </w:rPr>
              <w:t>危废暂存间</w:t>
            </w:r>
            <w:r>
              <w:rPr>
                <w:rFonts w:hint="default" w:ascii="Times New Roman" w:hAnsi="Times New Roman" w:eastAsia="宋体" w:cs="Times New Roman"/>
                <w:color w:val="auto"/>
                <w:sz w:val="24"/>
                <w:highlight w:val="none"/>
              </w:rPr>
              <w:t>的地面</w:t>
            </w:r>
            <w:r>
              <w:rPr>
                <w:rFonts w:hint="default" w:ascii="Times New Roman" w:hAnsi="Times New Roman" w:eastAsia="宋体" w:cs="Times New Roman"/>
                <w:color w:val="auto"/>
                <w:sz w:val="24"/>
                <w:highlight w:val="none"/>
                <w:lang w:val="en-US" w:eastAsia="zh-CN"/>
              </w:rPr>
              <w:t>已</w:t>
            </w:r>
            <w:r>
              <w:rPr>
                <w:rFonts w:hint="default" w:ascii="Times New Roman" w:hAnsi="Times New Roman" w:eastAsia="宋体" w:cs="Times New Roman"/>
                <w:color w:val="auto"/>
                <w:sz w:val="24"/>
                <w:highlight w:val="none"/>
              </w:rPr>
              <w:t>进行二次防渗措施，对存放危废的地面墙裙刷环氧树脂漆，提高防渗效果，减少对地表水、地下水及土壤的污染。</w:t>
            </w:r>
          </w:p>
          <w:p w14:paraId="4B8FCEA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4）委托处置的环境影响分析</w:t>
            </w:r>
          </w:p>
          <w:p w14:paraId="782AADD3">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根据建设单位提供的资料，2019年8月30日，建设单位取得《陕西省生态环境厅关于冀东水泥凤翔有限责任公司</w:t>
            </w:r>
            <w:r>
              <w:rPr>
                <w:rFonts w:hint="eastAsia" w:ascii="Times New Roman" w:hAnsi="Times New Roman" w:cs="Times New Roman"/>
                <w:color w:val="auto"/>
                <w:sz w:val="24"/>
                <w:highlight w:val="none"/>
                <w:lang w:val="en-US"/>
              </w:rPr>
              <w:t>水泥窑协同处置100000t/a危险废物项目</w:t>
            </w:r>
            <w:r>
              <w:rPr>
                <w:rFonts w:hint="eastAsia" w:ascii="Times New Roman" w:hAnsi="Times New Roman" w:cs="Times New Roman"/>
                <w:color w:val="auto"/>
                <w:sz w:val="24"/>
                <w:highlight w:val="none"/>
                <w:lang w:val="en-US" w:eastAsia="zh-CN"/>
              </w:rPr>
              <w:t>环境影响报告书的批复》（陕环评批复〔2019〕44号）（见附件8）。2023年11月16日，建设单位取得陕西省生态环境厅颁发的陕西省危险废物经营许可证（见附件9），证书编号：HW6103220003，有效期：自2021年5月21日至2026年5月20日，核准经营方式：收集、贮存、利用、处置，核准经营危险废物类别涉及HW02医药废物、HW03废药物、药品、HW04农药废物、HW05木材防腐剂废物、HW06废有机溶剂与含有机溶剂废物、HW08废矿物油与合矿物油废物、HW9油/水、烃/水混合物或乳化液31大类、340小类，核准经营规模100000t/a。</w:t>
            </w:r>
          </w:p>
          <w:p w14:paraId="566EED9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cs="Times New Roman"/>
                <w:b w:val="0"/>
                <w:bCs w:val="0"/>
                <w:color w:val="auto"/>
                <w:sz w:val="24"/>
                <w:highlight w:val="none"/>
                <w:lang w:val="en-US" w:eastAsia="zh-CN"/>
              </w:rPr>
              <w:t>本项目废润滑油产生量总计0.1t/a，占HW08废矿物油与含矿物油废物经营规模18000t/a的比例很小，且危废类别在核准处置范围之内，依托处置可行</w:t>
            </w:r>
            <w:r>
              <w:rPr>
                <w:rFonts w:hint="default" w:ascii="Times New Roman" w:hAnsi="Times New Roman" w:eastAsia="宋体" w:cs="Times New Roman"/>
                <w:color w:val="auto"/>
                <w:sz w:val="24"/>
                <w:highlight w:val="none"/>
              </w:rPr>
              <w:t>。</w:t>
            </w:r>
          </w:p>
          <w:p w14:paraId="49E1FE7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5）危险废物内部转运作业管理要求</w:t>
            </w:r>
          </w:p>
          <w:p w14:paraId="1E16FCD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建设单位将收集的危险废物，使用推车移动至</w:t>
            </w:r>
            <w:r>
              <w:rPr>
                <w:rFonts w:hint="default" w:ascii="Times New Roman" w:hAnsi="Times New Roman" w:eastAsia="宋体" w:cs="Times New Roman"/>
                <w:color w:val="auto"/>
                <w:sz w:val="24"/>
                <w:highlight w:val="none"/>
                <w:lang w:eastAsia="zh-CN"/>
              </w:rPr>
              <w:t>危废暂存间</w:t>
            </w:r>
            <w:r>
              <w:rPr>
                <w:rFonts w:hint="default" w:ascii="Times New Roman" w:hAnsi="Times New Roman" w:eastAsia="宋体" w:cs="Times New Roman"/>
                <w:color w:val="auto"/>
                <w:sz w:val="24"/>
                <w:highlight w:val="none"/>
              </w:rPr>
              <w:t>内，转移距离较近，且原有</w:t>
            </w:r>
            <w:r>
              <w:rPr>
                <w:rFonts w:hint="default" w:ascii="Times New Roman" w:hAnsi="Times New Roman" w:eastAsia="宋体" w:cs="Times New Roman"/>
                <w:color w:val="auto"/>
                <w:sz w:val="24"/>
                <w:highlight w:val="none"/>
                <w:lang w:eastAsia="zh-CN"/>
              </w:rPr>
              <w:t>危废暂存间</w:t>
            </w:r>
            <w:r>
              <w:rPr>
                <w:rFonts w:hint="default" w:ascii="Times New Roman" w:hAnsi="Times New Roman" w:eastAsia="宋体" w:cs="Times New Roman"/>
                <w:color w:val="auto"/>
                <w:sz w:val="24"/>
                <w:highlight w:val="none"/>
              </w:rPr>
              <w:t>的地面</w:t>
            </w:r>
            <w:r>
              <w:rPr>
                <w:rFonts w:hint="default" w:ascii="Times New Roman" w:hAnsi="Times New Roman" w:eastAsia="宋体" w:cs="Times New Roman"/>
                <w:color w:val="auto"/>
                <w:sz w:val="24"/>
                <w:highlight w:val="none"/>
                <w:lang w:val="en-US" w:eastAsia="zh-CN"/>
              </w:rPr>
              <w:t>已</w:t>
            </w:r>
            <w:r>
              <w:rPr>
                <w:rFonts w:hint="default" w:ascii="Times New Roman" w:hAnsi="Times New Roman" w:eastAsia="宋体" w:cs="Times New Roman"/>
                <w:color w:val="auto"/>
                <w:sz w:val="24"/>
                <w:highlight w:val="none"/>
              </w:rPr>
              <w:t>进行防渗措施，对存放危废的地面墙裙刷环氧树脂漆，提高防渗效果，在加强管理的情况下，危险废物转移对周边环境影响可接受。</w:t>
            </w:r>
          </w:p>
          <w:tbl>
            <w:tblPr>
              <w:tblStyle w:val="20"/>
              <w:tblW w:w="8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1"/>
              <w:gridCol w:w="4024"/>
            </w:tblGrid>
            <w:tr w14:paraId="54C8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041" w:type="dxa"/>
                  <w:vAlign w:val="center"/>
                </w:tcPr>
                <w:p w14:paraId="773B831F">
                  <w:pPr>
                    <w:pStyle w:val="27"/>
                    <w:keepNext w:val="0"/>
                    <w:keepLines w:val="0"/>
                    <w:pageBreakBefore w:val="0"/>
                    <w:kinsoku/>
                    <w:wordWrap/>
                    <w:overflowPunct/>
                    <w:topLinePunct w:val="0"/>
                    <w:autoSpaceDE/>
                    <w:autoSpaceDN/>
                    <w:bidi w:val="0"/>
                    <w:adjustRightInd w:val="0"/>
                    <w:snapToGrid w:val="0"/>
                    <w:spacing w:line="240" w:lineRule="atLeast"/>
                    <w:jc w:val="both"/>
                    <w:textAlignment w:val="auto"/>
                    <w:rPr>
                      <w:rFonts w:hint="default" w:ascii="Times New Roman" w:hAnsi="Times New Roman" w:cs="Times New Roman"/>
                      <w:color w:val="auto"/>
                      <w:spacing w:val="-6"/>
                      <w:sz w:val="21"/>
                      <w:szCs w:val="21"/>
                      <w:highlight w:val="none"/>
                      <w:lang w:val="en-US" w:eastAsia="zh-CN"/>
                    </w:rPr>
                  </w:pPr>
                  <w:r>
                    <w:rPr>
                      <w:rFonts w:hint="default" w:ascii="Times New Roman" w:hAnsi="Times New Roman" w:cs="Times New Roman"/>
                      <w:color w:val="auto"/>
                      <w:spacing w:val="-6"/>
                      <w:sz w:val="21"/>
                      <w:szCs w:val="21"/>
                      <w:highlight w:val="none"/>
                      <w:lang w:val="en-US" w:eastAsia="zh-CN"/>
                    </w:rPr>
                    <w:drawing>
                      <wp:inline distT="0" distB="0" distL="114300" distR="114300">
                        <wp:extent cx="2399665" cy="1799590"/>
                        <wp:effectExtent l="0" t="0" r="635" b="10160"/>
                        <wp:docPr id="4460" name="图片 95" descr="危废暂存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 name="图片 95" descr="危废暂存库"/>
                                <pic:cNvPicPr>
                                  <a:picLocks noChangeAspect="1"/>
                                </pic:cNvPicPr>
                              </pic:nvPicPr>
                              <pic:blipFill>
                                <a:blip r:embed="rId34"/>
                                <a:stretch>
                                  <a:fillRect/>
                                </a:stretch>
                              </pic:blipFill>
                              <pic:spPr>
                                <a:xfrm>
                                  <a:off x="0" y="0"/>
                                  <a:ext cx="2399665" cy="1799590"/>
                                </a:xfrm>
                                <a:prstGeom prst="rect">
                                  <a:avLst/>
                                </a:prstGeom>
                              </pic:spPr>
                            </pic:pic>
                          </a:graphicData>
                        </a:graphic>
                      </wp:inline>
                    </w:drawing>
                  </w:r>
                </w:p>
              </w:tc>
              <w:tc>
                <w:tcPr>
                  <w:tcW w:w="4024" w:type="dxa"/>
                  <w:vAlign w:val="center"/>
                </w:tcPr>
                <w:p w14:paraId="0B3DE413">
                  <w:pPr>
                    <w:pStyle w:val="27"/>
                    <w:keepNext w:val="0"/>
                    <w:keepLines w:val="0"/>
                    <w:pageBreakBefore w:val="0"/>
                    <w:kinsoku/>
                    <w:wordWrap/>
                    <w:overflowPunct/>
                    <w:topLinePunct w:val="0"/>
                    <w:autoSpaceDE/>
                    <w:autoSpaceDN/>
                    <w:bidi w:val="0"/>
                    <w:adjustRightInd w:val="0"/>
                    <w:snapToGrid w:val="0"/>
                    <w:spacing w:line="240" w:lineRule="atLeast"/>
                    <w:jc w:val="both"/>
                    <w:textAlignment w:val="auto"/>
                    <w:rPr>
                      <w:rFonts w:hint="default" w:ascii="Times New Roman" w:hAnsi="Times New Roman" w:cs="Times New Roman"/>
                      <w:color w:val="auto"/>
                      <w:spacing w:val="-6"/>
                      <w:sz w:val="21"/>
                      <w:szCs w:val="21"/>
                      <w:highlight w:val="none"/>
                      <w:lang w:val="en-US" w:eastAsia="zh-CN"/>
                    </w:rPr>
                  </w:pPr>
                  <w:r>
                    <w:rPr>
                      <w:rFonts w:hint="default" w:ascii="Times New Roman" w:hAnsi="Times New Roman" w:cs="Times New Roman"/>
                      <w:color w:val="auto"/>
                      <w:spacing w:val="-6"/>
                      <w:sz w:val="21"/>
                      <w:szCs w:val="21"/>
                      <w:highlight w:val="none"/>
                      <w:lang w:val="en-US" w:eastAsia="zh-CN"/>
                    </w:rPr>
                    <w:drawing>
                      <wp:inline distT="0" distB="0" distL="114300" distR="114300">
                        <wp:extent cx="2392680" cy="1794510"/>
                        <wp:effectExtent l="0" t="0" r="7620" b="15240"/>
                        <wp:docPr id="4461" name="图片 101" descr="危险废物贮存设施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 name="图片 101" descr="危险废物贮存设施标志"/>
                                <pic:cNvPicPr>
                                  <a:picLocks noChangeAspect="1"/>
                                </pic:cNvPicPr>
                              </pic:nvPicPr>
                              <pic:blipFill>
                                <a:blip r:embed="rId35"/>
                                <a:stretch>
                                  <a:fillRect/>
                                </a:stretch>
                              </pic:blipFill>
                              <pic:spPr>
                                <a:xfrm>
                                  <a:off x="0" y="0"/>
                                  <a:ext cx="2392680" cy="1794510"/>
                                </a:xfrm>
                                <a:prstGeom prst="rect">
                                  <a:avLst/>
                                </a:prstGeom>
                              </pic:spPr>
                            </pic:pic>
                          </a:graphicData>
                        </a:graphic>
                      </wp:inline>
                    </w:drawing>
                  </w:r>
                </w:p>
              </w:tc>
            </w:tr>
            <w:tr w14:paraId="29B4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1" w:type="dxa"/>
                  <w:vAlign w:val="center"/>
                </w:tcPr>
                <w:p w14:paraId="18B0C2D9">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pacing w:val="-6"/>
                      <w:sz w:val="21"/>
                      <w:szCs w:val="21"/>
                      <w:highlight w:val="none"/>
                      <w:lang w:val="en-US" w:eastAsia="zh-CN"/>
                    </w:rPr>
                  </w:pPr>
                  <w:r>
                    <w:rPr>
                      <w:rFonts w:hint="eastAsia" w:ascii="Times New Roman" w:hAnsi="Times New Roman" w:cs="Times New Roman"/>
                      <w:color w:val="auto"/>
                      <w:spacing w:val="-6"/>
                      <w:sz w:val="21"/>
                      <w:szCs w:val="21"/>
                      <w:highlight w:val="none"/>
                      <w:lang w:val="en-US" w:eastAsia="zh-CN"/>
                    </w:rPr>
                    <w:t>危废贮存库</w:t>
                  </w:r>
                </w:p>
              </w:tc>
              <w:tc>
                <w:tcPr>
                  <w:tcW w:w="4024" w:type="dxa"/>
                  <w:vAlign w:val="center"/>
                </w:tcPr>
                <w:p w14:paraId="3BA5A05E">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pacing w:val="-6"/>
                      <w:sz w:val="21"/>
                      <w:szCs w:val="21"/>
                      <w:highlight w:val="none"/>
                      <w:lang w:val="en-US" w:eastAsia="zh-CN"/>
                    </w:rPr>
                  </w:pPr>
                  <w:r>
                    <w:rPr>
                      <w:rFonts w:hint="eastAsia" w:ascii="Times New Roman" w:hAnsi="Times New Roman" w:cs="Times New Roman"/>
                      <w:color w:val="auto"/>
                      <w:spacing w:val="-6"/>
                      <w:sz w:val="21"/>
                      <w:szCs w:val="21"/>
                      <w:highlight w:val="none"/>
                      <w:lang w:val="en-US" w:eastAsia="zh-CN"/>
                    </w:rPr>
                    <w:t>危险废物贮存设施标志牌</w:t>
                  </w:r>
                </w:p>
              </w:tc>
            </w:tr>
            <w:tr w14:paraId="1E46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1" w:type="dxa"/>
                  <w:vAlign w:val="center"/>
                </w:tcPr>
                <w:p w14:paraId="543CEDE0">
                  <w:pPr>
                    <w:pStyle w:val="27"/>
                    <w:keepNext w:val="0"/>
                    <w:keepLines w:val="0"/>
                    <w:pageBreakBefore w:val="0"/>
                    <w:kinsoku/>
                    <w:wordWrap/>
                    <w:overflowPunct/>
                    <w:topLinePunct w:val="0"/>
                    <w:autoSpaceDE/>
                    <w:autoSpaceDN/>
                    <w:bidi w:val="0"/>
                    <w:adjustRightInd w:val="0"/>
                    <w:snapToGrid w:val="0"/>
                    <w:spacing w:line="240" w:lineRule="atLeast"/>
                    <w:jc w:val="both"/>
                    <w:textAlignment w:val="auto"/>
                    <w:rPr>
                      <w:rFonts w:hint="default" w:ascii="Times New Roman" w:hAnsi="Times New Roman" w:cs="Times New Roman"/>
                      <w:color w:val="auto"/>
                      <w:spacing w:val="-6"/>
                      <w:sz w:val="21"/>
                      <w:szCs w:val="21"/>
                      <w:highlight w:val="none"/>
                      <w:lang w:val="en-US" w:eastAsia="zh-CN"/>
                    </w:rPr>
                  </w:pPr>
                  <w:r>
                    <w:rPr>
                      <w:rFonts w:hint="default" w:ascii="Times New Roman" w:hAnsi="Times New Roman" w:cs="Times New Roman"/>
                      <w:color w:val="auto"/>
                      <w:spacing w:val="-6"/>
                      <w:sz w:val="21"/>
                      <w:szCs w:val="21"/>
                      <w:highlight w:val="none"/>
                      <w:lang w:val="en-US" w:eastAsia="zh-CN"/>
                    </w:rPr>
                    <w:drawing>
                      <wp:inline distT="0" distB="0" distL="114300" distR="114300">
                        <wp:extent cx="2392680" cy="1794510"/>
                        <wp:effectExtent l="0" t="0" r="7620" b="15240"/>
                        <wp:docPr id="4462" name="图片 102" descr="危险废物贮存分区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 name="图片 102" descr="危险废物贮存分区标志"/>
                                <pic:cNvPicPr>
                                  <a:picLocks noChangeAspect="1"/>
                                </pic:cNvPicPr>
                              </pic:nvPicPr>
                              <pic:blipFill>
                                <a:blip r:embed="rId36"/>
                                <a:stretch>
                                  <a:fillRect/>
                                </a:stretch>
                              </pic:blipFill>
                              <pic:spPr>
                                <a:xfrm>
                                  <a:off x="0" y="0"/>
                                  <a:ext cx="2392680" cy="1794510"/>
                                </a:xfrm>
                                <a:prstGeom prst="rect">
                                  <a:avLst/>
                                </a:prstGeom>
                              </pic:spPr>
                            </pic:pic>
                          </a:graphicData>
                        </a:graphic>
                      </wp:inline>
                    </w:drawing>
                  </w:r>
                </w:p>
              </w:tc>
              <w:tc>
                <w:tcPr>
                  <w:tcW w:w="4024" w:type="dxa"/>
                  <w:vAlign w:val="center"/>
                </w:tcPr>
                <w:p w14:paraId="1859696C">
                  <w:pPr>
                    <w:pStyle w:val="27"/>
                    <w:keepNext w:val="0"/>
                    <w:keepLines w:val="0"/>
                    <w:pageBreakBefore w:val="0"/>
                    <w:kinsoku/>
                    <w:wordWrap/>
                    <w:overflowPunct/>
                    <w:topLinePunct w:val="0"/>
                    <w:autoSpaceDE/>
                    <w:autoSpaceDN/>
                    <w:bidi w:val="0"/>
                    <w:adjustRightInd w:val="0"/>
                    <w:snapToGrid w:val="0"/>
                    <w:spacing w:line="240" w:lineRule="atLeast"/>
                    <w:jc w:val="both"/>
                    <w:textAlignment w:val="auto"/>
                    <w:rPr>
                      <w:rFonts w:hint="default" w:ascii="Times New Roman" w:hAnsi="Times New Roman" w:cs="Times New Roman"/>
                      <w:color w:val="auto"/>
                      <w:spacing w:val="-6"/>
                      <w:sz w:val="21"/>
                      <w:szCs w:val="21"/>
                      <w:highlight w:val="none"/>
                      <w:lang w:val="en-US" w:eastAsia="zh-CN"/>
                    </w:rPr>
                  </w:pPr>
                  <w:r>
                    <w:rPr>
                      <w:rFonts w:hint="default" w:ascii="Times New Roman" w:hAnsi="Times New Roman" w:cs="Times New Roman"/>
                      <w:color w:val="auto"/>
                      <w:spacing w:val="-6"/>
                      <w:sz w:val="21"/>
                      <w:szCs w:val="21"/>
                      <w:highlight w:val="none"/>
                      <w:lang w:val="en-US" w:eastAsia="zh-CN"/>
                    </w:rPr>
                    <w:drawing>
                      <wp:inline distT="0" distB="0" distL="114300" distR="114300">
                        <wp:extent cx="2392680" cy="1794510"/>
                        <wp:effectExtent l="0" t="0" r="7620" b="15240"/>
                        <wp:docPr id="4463" name="图片 103" descr="危废管理制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 name="图片 103" descr="危废管理制度"/>
                                <pic:cNvPicPr>
                                  <a:picLocks noChangeAspect="1"/>
                                </pic:cNvPicPr>
                              </pic:nvPicPr>
                              <pic:blipFill>
                                <a:blip r:embed="rId37"/>
                                <a:stretch>
                                  <a:fillRect/>
                                </a:stretch>
                              </pic:blipFill>
                              <pic:spPr>
                                <a:xfrm>
                                  <a:off x="0" y="0"/>
                                  <a:ext cx="2392680" cy="1794510"/>
                                </a:xfrm>
                                <a:prstGeom prst="rect">
                                  <a:avLst/>
                                </a:prstGeom>
                              </pic:spPr>
                            </pic:pic>
                          </a:graphicData>
                        </a:graphic>
                      </wp:inline>
                    </w:drawing>
                  </w:r>
                </w:p>
              </w:tc>
            </w:tr>
            <w:tr w14:paraId="0BF80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1" w:type="dxa"/>
                  <w:vAlign w:val="center"/>
                </w:tcPr>
                <w:p w14:paraId="04B01630">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pacing w:val="-6"/>
                      <w:sz w:val="21"/>
                      <w:szCs w:val="21"/>
                      <w:highlight w:val="none"/>
                      <w:lang w:val="en-US" w:eastAsia="zh-CN"/>
                    </w:rPr>
                  </w:pPr>
                  <w:r>
                    <w:rPr>
                      <w:rFonts w:hint="eastAsia" w:ascii="Times New Roman" w:hAnsi="Times New Roman" w:cs="Times New Roman"/>
                      <w:color w:val="auto"/>
                      <w:spacing w:val="-6"/>
                      <w:sz w:val="21"/>
                      <w:szCs w:val="21"/>
                      <w:highlight w:val="none"/>
                      <w:lang w:val="en-US" w:eastAsia="zh-CN"/>
                    </w:rPr>
                    <w:t>危险废物贮存分区标志</w:t>
                  </w:r>
                </w:p>
              </w:tc>
              <w:tc>
                <w:tcPr>
                  <w:tcW w:w="4024" w:type="dxa"/>
                  <w:vAlign w:val="center"/>
                </w:tcPr>
                <w:p w14:paraId="1CD53309">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pacing w:val="-6"/>
                      <w:sz w:val="21"/>
                      <w:szCs w:val="21"/>
                      <w:highlight w:val="none"/>
                      <w:lang w:val="en-US" w:eastAsia="zh-CN"/>
                    </w:rPr>
                  </w:pPr>
                  <w:r>
                    <w:rPr>
                      <w:rFonts w:hint="eastAsia" w:ascii="Times New Roman" w:hAnsi="Times New Roman" w:cs="Times New Roman"/>
                      <w:color w:val="auto"/>
                      <w:spacing w:val="-6"/>
                      <w:sz w:val="21"/>
                      <w:szCs w:val="21"/>
                      <w:highlight w:val="none"/>
                      <w:lang w:val="en-US" w:eastAsia="zh-CN"/>
                    </w:rPr>
                    <w:t>危险废物管理制度</w:t>
                  </w:r>
                </w:p>
              </w:tc>
            </w:tr>
            <w:tr w14:paraId="44A7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1" w:type="dxa"/>
                  <w:vAlign w:val="center"/>
                </w:tcPr>
                <w:p w14:paraId="62E3067F">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pacing w:val="-6"/>
                      <w:sz w:val="21"/>
                      <w:szCs w:val="21"/>
                      <w:highlight w:val="none"/>
                      <w:lang w:val="en-US" w:eastAsia="zh-CN"/>
                    </w:rPr>
                  </w:pPr>
                  <w:r>
                    <w:rPr>
                      <w:rFonts w:hint="default" w:ascii="Times New Roman" w:hAnsi="Times New Roman" w:cs="Times New Roman"/>
                      <w:color w:val="auto"/>
                      <w:spacing w:val="-6"/>
                      <w:sz w:val="21"/>
                      <w:szCs w:val="21"/>
                      <w:highlight w:val="none"/>
                      <w:lang w:val="en-US" w:eastAsia="zh-CN"/>
                    </w:rPr>
                    <w:drawing>
                      <wp:inline distT="0" distB="0" distL="114300" distR="114300">
                        <wp:extent cx="2392680" cy="1794510"/>
                        <wp:effectExtent l="0" t="0" r="7620" b="15240"/>
                        <wp:docPr id="4464" name="图片 105" descr="地面防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 name="图片 105" descr="地面防渗"/>
                                <pic:cNvPicPr>
                                  <a:picLocks noChangeAspect="1"/>
                                </pic:cNvPicPr>
                              </pic:nvPicPr>
                              <pic:blipFill>
                                <a:blip r:embed="rId38"/>
                                <a:stretch>
                                  <a:fillRect/>
                                </a:stretch>
                              </pic:blipFill>
                              <pic:spPr>
                                <a:xfrm>
                                  <a:off x="0" y="0"/>
                                  <a:ext cx="2392680" cy="1794510"/>
                                </a:xfrm>
                                <a:prstGeom prst="rect">
                                  <a:avLst/>
                                </a:prstGeom>
                              </pic:spPr>
                            </pic:pic>
                          </a:graphicData>
                        </a:graphic>
                      </wp:inline>
                    </w:drawing>
                  </w:r>
                </w:p>
              </w:tc>
              <w:tc>
                <w:tcPr>
                  <w:tcW w:w="4024" w:type="dxa"/>
                  <w:vAlign w:val="center"/>
                </w:tcPr>
                <w:p w14:paraId="7C63FBD0">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pacing w:val="-6"/>
                      <w:sz w:val="21"/>
                      <w:szCs w:val="21"/>
                      <w:highlight w:val="none"/>
                      <w:lang w:val="en-US" w:eastAsia="zh-CN"/>
                    </w:rPr>
                  </w:pPr>
                  <w:r>
                    <w:rPr>
                      <w:rFonts w:hint="default" w:ascii="Times New Roman" w:hAnsi="Times New Roman" w:cs="Times New Roman"/>
                      <w:color w:val="auto"/>
                      <w:spacing w:val="-6"/>
                      <w:sz w:val="21"/>
                      <w:szCs w:val="21"/>
                      <w:highlight w:val="none"/>
                      <w:lang w:val="en-US" w:eastAsia="zh-CN"/>
                    </w:rPr>
                    <w:drawing>
                      <wp:inline distT="0" distB="0" distL="114300" distR="114300">
                        <wp:extent cx="2414270" cy="1768475"/>
                        <wp:effectExtent l="0" t="0" r="5080" b="3175"/>
                        <wp:docPr id="4465" name="图片 106" descr="危废标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 name="图片 106" descr="危废标签"/>
                                <pic:cNvPicPr>
                                  <a:picLocks noChangeAspect="1"/>
                                </pic:cNvPicPr>
                              </pic:nvPicPr>
                              <pic:blipFill>
                                <a:blip r:embed="rId39"/>
                                <a:stretch>
                                  <a:fillRect/>
                                </a:stretch>
                              </pic:blipFill>
                              <pic:spPr>
                                <a:xfrm>
                                  <a:off x="0" y="0"/>
                                  <a:ext cx="2414270" cy="1768475"/>
                                </a:xfrm>
                                <a:prstGeom prst="rect">
                                  <a:avLst/>
                                </a:prstGeom>
                              </pic:spPr>
                            </pic:pic>
                          </a:graphicData>
                        </a:graphic>
                      </wp:inline>
                    </w:drawing>
                  </w:r>
                </w:p>
              </w:tc>
            </w:tr>
            <w:tr w14:paraId="15F9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041" w:type="dxa"/>
                  <w:vAlign w:val="center"/>
                </w:tcPr>
                <w:p w14:paraId="621A8C48">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pacing w:val="-6"/>
                      <w:sz w:val="21"/>
                      <w:szCs w:val="21"/>
                      <w:highlight w:val="none"/>
                      <w:lang w:val="en-US" w:eastAsia="zh-CN"/>
                    </w:rPr>
                  </w:pPr>
                  <w:r>
                    <w:rPr>
                      <w:rFonts w:hint="eastAsia" w:ascii="Times New Roman" w:hAnsi="Times New Roman" w:cs="Times New Roman"/>
                      <w:color w:val="auto"/>
                      <w:spacing w:val="-6"/>
                      <w:sz w:val="21"/>
                      <w:szCs w:val="21"/>
                      <w:highlight w:val="none"/>
                      <w:lang w:val="en-US" w:eastAsia="zh-CN"/>
                    </w:rPr>
                    <w:t>地面防渗</w:t>
                  </w:r>
                </w:p>
              </w:tc>
              <w:tc>
                <w:tcPr>
                  <w:tcW w:w="4024" w:type="dxa"/>
                  <w:vAlign w:val="center"/>
                </w:tcPr>
                <w:p w14:paraId="79272980">
                  <w:pPr>
                    <w:pStyle w:val="27"/>
                    <w:keepNext w:val="0"/>
                    <w:keepLines w:val="0"/>
                    <w:pageBreakBefore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pacing w:val="-6"/>
                      <w:sz w:val="21"/>
                      <w:szCs w:val="21"/>
                      <w:highlight w:val="none"/>
                      <w:lang w:val="en-US" w:eastAsia="zh-CN"/>
                    </w:rPr>
                  </w:pPr>
                  <w:r>
                    <w:rPr>
                      <w:rFonts w:hint="eastAsia" w:ascii="Times New Roman" w:hAnsi="Times New Roman" w:cs="Times New Roman"/>
                      <w:color w:val="auto"/>
                      <w:spacing w:val="-6"/>
                      <w:sz w:val="21"/>
                      <w:szCs w:val="21"/>
                      <w:highlight w:val="none"/>
                      <w:lang w:val="en-US" w:eastAsia="zh-CN"/>
                    </w:rPr>
                    <w:t>危险废物标签</w:t>
                  </w:r>
                </w:p>
              </w:tc>
            </w:tr>
          </w:tbl>
          <w:p w14:paraId="4F82A669">
            <w:pPr>
              <w:pStyle w:val="27"/>
              <w:spacing w:line="360" w:lineRule="auto"/>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图4-4  厂区现有危废贮存库</w:t>
            </w:r>
          </w:p>
          <w:p w14:paraId="4D3ED1B8">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环境管理要求</w:t>
            </w:r>
          </w:p>
          <w:p w14:paraId="3DB3F6C8">
            <w:pPr>
              <w:adjustRightInd w:val="0"/>
              <w:snapToGrid w:val="0"/>
              <w:spacing w:line="360" w:lineRule="auto"/>
              <w:ind w:firstLine="480" w:firstLineChars="200"/>
              <w:rPr>
                <w:rFonts w:hint="eastAsia" w:ascii="Times New Roman" w:hAnsi="Times New Roman" w:eastAsia="宋体" w:cs="Times New Roman"/>
                <w:color w:val="auto"/>
                <w:kern w:val="0"/>
                <w:sz w:val="24"/>
                <w:szCs w:val="24"/>
                <w:highlight w:val="none"/>
                <w:shd w:val="clear" w:color="auto" w:fill="FFFFFF"/>
                <w:lang w:eastAsia="zh-CN"/>
              </w:rPr>
            </w:pPr>
            <w:r>
              <w:rPr>
                <w:rFonts w:hint="default" w:ascii="Times New Roman" w:hAnsi="Times New Roman" w:eastAsia="宋体" w:cs="Times New Roman"/>
                <w:color w:val="auto"/>
                <w:sz w:val="24"/>
                <w:highlight w:val="none"/>
              </w:rPr>
              <w:t>本项目危险废物收集后分类暂存于危废贮存间中并做好标识，并定期将危险废物交由具有危险废物处理资质的单位运走处置。厂内危险废物暂存场所应按照国家《危险废物贮存污染控制标准》（GB18597-2023）要求设置，并做好防风、防雨、防晒、防渗措施，要使用专用储存设施，并将危险废物装入专用容器中，无法装入常用容器的危险废物可用防漏胶袋盛装，盛装危险废物的容器和胶带必须贴符合《危险废物识别标志设置技术规范》（HJ 1276-2022）所示的标签等。危险废物转移要严格执行转移联单制度，规范建立危险废物的产生、转移、处置台账，记录危险废物的去向，并按照生态环境部有关要求做好每年度危险废物管理计划</w:t>
            </w:r>
            <w:r>
              <w:rPr>
                <w:rFonts w:hint="eastAsia"/>
                <w:lang w:eastAsia="zh-CN"/>
              </w:rPr>
              <w:t>。</w:t>
            </w:r>
          </w:p>
          <w:p w14:paraId="1AC351AD">
            <w:pPr>
              <w:adjustRightInd w:val="0"/>
              <w:snapToGrid w:val="0"/>
              <w:spacing w:line="360" w:lineRule="auto"/>
              <w:ind w:firstLine="480" w:firstLineChars="200"/>
              <w:rPr>
                <w:rFonts w:hint="default" w:ascii="Times New Roman" w:hAnsi="Times New Roman" w:cs="Times New Roman"/>
                <w:color w:val="auto"/>
                <w:kern w:val="0"/>
                <w:sz w:val="24"/>
                <w:szCs w:val="24"/>
                <w:highlight w:val="none"/>
                <w:shd w:val="clear" w:color="auto" w:fill="FFFFFF"/>
              </w:rPr>
            </w:pPr>
            <w:r>
              <w:rPr>
                <w:rFonts w:hint="default" w:ascii="Times New Roman" w:hAnsi="Times New Roman" w:cs="Times New Roman"/>
                <w:color w:val="auto"/>
                <w:kern w:val="0"/>
                <w:sz w:val="24"/>
                <w:szCs w:val="24"/>
                <w:highlight w:val="none"/>
                <w:shd w:val="clear" w:color="auto" w:fill="FFFFFF"/>
              </w:rPr>
              <w:t>综上所述，</w:t>
            </w:r>
            <w:r>
              <w:rPr>
                <w:rFonts w:hint="default" w:ascii="Times New Roman" w:hAnsi="Times New Roman" w:cs="Times New Roman"/>
                <w:color w:val="auto"/>
                <w:sz w:val="24"/>
                <w:szCs w:val="20"/>
                <w:highlight w:val="none"/>
              </w:rPr>
              <w:t>本项目产生的</w:t>
            </w:r>
            <w:r>
              <w:rPr>
                <w:rFonts w:hint="eastAsia" w:ascii="Times New Roman" w:hAnsi="Times New Roman" w:cs="Times New Roman"/>
                <w:color w:val="auto"/>
                <w:sz w:val="24"/>
                <w:szCs w:val="20"/>
                <w:highlight w:val="none"/>
                <w:lang w:val="en-US" w:eastAsia="zh-CN"/>
              </w:rPr>
              <w:t>固体废物</w:t>
            </w:r>
            <w:r>
              <w:rPr>
                <w:rFonts w:hint="default" w:ascii="Times New Roman" w:hAnsi="Times New Roman" w:cs="Times New Roman"/>
                <w:color w:val="auto"/>
                <w:sz w:val="24"/>
                <w:szCs w:val="20"/>
                <w:highlight w:val="none"/>
              </w:rPr>
              <w:t>去向明确，处置合理，</w:t>
            </w:r>
            <w:r>
              <w:rPr>
                <w:rFonts w:hint="default" w:ascii="Times New Roman" w:hAnsi="Times New Roman" w:cs="Times New Roman"/>
                <w:color w:val="auto"/>
                <w:sz w:val="24"/>
                <w:szCs w:val="20"/>
                <w:highlight w:val="none"/>
                <w:lang w:eastAsia="zh-CN"/>
              </w:rPr>
              <w:t>有效地</w:t>
            </w:r>
            <w:r>
              <w:rPr>
                <w:rFonts w:hint="default" w:ascii="Times New Roman" w:hAnsi="Times New Roman" w:cs="Times New Roman"/>
                <w:color w:val="auto"/>
                <w:sz w:val="24"/>
                <w:szCs w:val="20"/>
                <w:highlight w:val="none"/>
              </w:rPr>
              <w:t>防止了固体废物的逸散和对环境的二次污染</w:t>
            </w:r>
            <w:r>
              <w:rPr>
                <w:rFonts w:hint="eastAsia" w:ascii="Times New Roman" w:hAnsi="Times New Roman" w:cs="Times New Roman"/>
                <w:color w:val="auto"/>
                <w:sz w:val="24"/>
                <w:szCs w:val="20"/>
                <w:highlight w:val="none"/>
                <w:lang w:eastAsia="zh-CN"/>
              </w:rPr>
              <w:t>，</w:t>
            </w:r>
            <w:r>
              <w:rPr>
                <w:rFonts w:hint="default" w:ascii="Times New Roman" w:hAnsi="Times New Roman" w:cs="Times New Roman"/>
                <w:color w:val="auto"/>
                <w:sz w:val="24"/>
                <w:szCs w:val="20"/>
                <w:highlight w:val="none"/>
              </w:rPr>
              <w:t>对周围环境影响</w:t>
            </w:r>
            <w:r>
              <w:rPr>
                <w:rFonts w:hint="eastAsia" w:ascii="Times New Roman" w:hAnsi="Times New Roman" w:cs="Times New Roman"/>
                <w:color w:val="auto"/>
                <w:sz w:val="24"/>
                <w:szCs w:val="20"/>
                <w:highlight w:val="none"/>
                <w:lang w:val="en-US" w:eastAsia="zh-CN"/>
              </w:rPr>
              <w:t>较</w:t>
            </w:r>
            <w:r>
              <w:rPr>
                <w:rFonts w:hint="default" w:ascii="Times New Roman" w:hAnsi="Times New Roman" w:cs="Times New Roman"/>
                <w:color w:val="auto"/>
                <w:sz w:val="24"/>
                <w:szCs w:val="20"/>
                <w:highlight w:val="none"/>
              </w:rPr>
              <w:t>小。</w:t>
            </w:r>
          </w:p>
          <w:p w14:paraId="0D5C570B">
            <w:pPr>
              <w:pStyle w:val="27"/>
              <w:spacing w:line="360" w:lineRule="auto"/>
              <w:rPr>
                <w:rFonts w:hint="eastAsia" w:ascii="宋体" w:hAnsi="宋体" w:eastAsia="宋体" w:cs="宋体"/>
                <w:color w:val="auto"/>
                <w:sz w:val="24"/>
                <w:highlight w:val="none"/>
                <w:lang w:val="en-US"/>
              </w:rPr>
            </w:pPr>
            <w:r>
              <w:rPr>
                <w:rFonts w:hint="eastAsia" w:ascii="宋体" w:hAnsi="宋体" w:eastAsia="宋体" w:cs="宋体"/>
                <w:b/>
                <w:bCs/>
                <w:color w:val="auto"/>
                <w:sz w:val="24"/>
                <w:highlight w:val="none"/>
                <w:lang w:val="en-US"/>
              </w:rPr>
              <w:t>五、地下水、土壤</w:t>
            </w:r>
          </w:p>
          <w:p w14:paraId="7364ECF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污染源、污染物类型</w:t>
            </w:r>
          </w:p>
          <w:p w14:paraId="1BFAE02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项目地下水污染源主要为危险废物贮存间，污染物为</w:t>
            </w:r>
            <w:r>
              <w:rPr>
                <w:rFonts w:hint="eastAsia" w:eastAsia="宋体" w:cs="Times New Roman"/>
                <w:color w:val="auto"/>
                <w:sz w:val="24"/>
                <w:szCs w:val="24"/>
                <w:highlight w:val="none"/>
                <w:lang w:val="en-US" w:eastAsia="zh-CN"/>
              </w:rPr>
              <w:t>废机油</w:t>
            </w:r>
            <w:r>
              <w:rPr>
                <w:rFonts w:hint="default" w:ascii="Times New Roman" w:hAnsi="Times New Roman" w:eastAsia="宋体" w:cs="Times New Roman"/>
                <w:color w:val="auto"/>
                <w:sz w:val="24"/>
                <w:szCs w:val="24"/>
                <w:highlight w:val="none"/>
                <w:lang w:val="en-US" w:eastAsia="zh-CN"/>
              </w:rPr>
              <w:t>。</w:t>
            </w:r>
          </w:p>
          <w:p w14:paraId="5C5A972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污染途径</w:t>
            </w:r>
          </w:p>
          <w:p w14:paraId="4536A72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w:t>
            </w:r>
            <w:r>
              <w:rPr>
                <w:rFonts w:hint="eastAsia" w:eastAsia="宋体" w:cs="Times New Roman"/>
                <w:color w:val="auto"/>
                <w:sz w:val="24"/>
                <w:szCs w:val="24"/>
                <w:highlight w:val="none"/>
                <w:lang w:val="en-US" w:eastAsia="zh-CN"/>
              </w:rPr>
              <w:t>危险废物</w:t>
            </w:r>
            <w:r>
              <w:rPr>
                <w:rFonts w:hint="default" w:ascii="Times New Roman" w:hAnsi="Times New Roman" w:eastAsia="宋体" w:cs="Times New Roman"/>
                <w:color w:val="auto"/>
                <w:sz w:val="24"/>
                <w:szCs w:val="24"/>
                <w:highlight w:val="none"/>
                <w:lang w:val="en-US" w:eastAsia="zh-CN"/>
              </w:rPr>
              <w:t>下渗污染区域地下水</w:t>
            </w:r>
            <w:r>
              <w:rPr>
                <w:rFonts w:hint="eastAsia" w:eastAsia="宋体" w:cs="Times New Roman"/>
                <w:color w:val="auto"/>
                <w:sz w:val="24"/>
                <w:szCs w:val="24"/>
                <w:highlight w:val="none"/>
                <w:lang w:val="en-US" w:eastAsia="zh-CN"/>
              </w:rPr>
              <w:t>及土壤环境</w:t>
            </w:r>
            <w:r>
              <w:rPr>
                <w:rFonts w:hint="default" w:ascii="Times New Roman" w:hAnsi="Times New Roman" w:eastAsia="宋体" w:cs="Times New Roman"/>
                <w:color w:val="auto"/>
                <w:sz w:val="24"/>
                <w:szCs w:val="24"/>
                <w:highlight w:val="none"/>
                <w:lang w:val="en-US" w:eastAsia="zh-CN"/>
              </w:rPr>
              <w:t>。</w:t>
            </w:r>
          </w:p>
          <w:p w14:paraId="72B8227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防控措施</w:t>
            </w:r>
          </w:p>
          <w:p w14:paraId="3257E4AC">
            <w:pPr>
              <w:pStyle w:val="27"/>
              <w:keepNext w:val="0"/>
              <w:keepLines w:val="0"/>
              <w:pageBreakBefore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highlight w:val="none"/>
                <w:lang w:val="de-DE"/>
              </w:rPr>
            </w:pPr>
            <w:r>
              <w:rPr>
                <w:rFonts w:hint="default" w:ascii="Times New Roman" w:hAnsi="Times New Roman" w:eastAsia="宋体" w:cs="Times New Roman"/>
                <w:color w:val="auto"/>
                <w:sz w:val="24"/>
                <w:highlight w:val="none"/>
                <w:lang w:val="en-US"/>
              </w:rPr>
              <w:t>本项目</w:t>
            </w:r>
            <w:r>
              <w:rPr>
                <w:rFonts w:hint="eastAsia" w:ascii="Times New Roman" w:hAnsi="Times New Roman" w:cs="Times New Roman"/>
                <w:color w:val="auto"/>
                <w:sz w:val="24"/>
                <w:highlight w:val="none"/>
                <w:lang w:val="en-US" w:eastAsia="zh-CN"/>
              </w:rPr>
              <w:t>在金隅冀东凤翔环保科技有限公司厂区内</w:t>
            </w:r>
            <w:r>
              <w:rPr>
                <w:rFonts w:hint="default" w:ascii="Times New Roman" w:hAnsi="Times New Roman" w:eastAsia="宋体" w:cs="Times New Roman"/>
                <w:color w:val="auto"/>
                <w:sz w:val="24"/>
                <w:highlight w:val="none"/>
                <w:lang w:val="en-US"/>
              </w:rPr>
              <w:t>进行</w:t>
            </w:r>
            <w:r>
              <w:rPr>
                <w:rFonts w:hint="eastAsia" w:ascii="Times New Roman" w:hAnsi="Times New Roman" w:cs="Times New Roman"/>
                <w:color w:val="auto"/>
                <w:sz w:val="24"/>
                <w:highlight w:val="none"/>
                <w:lang w:val="en-US" w:eastAsia="zh-CN"/>
              </w:rPr>
              <w:t>建设</w:t>
            </w:r>
            <w:r>
              <w:rPr>
                <w:rFonts w:hint="default" w:ascii="Times New Roman" w:hAnsi="Times New Roman" w:eastAsia="宋体" w:cs="Times New Roman"/>
                <w:color w:val="auto"/>
                <w:sz w:val="24"/>
                <w:highlight w:val="none"/>
                <w:lang w:val="en-US"/>
              </w:rPr>
              <w:t>，厂房地面均已进行了</w:t>
            </w:r>
            <w:r>
              <w:rPr>
                <w:rFonts w:hint="eastAsia" w:ascii="Times New Roman" w:hAnsi="Times New Roman" w:cs="Times New Roman"/>
                <w:color w:val="auto"/>
                <w:sz w:val="24"/>
                <w:highlight w:val="none"/>
                <w:lang w:val="en-US" w:eastAsia="zh-CN"/>
              </w:rPr>
              <w:t>硬化</w:t>
            </w:r>
            <w:r>
              <w:rPr>
                <w:rFonts w:hint="default" w:ascii="Times New Roman" w:hAnsi="Times New Roman" w:eastAsia="宋体" w:cs="Times New Roman"/>
                <w:color w:val="auto"/>
                <w:sz w:val="24"/>
                <w:highlight w:val="none"/>
                <w:lang w:val="en-US"/>
              </w:rPr>
              <w:t>处理。</w:t>
            </w:r>
            <w:r>
              <w:rPr>
                <w:rFonts w:hint="eastAsia" w:ascii="Times New Roman" w:hAnsi="Times New Roman" w:cs="Times New Roman"/>
                <w:b w:val="0"/>
                <w:bCs w:val="0"/>
                <w:color w:val="auto"/>
                <w:sz w:val="24"/>
                <w:highlight w:val="none"/>
                <w:lang w:val="en-US" w:eastAsia="zh-CN"/>
              </w:rPr>
              <w:t>本项目产生的危险废物</w:t>
            </w:r>
            <w:r>
              <w:rPr>
                <w:rFonts w:hint="eastAsia" w:ascii="Times New Roman" w:hAnsi="Times New Roman" w:cs="Times New Roman"/>
                <w:color w:val="auto"/>
                <w:sz w:val="24"/>
                <w:highlight w:val="none"/>
                <w:lang w:val="en-US"/>
              </w:rPr>
              <w:t>经收集后送至厂区现有危废贮存库暂存，依托现有水泥窑协同处置100000t/a危险废物项目进行协同处置</w:t>
            </w:r>
            <w:r>
              <w:rPr>
                <w:rFonts w:hint="eastAsia" w:ascii="Times New Roman" w:hAnsi="Times New Roman" w:cs="Times New Roman"/>
                <w:color w:val="auto"/>
                <w:sz w:val="24"/>
                <w:highlight w:val="none"/>
                <w:lang w:val="en-US" w:eastAsia="zh-CN"/>
              </w:rPr>
              <w:t>。危废贮存库已严格</w:t>
            </w:r>
            <w:r>
              <w:rPr>
                <w:rFonts w:hint="default" w:ascii="Times New Roman" w:hAnsi="Times New Roman" w:eastAsia="宋体" w:cs="Times New Roman"/>
                <w:color w:val="auto"/>
                <w:sz w:val="24"/>
                <w:highlight w:val="none"/>
                <w:lang w:val="en-US"/>
              </w:rPr>
              <w:t>按照《危险废物贮存污染控制标准》（</w:t>
            </w:r>
            <w:r>
              <w:rPr>
                <w:rFonts w:hint="default" w:ascii="Times New Roman" w:hAnsi="Times New Roman" w:cs="Times New Roman"/>
                <w:color w:val="auto"/>
                <w:sz w:val="24"/>
                <w:szCs w:val="24"/>
                <w:highlight w:val="none"/>
                <w:lang w:val="en-US" w:eastAsia="zh-CN"/>
              </w:rPr>
              <w:t>GB18597-2023</w:t>
            </w:r>
            <w:r>
              <w:rPr>
                <w:rFonts w:hint="default" w:ascii="Times New Roman" w:hAnsi="Times New Roman" w:eastAsia="宋体" w:cs="Times New Roman"/>
                <w:color w:val="auto"/>
                <w:sz w:val="24"/>
                <w:highlight w:val="none"/>
                <w:lang w:val="en-US"/>
              </w:rPr>
              <w:t>）</w:t>
            </w:r>
            <w:r>
              <w:rPr>
                <w:rFonts w:hint="eastAsia" w:ascii="Times New Roman" w:hAnsi="Times New Roman" w:cs="Times New Roman"/>
                <w:color w:val="auto"/>
                <w:sz w:val="24"/>
                <w:highlight w:val="none"/>
                <w:lang w:val="en-US" w:eastAsia="zh-CN"/>
              </w:rPr>
              <w:t>中相关</w:t>
            </w:r>
            <w:r>
              <w:rPr>
                <w:rFonts w:hint="default" w:ascii="Times New Roman" w:hAnsi="Times New Roman" w:eastAsia="宋体" w:cs="Times New Roman"/>
                <w:color w:val="auto"/>
                <w:sz w:val="24"/>
                <w:highlight w:val="none"/>
                <w:lang w:val="en-US"/>
              </w:rPr>
              <w:t>要求</w:t>
            </w:r>
            <w:r>
              <w:rPr>
                <w:rFonts w:hint="eastAsia" w:ascii="Times New Roman" w:hAnsi="Times New Roman" w:cs="Times New Roman"/>
                <w:color w:val="auto"/>
                <w:sz w:val="24"/>
                <w:highlight w:val="none"/>
                <w:lang w:val="en-US" w:eastAsia="zh-CN"/>
              </w:rPr>
              <w:t>进行</w:t>
            </w:r>
            <w:r>
              <w:rPr>
                <w:rFonts w:hint="default" w:ascii="Times New Roman" w:hAnsi="Times New Roman" w:eastAsia="宋体" w:cs="Times New Roman"/>
                <w:color w:val="auto"/>
                <w:sz w:val="24"/>
                <w:highlight w:val="none"/>
                <w:lang w:val="en-US"/>
              </w:rPr>
              <w:t>建设，已进行重点防渗</w:t>
            </w:r>
            <w:r>
              <w:rPr>
                <w:rFonts w:hint="eastAsia" w:ascii="Times New Roman" w:hAnsi="Times New Roman" w:cs="Times New Roman"/>
                <w:color w:val="auto"/>
                <w:sz w:val="24"/>
                <w:highlight w:val="none"/>
                <w:lang w:val="en-US" w:eastAsia="zh-CN"/>
              </w:rPr>
              <w:t>，并满足“防风、防晒、防雨、防漏、防渗、防腐”等六防措施</w:t>
            </w:r>
            <w:r>
              <w:rPr>
                <w:rFonts w:hint="default" w:ascii="Times New Roman" w:hAnsi="Times New Roman" w:eastAsia="宋体" w:cs="Times New Roman"/>
                <w:color w:val="auto"/>
                <w:sz w:val="24"/>
                <w:highlight w:val="none"/>
                <w:lang w:val="en-US"/>
              </w:rPr>
              <w:t>。故</w:t>
            </w:r>
            <w:r>
              <w:rPr>
                <w:rFonts w:hint="eastAsia" w:ascii="Times New Roman" w:hAnsi="Times New Roman" w:cs="Times New Roman"/>
                <w:color w:val="auto"/>
                <w:sz w:val="24"/>
                <w:highlight w:val="none"/>
                <w:lang w:val="en-US" w:eastAsia="zh-CN"/>
              </w:rPr>
              <w:t>项目</w:t>
            </w:r>
            <w:r>
              <w:rPr>
                <w:rFonts w:hint="default" w:ascii="Times New Roman" w:hAnsi="Times New Roman" w:eastAsia="宋体" w:cs="Times New Roman"/>
                <w:color w:val="auto"/>
                <w:sz w:val="24"/>
                <w:highlight w:val="none"/>
                <w:lang w:val="en-US"/>
              </w:rPr>
              <w:t>运营期生产过程不存在土壤和地下水环境</w:t>
            </w:r>
            <w:r>
              <w:rPr>
                <w:rFonts w:hint="eastAsia" w:ascii="Times New Roman" w:hAnsi="Times New Roman" w:cs="Times New Roman"/>
                <w:color w:val="auto"/>
                <w:sz w:val="24"/>
                <w:highlight w:val="none"/>
                <w:lang w:val="en-US" w:eastAsia="zh-CN"/>
              </w:rPr>
              <w:t>污染</w:t>
            </w:r>
            <w:r>
              <w:rPr>
                <w:rFonts w:hint="default" w:ascii="Times New Roman" w:hAnsi="Times New Roman" w:eastAsia="宋体" w:cs="Times New Roman"/>
                <w:color w:val="auto"/>
                <w:sz w:val="24"/>
                <w:highlight w:val="none"/>
                <w:lang w:val="en-US"/>
              </w:rPr>
              <w:t>途径</w:t>
            </w:r>
            <w:r>
              <w:rPr>
                <w:rFonts w:hint="default" w:ascii="Times New Roman" w:hAnsi="Times New Roman" w:eastAsia="宋体" w:cs="Times New Roman"/>
                <w:color w:val="auto"/>
                <w:sz w:val="24"/>
                <w:highlight w:val="none"/>
                <w:lang w:val="de-DE"/>
              </w:rPr>
              <w:t>。</w:t>
            </w:r>
          </w:p>
          <w:p w14:paraId="3AAAA31C">
            <w:pPr>
              <w:pStyle w:val="27"/>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rPr>
            </w:pPr>
            <w:r>
              <w:rPr>
                <w:rFonts w:hint="eastAsia" w:ascii="Times New Roman" w:hAnsi="Times New Roman" w:cs="Times New Roman"/>
                <w:color w:val="auto"/>
                <w:sz w:val="24"/>
                <w:highlight w:val="none"/>
                <w:lang w:val="en-US" w:eastAsia="zh-CN"/>
              </w:rPr>
              <w:t>本项目除尘器收集粉尘经收集后全部回用于生产工序中作为生产原料使用。</w:t>
            </w:r>
            <w:r>
              <w:rPr>
                <w:rFonts w:hint="default" w:ascii="Times New Roman" w:hAnsi="Times New Roman" w:eastAsia="宋体" w:cs="Times New Roman"/>
                <w:color w:val="auto"/>
                <w:sz w:val="24"/>
                <w:highlight w:val="none"/>
                <w:lang w:val="en-US"/>
              </w:rPr>
              <w:t>一般工业</w:t>
            </w:r>
            <w:r>
              <w:rPr>
                <w:rFonts w:hint="eastAsia" w:ascii="Times New Roman" w:hAnsi="Times New Roman" w:cs="Times New Roman"/>
                <w:color w:val="auto"/>
                <w:sz w:val="24"/>
                <w:highlight w:val="none"/>
                <w:lang w:val="en-US" w:eastAsia="zh-CN"/>
              </w:rPr>
              <w:t>固体废物</w:t>
            </w:r>
            <w:r>
              <w:rPr>
                <w:rFonts w:hint="default" w:ascii="Times New Roman" w:hAnsi="Times New Roman" w:eastAsia="宋体" w:cs="Times New Roman"/>
                <w:color w:val="auto"/>
                <w:sz w:val="24"/>
                <w:highlight w:val="none"/>
                <w:lang w:val="en-US"/>
              </w:rPr>
              <w:t>暂存满足《一般工业固体废物贮存和填埋污染控制标准》（GB18599-2020）</w:t>
            </w:r>
            <w:r>
              <w:rPr>
                <w:rFonts w:hint="eastAsia" w:ascii="Times New Roman" w:hAnsi="Times New Roman" w:cs="Times New Roman"/>
                <w:color w:val="auto"/>
                <w:sz w:val="24"/>
                <w:highlight w:val="none"/>
                <w:lang w:val="en-US" w:eastAsia="zh-CN"/>
              </w:rPr>
              <w:t>相关</w:t>
            </w:r>
            <w:r>
              <w:rPr>
                <w:rFonts w:hint="default" w:ascii="Times New Roman" w:hAnsi="Times New Roman" w:eastAsia="宋体" w:cs="Times New Roman"/>
                <w:color w:val="auto"/>
                <w:sz w:val="24"/>
                <w:highlight w:val="none"/>
                <w:lang w:val="en-US"/>
              </w:rPr>
              <w:t>要求，正常工况下，污染物造成地下水及土壤污染的可能性极小。</w:t>
            </w:r>
          </w:p>
          <w:p w14:paraId="5A6375B7">
            <w:pPr>
              <w:pStyle w:val="27"/>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highlight w:val="none"/>
                <w:lang w:val="de-DE"/>
              </w:rPr>
            </w:pPr>
            <w:r>
              <w:rPr>
                <w:rFonts w:hint="eastAsia" w:ascii="Times New Roman" w:hAnsi="Times New Roman" w:cs="Times New Roman"/>
                <w:color w:val="auto"/>
                <w:sz w:val="24"/>
                <w:highlight w:val="none"/>
                <w:lang w:val="en-US" w:eastAsia="zh-CN"/>
              </w:rPr>
              <w:t>本项目厂区</w:t>
            </w:r>
            <w:r>
              <w:rPr>
                <w:rFonts w:hint="default" w:ascii="Times New Roman" w:hAnsi="Times New Roman" w:eastAsia="宋体" w:cs="Times New Roman"/>
                <w:color w:val="auto"/>
                <w:sz w:val="24"/>
                <w:highlight w:val="none"/>
                <w:lang w:val="en-US"/>
              </w:rPr>
              <w:t>污水处理站严格按照《给水排水构筑物工程施工及验收规范（GB50141）》《给水排水管道工程施工及验收规范（GB50268）》等规范要求</w:t>
            </w:r>
            <w:r>
              <w:rPr>
                <w:rFonts w:hint="eastAsia" w:ascii="Times New Roman" w:hAnsi="Times New Roman" w:cs="Times New Roman"/>
                <w:color w:val="auto"/>
                <w:sz w:val="24"/>
                <w:highlight w:val="none"/>
                <w:lang w:val="en-US" w:eastAsia="zh-CN"/>
              </w:rPr>
              <w:t>进行建设</w:t>
            </w:r>
            <w:r>
              <w:rPr>
                <w:rFonts w:hint="default" w:ascii="Times New Roman" w:hAnsi="Times New Roman" w:eastAsia="宋体" w:cs="Times New Roman"/>
                <w:color w:val="auto"/>
                <w:sz w:val="24"/>
                <w:highlight w:val="none"/>
                <w:lang w:val="en-US"/>
              </w:rPr>
              <w:t>。</w:t>
            </w:r>
            <w:r>
              <w:rPr>
                <w:rFonts w:hint="eastAsia" w:ascii="Times New Roman" w:hAnsi="Times New Roman" w:cs="Times New Roman"/>
                <w:color w:val="auto"/>
                <w:sz w:val="24"/>
                <w:highlight w:val="none"/>
                <w:lang w:val="en-US" w:eastAsia="zh-CN"/>
              </w:rPr>
              <w:t>建设单位</w:t>
            </w:r>
            <w:r>
              <w:rPr>
                <w:rFonts w:hint="default" w:ascii="Times New Roman" w:hAnsi="Times New Roman" w:eastAsia="宋体" w:cs="Times New Roman"/>
                <w:color w:val="auto"/>
                <w:sz w:val="24"/>
                <w:highlight w:val="none"/>
                <w:lang w:val="en-US"/>
              </w:rPr>
              <w:t>定期对污水处理</w:t>
            </w:r>
            <w:r>
              <w:rPr>
                <w:rFonts w:hint="eastAsia" w:ascii="Times New Roman" w:hAnsi="Times New Roman" w:cs="Times New Roman"/>
                <w:color w:val="auto"/>
                <w:sz w:val="24"/>
                <w:highlight w:val="none"/>
                <w:lang w:val="en-US" w:eastAsia="zh-CN"/>
              </w:rPr>
              <w:t>站</w:t>
            </w:r>
            <w:r>
              <w:rPr>
                <w:rFonts w:hint="default" w:ascii="Times New Roman" w:hAnsi="Times New Roman" w:eastAsia="宋体" w:cs="Times New Roman"/>
                <w:color w:val="auto"/>
                <w:sz w:val="24"/>
                <w:highlight w:val="none"/>
                <w:lang w:val="en-US"/>
              </w:rPr>
              <w:t>进行检漏，</w:t>
            </w:r>
            <w:r>
              <w:rPr>
                <w:rFonts w:hint="eastAsia" w:ascii="Times New Roman" w:hAnsi="Times New Roman" w:cs="Times New Roman"/>
                <w:color w:val="auto"/>
                <w:sz w:val="24"/>
                <w:highlight w:val="none"/>
                <w:lang w:val="en-US" w:eastAsia="zh-CN"/>
              </w:rPr>
              <w:t>杜绝“跑、冒、滴、漏”现象的发生</w:t>
            </w:r>
            <w:r>
              <w:rPr>
                <w:rFonts w:hint="default" w:ascii="Times New Roman" w:hAnsi="Times New Roman" w:eastAsia="宋体" w:cs="Times New Roman"/>
                <w:color w:val="auto"/>
                <w:sz w:val="24"/>
                <w:highlight w:val="none"/>
                <w:lang w:val="en-US"/>
              </w:rPr>
              <w:t>。在防渗措施完备，防渗检漏及时</w:t>
            </w:r>
            <w:r>
              <w:rPr>
                <w:rFonts w:hint="eastAsia" w:ascii="Times New Roman" w:hAnsi="Times New Roman" w:cs="Times New Roman"/>
                <w:color w:val="auto"/>
                <w:sz w:val="24"/>
                <w:highlight w:val="none"/>
                <w:lang w:val="en-US" w:eastAsia="zh-CN"/>
              </w:rPr>
              <w:t>的</w:t>
            </w:r>
            <w:r>
              <w:rPr>
                <w:rFonts w:hint="default" w:ascii="Times New Roman" w:hAnsi="Times New Roman" w:eastAsia="宋体" w:cs="Times New Roman"/>
                <w:color w:val="auto"/>
                <w:sz w:val="24"/>
                <w:highlight w:val="none"/>
                <w:lang w:val="en-US"/>
              </w:rPr>
              <w:t>情况下，污水渗漏对地下水及土壤环境影响较小。</w:t>
            </w:r>
          </w:p>
          <w:p w14:paraId="4D63A6F4">
            <w:pPr>
              <w:pStyle w:val="27"/>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highlight w:val="none"/>
                <w:lang w:val="de-DE"/>
              </w:rPr>
            </w:pPr>
            <w:r>
              <w:rPr>
                <w:rFonts w:hint="eastAsia" w:ascii="Times New Roman" w:hAnsi="Times New Roman" w:cs="Times New Roman"/>
                <w:color w:val="auto"/>
                <w:sz w:val="24"/>
                <w:highlight w:val="none"/>
                <w:lang w:val="en-US" w:eastAsia="zh-CN"/>
              </w:rPr>
              <w:t>本</w:t>
            </w:r>
            <w:r>
              <w:rPr>
                <w:rFonts w:hint="default" w:ascii="Times New Roman" w:hAnsi="Times New Roman" w:eastAsia="宋体" w:cs="Times New Roman"/>
                <w:color w:val="auto"/>
                <w:sz w:val="24"/>
                <w:highlight w:val="none"/>
                <w:lang w:val="de-DE"/>
              </w:rPr>
              <w:t>项目</w:t>
            </w:r>
            <w:r>
              <w:rPr>
                <w:rFonts w:hint="eastAsia" w:ascii="Times New Roman" w:hAnsi="Times New Roman" w:cs="Times New Roman"/>
                <w:color w:val="auto"/>
                <w:sz w:val="24"/>
                <w:highlight w:val="none"/>
                <w:lang w:val="en-US" w:eastAsia="zh-CN"/>
              </w:rPr>
              <w:t>运营期产生的颗粒物经收集后，通过脉冲式布袋除尘器进行处理，</w:t>
            </w:r>
            <w:r>
              <w:rPr>
                <w:rFonts w:hint="default" w:ascii="Times New Roman" w:hAnsi="Times New Roman" w:eastAsia="宋体" w:cs="Times New Roman"/>
                <w:color w:val="auto"/>
                <w:sz w:val="24"/>
                <w:highlight w:val="none"/>
                <w:lang w:val="de-DE"/>
              </w:rPr>
              <w:t>处理后</w:t>
            </w:r>
            <w:r>
              <w:rPr>
                <w:rFonts w:hint="eastAsia" w:ascii="Times New Roman" w:hAnsi="Times New Roman" w:cs="Times New Roman"/>
                <w:color w:val="auto"/>
                <w:sz w:val="24"/>
                <w:highlight w:val="none"/>
                <w:lang w:val="en-US" w:eastAsia="zh-CN"/>
              </w:rPr>
              <w:t>可实现</w:t>
            </w:r>
            <w:r>
              <w:rPr>
                <w:rFonts w:hint="default" w:ascii="Times New Roman" w:hAnsi="Times New Roman" w:eastAsia="宋体" w:cs="Times New Roman"/>
                <w:color w:val="auto"/>
                <w:sz w:val="24"/>
                <w:highlight w:val="none"/>
                <w:lang w:val="de-DE"/>
              </w:rPr>
              <w:t>达标排放，正常情况下，污染物沉降对周边土壤环境影响不大。</w:t>
            </w:r>
          </w:p>
          <w:p w14:paraId="23EBDB45">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综上所述，</w:t>
            </w:r>
            <w:r>
              <w:rPr>
                <w:rFonts w:hint="eastAsia" w:ascii="Times New Roman" w:hAnsi="Times New Roman" w:cs="Times New Roman"/>
                <w:color w:val="auto"/>
                <w:kern w:val="0"/>
                <w:sz w:val="24"/>
                <w:szCs w:val="24"/>
                <w:highlight w:val="none"/>
                <w:lang w:val="en-US" w:eastAsia="zh-CN"/>
              </w:rPr>
              <w:t>本项目生产</w:t>
            </w:r>
            <w:r>
              <w:rPr>
                <w:rFonts w:hint="eastAsia" w:cs="Times New Roman"/>
                <w:color w:val="auto"/>
                <w:kern w:val="0"/>
                <w:sz w:val="24"/>
                <w:szCs w:val="24"/>
                <w:highlight w:val="none"/>
                <w:lang w:val="en-US" w:eastAsia="zh-CN"/>
              </w:rPr>
              <w:t>区</w:t>
            </w:r>
            <w:r>
              <w:rPr>
                <w:rFonts w:hint="eastAsia" w:ascii="Times New Roman" w:hAnsi="Times New Roman" w:cs="Times New Roman"/>
                <w:color w:val="auto"/>
                <w:kern w:val="0"/>
                <w:sz w:val="24"/>
                <w:szCs w:val="24"/>
                <w:highlight w:val="none"/>
                <w:lang w:val="en-US" w:eastAsia="zh-CN"/>
              </w:rPr>
              <w:t>地面均已硬化，</w:t>
            </w:r>
            <w:r>
              <w:rPr>
                <w:rFonts w:hint="default" w:ascii="Times New Roman" w:hAnsi="Times New Roman" w:eastAsia="宋体" w:cs="Times New Roman"/>
                <w:color w:val="auto"/>
                <w:kern w:val="0"/>
                <w:sz w:val="24"/>
                <w:szCs w:val="24"/>
                <w:highlight w:val="none"/>
                <w:lang w:val="en-US" w:eastAsia="zh-CN"/>
              </w:rPr>
              <w:t>项目在严格做好地面分区防渗措施、</w:t>
            </w:r>
            <w:r>
              <w:rPr>
                <w:rFonts w:hint="eastAsia" w:ascii="Times New Roman" w:hAnsi="Times New Roman" w:cs="Times New Roman"/>
                <w:color w:val="auto"/>
                <w:kern w:val="0"/>
                <w:sz w:val="24"/>
                <w:szCs w:val="24"/>
                <w:highlight w:val="none"/>
                <w:lang w:val="en-US" w:eastAsia="zh-CN"/>
              </w:rPr>
              <w:t>加强对</w:t>
            </w:r>
            <w:r>
              <w:rPr>
                <w:rFonts w:hint="eastAsia" w:cs="Times New Roman"/>
                <w:color w:val="auto"/>
                <w:kern w:val="0"/>
                <w:sz w:val="24"/>
                <w:szCs w:val="24"/>
                <w:highlight w:val="none"/>
                <w:lang w:val="en-US" w:eastAsia="zh-CN"/>
              </w:rPr>
              <w:t>危废贮存库</w:t>
            </w:r>
            <w:r>
              <w:rPr>
                <w:rFonts w:hint="default" w:ascii="Times New Roman" w:hAnsi="Times New Roman" w:eastAsia="宋体" w:cs="Times New Roman"/>
                <w:color w:val="auto"/>
                <w:kern w:val="0"/>
                <w:sz w:val="24"/>
                <w:szCs w:val="24"/>
                <w:highlight w:val="none"/>
                <w:lang w:val="en-US" w:eastAsia="zh-CN"/>
              </w:rPr>
              <w:t>管理措施条件下，可有效防止污染物进入土壤及地下水环境</w:t>
            </w:r>
            <w:r>
              <w:rPr>
                <w:rFonts w:hint="eastAsia"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在项目加强危险</w:t>
            </w:r>
            <w:r>
              <w:rPr>
                <w:rFonts w:hint="eastAsia" w:cs="Times New Roman"/>
                <w:color w:val="auto"/>
                <w:kern w:val="0"/>
                <w:sz w:val="24"/>
                <w:szCs w:val="24"/>
                <w:highlight w:val="none"/>
                <w:lang w:val="en-US" w:eastAsia="zh-CN"/>
              </w:rPr>
              <w:t>物资管理</w:t>
            </w:r>
            <w:r>
              <w:rPr>
                <w:rFonts w:hint="default" w:ascii="Times New Roman" w:hAnsi="Times New Roman" w:eastAsia="宋体" w:cs="Times New Roman"/>
                <w:color w:val="auto"/>
                <w:kern w:val="0"/>
                <w:sz w:val="24"/>
                <w:szCs w:val="24"/>
                <w:highlight w:val="none"/>
                <w:lang w:val="en-US" w:eastAsia="zh-CN"/>
              </w:rPr>
              <w:t>措施，定期巡检</w:t>
            </w:r>
            <w:r>
              <w:rPr>
                <w:rFonts w:hint="eastAsia" w:ascii="Times New Roman" w:hAnsi="Times New Roman" w:cs="Times New Roman"/>
                <w:color w:val="auto"/>
                <w:kern w:val="0"/>
                <w:sz w:val="24"/>
                <w:szCs w:val="24"/>
                <w:highlight w:val="none"/>
                <w:lang w:val="en-US" w:eastAsia="zh-CN"/>
              </w:rPr>
              <w:t>、采取源头控制、过程防控</w:t>
            </w:r>
            <w:r>
              <w:rPr>
                <w:rFonts w:hint="default" w:ascii="Times New Roman" w:hAnsi="Times New Roman" w:eastAsia="宋体" w:cs="Times New Roman"/>
                <w:color w:val="auto"/>
                <w:kern w:val="0"/>
                <w:sz w:val="24"/>
                <w:szCs w:val="24"/>
                <w:highlight w:val="none"/>
                <w:lang w:val="en-US" w:eastAsia="zh-CN"/>
              </w:rPr>
              <w:t>等有效管理措施下，本项目建设对土壤及地下水环境的影响很小。</w:t>
            </w:r>
          </w:p>
          <w:p w14:paraId="48815B9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项目分区防渗措施见下表：</w:t>
            </w:r>
          </w:p>
          <w:p w14:paraId="051895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eastAsia="宋体" w:cs="Times New Roman"/>
                <w:b/>
                <w:bCs/>
                <w:color w:val="auto"/>
                <w:sz w:val="21"/>
                <w:szCs w:val="21"/>
                <w:highlight w:val="none"/>
                <w:lang w:val="en-US" w:eastAsia="zh-CN"/>
              </w:rPr>
              <w:t>18</w:t>
            </w:r>
            <w:r>
              <w:rPr>
                <w:rFonts w:hint="default" w:ascii="Times New Roman" w:hAnsi="Times New Roman" w:eastAsia="宋体" w:cs="Times New Roman"/>
                <w:b/>
                <w:bCs/>
                <w:color w:val="auto"/>
                <w:sz w:val="21"/>
                <w:szCs w:val="21"/>
                <w:highlight w:val="none"/>
              </w:rPr>
              <w:t xml:space="preserve"> 项目分区防渗一览表</w:t>
            </w:r>
          </w:p>
          <w:tbl>
            <w:tblPr>
              <w:tblStyle w:val="19"/>
              <w:tblW w:w="4997" w:type="pct"/>
              <w:tblInd w:w="-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1366"/>
              <w:gridCol w:w="1347"/>
              <w:gridCol w:w="4433"/>
            </w:tblGrid>
            <w:tr w14:paraId="51ADD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844" w:type="pct"/>
                  <w:tcBorders>
                    <w:tl2br w:val="nil"/>
                    <w:tr2bl w:val="nil"/>
                  </w:tcBorders>
                  <w:noWrap w:val="0"/>
                  <w:vAlign w:val="center"/>
                </w:tcPr>
                <w:p w14:paraId="3D1B306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防渗区域</w:t>
                  </w:r>
                </w:p>
              </w:tc>
              <w:tc>
                <w:tcPr>
                  <w:tcW w:w="794" w:type="pct"/>
                  <w:tcBorders>
                    <w:tl2br w:val="nil"/>
                    <w:tr2bl w:val="nil"/>
                  </w:tcBorders>
                  <w:noWrap w:val="0"/>
                  <w:vAlign w:val="center"/>
                </w:tcPr>
                <w:p w14:paraId="11B0732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防渗类别</w:t>
                  </w:r>
                </w:p>
              </w:tc>
              <w:tc>
                <w:tcPr>
                  <w:tcW w:w="783" w:type="pct"/>
                  <w:tcBorders>
                    <w:tl2br w:val="nil"/>
                    <w:tr2bl w:val="nil"/>
                  </w:tcBorders>
                  <w:noWrap w:val="0"/>
                  <w:vAlign w:val="center"/>
                </w:tcPr>
                <w:p w14:paraId="7E13B6E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防渗系数</w:t>
                  </w:r>
                </w:p>
              </w:tc>
              <w:tc>
                <w:tcPr>
                  <w:tcW w:w="2577" w:type="pct"/>
                  <w:tcBorders>
                    <w:tl2br w:val="nil"/>
                    <w:tr2bl w:val="nil"/>
                  </w:tcBorders>
                  <w:noWrap w:val="0"/>
                  <w:vAlign w:val="center"/>
                </w:tcPr>
                <w:p w14:paraId="51460E8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防渗措施</w:t>
                  </w:r>
                </w:p>
              </w:tc>
            </w:tr>
            <w:tr w14:paraId="59309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844" w:type="pct"/>
                  <w:tcBorders>
                    <w:tl2br w:val="nil"/>
                    <w:tr2bl w:val="nil"/>
                  </w:tcBorders>
                  <w:noWrap w:val="0"/>
                  <w:vAlign w:val="center"/>
                </w:tcPr>
                <w:p w14:paraId="2005E97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val="en-US" w:eastAsia="zh-CN"/>
                    </w:rPr>
                    <w:t>危险废物贮存间、化粪池</w:t>
                  </w:r>
                </w:p>
              </w:tc>
              <w:tc>
                <w:tcPr>
                  <w:tcW w:w="794" w:type="pct"/>
                  <w:tcBorders>
                    <w:tl2br w:val="nil"/>
                    <w:tr2bl w:val="nil"/>
                  </w:tcBorders>
                  <w:noWrap w:val="0"/>
                  <w:vAlign w:val="center"/>
                </w:tcPr>
                <w:p w14:paraId="1418255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重点防渗区</w:t>
                  </w:r>
                </w:p>
              </w:tc>
              <w:tc>
                <w:tcPr>
                  <w:tcW w:w="783" w:type="pct"/>
                  <w:tcBorders>
                    <w:tl2br w:val="nil"/>
                    <w:tr2bl w:val="nil"/>
                  </w:tcBorders>
                  <w:noWrap w:val="0"/>
                  <w:vAlign w:val="center"/>
                </w:tcPr>
                <w:p w14:paraId="1814B66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Cs w:val="21"/>
                      <w:highlight w:val="none"/>
                    </w:rPr>
                    <w:t>K≤10</w:t>
                  </w:r>
                  <w:r>
                    <w:rPr>
                      <w:rFonts w:hint="default" w:ascii="Times New Roman" w:hAnsi="Times New Roman" w:eastAsia="宋体" w:cs="Times New Roman"/>
                      <w:color w:val="auto"/>
                      <w:szCs w:val="21"/>
                      <w:highlight w:val="none"/>
                      <w:vertAlign w:val="superscript"/>
                    </w:rPr>
                    <w:t>-10</w:t>
                  </w:r>
                  <w:r>
                    <w:rPr>
                      <w:rFonts w:hint="default" w:ascii="Times New Roman" w:hAnsi="Times New Roman" w:eastAsia="宋体" w:cs="Times New Roman"/>
                      <w:color w:val="auto"/>
                      <w:szCs w:val="21"/>
                      <w:highlight w:val="none"/>
                    </w:rPr>
                    <w:t>cm/s</w:t>
                  </w:r>
                </w:p>
              </w:tc>
              <w:tc>
                <w:tcPr>
                  <w:tcW w:w="2577" w:type="pct"/>
                  <w:tcBorders>
                    <w:tl2br w:val="nil"/>
                    <w:tr2bl w:val="nil"/>
                  </w:tcBorders>
                  <w:noWrap w:val="0"/>
                  <w:vAlign w:val="center"/>
                </w:tcPr>
                <w:p w14:paraId="24E1BEC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b/>
                      <w:bCs/>
                      <w:color w:val="auto"/>
                      <w:szCs w:val="21"/>
                      <w:highlight w:val="none"/>
                      <w:lang w:eastAsia="zh-CN"/>
                    </w:rPr>
                  </w:pPr>
                  <w:r>
                    <w:rPr>
                      <w:rFonts w:hint="default" w:ascii="Times New Roman" w:hAnsi="Times New Roman" w:eastAsia="宋体" w:cs="Times New Roman"/>
                      <w:bCs/>
                      <w:color w:val="auto"/>
                      <w:szCs w:val="21"/>
                      <w:highlight w:val="none"/>
                    </w:rPr>
                    <w:t>防渗混凝土+2mm厚HDPE防渗层+</w:t>
                  </w:r>
                  <w:r>
                    <w:rPr>
                      <w:rFonts w:hint="default" w:ascii="Times New Roman" w:hAnsi="Times New Roman" w:eastAsia="宋体" w:cs="Times New Roman"/>
                      <w:color w:val="auto"/>
                      <w:szCs w:val="21"/>
                      <w:highlight w:val="none"/>
                    </w:rPr>
                    <w:t>环氧树脂漆</w:t>
                  </w:r>
                  <w:r>
                    <w:rPr>
                      <w:rFonts w:hint="default" w:ascii="Times New Roman" w:hAnsi="Times New Roman" w:eastAsia="宋体" w:cs="Times New Roman"/>
                      <w:bCs/>
                      <w:color w:val="auto"/>
                      <w:szCs w:val="21"/>
                      <w:highlight w:val="none"/>
                    </w:rPr>
                    <w:t>进行防渗、防腐处理，确保防渗性能与6.0m厚黏土防渗层等效，防渗系数为K≤1×10</w:t>
                  </w:r>
                  <w:r>
                    <w:rPr>
                      <w:rFonts w:hint="default" w:ascii="Times New Roman" w:hAnsi="Times New Roman" w:eastAsia="宋体" w:cs="Times New Roman"/>
                      <w:bCs/>
                      <w:color w:val="auto"/>
                      <w:szCs w:val="21"/>
                      <w:highlight w:val="none"/>
                      <w:vertAlign w:val="superscript"/>
                    </w:rPr>
                    <w:t>-10</w:t>
                  </w:r>
                  <w:r>
                    <w:rPr>
                      <w:rFonts w:hint="default" w:ascii="Times New Roman" w:hAnsi="Times New Roman" w:eastAsia="宋体" w:cs="Times New Roman"/>
                      <w:bCs/>
                      <w:color w:val="auto"/>
                      <w:szCs w:val="21"/>
                      <w:highlight w:val="none"/>
                    </w:rPr>
                    <w:t>cm/s；增设托盘进行重点防渗处理，危废桶装收集后置于托盘上，禁止直接接触地面；内部设分区标识，不同种类危废进行分类分区暂存；危废间内四周设置1m高防渗墙裙</w:t>
                  </w:r>
                  <w:r>
                    <w:rPr>
                      <w:rFonts w:hint="eastAsia"/>
                      <w:lang w:eastAsia="zh-CN"/>
                    </w:rPr>
                    <w:t>。</w:t>
                  </w:r>
                </w:p>
              </w:tc>
            </w:tr>
            <w:tr w14:paraId="528DB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44" w:type="pct"/>
                  <w:tcBorders>
                    <w:tl2br w:val="nil"/>
                    <w:tr2bl w:val="nil"/>
                  </w:tcBorders>
                  <w:noWrap w:val="0"/>
                  <w:vAlign w:val="center"/>
                </w:tcPr>
                <w:p w14:paraId="37CA1D1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其他区域</w:t>
                  </w:r>
                </w:p>
              </w:tc>
              <w:tc>
                <w:tcPr>
                  <w:tcW w:w="794" w:type="pct"/>
                  <w:tcBorders>
                    <w:tl2br w:val="nil"/>
                    <w:tr2bl w:val="nil"/>
                  </w:tcBorders>
                  <w:noWrap w:val="0"/>
                  <w:vAlign w:val="center"/>
                </w:tcPr>
                <w:p w14:paraId="4AD6DBC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简单防渗区</w:t>
                  </w:r>
                </w:p>
              </w:tc>
              <w:tc>
                <w:tcPr>
                  <w:tcW w:w="783" w:type="pct"/>
                  <w:tcBorders>
                    <w:tl2br w:val="nil"/>
                    <w:tr2bl w:val="nil"/>
                  </w:tcBorders>
                  <w:noWrap w:val="0"/>
                  <w:vAlign w:val="center"/>
                </w:tcPr>
                <w:p w14:paraId="29B83E0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地面硬化</w:t>
                  </w:r>
                </w:p>
              </w:tc>
              <w:tc>
                <w:tcPr>
                  <w:tcW w:w="2577" w:type="pct"/>
                  <w:tcBorders>
                    <w:tl2br w:val="nil"/>
                    <w:tr2bl w:val="nil"/>
                  </w:tcBorders>
                  <w:noWrap w:val="0"/>
                  <w:vAlign w:val="center"/>
                </w:tcPr>
                <w:p w14:paraId="66E9B08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防渗混凝土，水泥硬化</w:t>
                  </w:r>
                </w:p>
              </w:tc>
            </w:tr>
          </w:tbl>
          <w:p w14:paraId="0BE7AB0C">
            <w:pPr>
              <w:pStyle w:val="27"/>
              <w:spacing w:line="360" w:lineRule="auto"/>
              <w:rPr>
                <w:rFonts w:ascii="Times New Roman" w:hAnsi="Times New Roman" w:cs="Times New Roman" w:eastAsiaTheme="minorEastAsia"/>
                <w:b/>
                <w:bCs/>
                <w:color w:val="auto"/>
                <w:sz w:val="24"/>
                <w:highlight w:val="none"/>
                <w:lang w:val="en-US"/>
              </w:rPr>
            </w:pPr>
            <w:r>
              <w:rPr>
                <w:rFonts w:ascii="Times New Roman" w:hAnsi="Times New Roman" w:cs="Times New Roman" w:eastAsiaTheme="minorEastAsia"/>
                <w:b/>
                <w:bCs/>
                <w:color w:val="auto"/>
                <w:sz w:val="24"/>
                <w:highlight w:val="none"/>
                <w:lang w:val="en-US"/>
              </w:rPr>
              <w:t>六、生态环境影响</w:t>
            </w:r>
          </w:p>
          <w:p w14:paraId="0C9ECDA3">
            <w:pPr>
              <w:pStyle w:val="27"/>
              <w:spacing w:line="360" w:lineRule="auto"/>
              <w:ind w:firstLine="480" w:firstLineChars="200"/>
              <w:rPr>
                <w:rFonts w:hint="eastAsia" w:ascii="Times New Roman" w:hAnsi="Times New Roman" w:cs="Times New Roman" w:eastAsiaTheme="minorEastAsia"/>
                <w:color w:val="auto"/>
                <w:sz w:val="24"/>
                <w:highlight w:val="none"/>
                <w:lang w:val="en-US"/>
              </w:rPr>
            </w:pPr>
            <w:r>
              <w:rPr>
                <w:rFonts w:hint="eastAsia" w:ascii="Times New Roman" w:hAnsi="Times New Roman" w:cs="Times New Roman" w:eastAsiaTheme="minorEastAsia"/>
                <w:color w:val="auto"/>
                <w:sz w:val="24"/>
                <w:highlight w:val="none"/>
                <w:lang w:val="en-US"/>
              </w:rPr>
              <w:t>本项目</w:t>
            </w:r>
            <w:r>
              <w:rPr>
                <w:rFonts w:hint="eastAsia" w:ascii="Times New Roman" w:hAnsi="Times New Roman" w:cs="Times New Roman"/>
                <w:color w:val="auto"/>
                <w:sz w:val="24"/>
                <w:highlight w:val="none"/>
                <w:lang w:val="en-US" w:eastAsia="zh-CN"/>
              </w:rPr>
              <w:t>在金隅冀东凤翔环保科技有限公司厂区内</w:t>
            </w:r>
            <w:r>
              <w:rPr>
                <w:rFonts w:hint="default" w:ascii="Times New Roman" w:hAnsi="Times New Roman" w:eastAsia="宋体" w:cs="Times New Roman"/>
                <w:color w:val="auto"/>
                <w:sz w:val="24"/>
                <w:highlight w:val="none"/>
                <w:lang w:val="en-US"/>
              </w:rPr>
              <w:t>进行</w:t>
            </w:r>
            <w:r>
              <w:rPr>
                <w:rFonts w:hint="eastAsia" w:ascii="Times New Roman" w:hAnsi="Times New Roman" w:cs="Times New Roman"/>
                <w:color w:val="auto"/>
                <w:sz w:val="24"/>
                <w:highlight w:val="none"/>
                <w:lang w:val="en-US" w:eastAsia="zh-CN"/>
              </w:rPr>
              <w:t>建设</w:t>
            </w:r>
            <w:r>
              <w:rPr>
                <w:rFonts w:hint="default" w:ascii="Times New Roman" w:hAnsi="Times New Roman" w:eastAsia="宋体" w:cs="Times New Roman"/>
                <w:color w:val="auto"/>
                <w:sz w:val="24"/>
                <w:highlight w:val="none"/>
                <w:lang w:val="en-US"/>
              </w:rPr>
              <w:t>，</w:t>
            </w:r>
            <w:r>
              <w:rPr>
                <w:rFonts w:hint="eastAsia" w:ascii="Times New Roman" w:hAnsi="Times New Roman" w:cs="Times New Roman" w:eastAsiaTheme="minorEastAsia"/>
                <w:color w:val="auto"/>
                <w:sz w:val="24"/>
                <w:highlight w:val="none"/>
                <w:lang w:val="en-US" w:eastAsia="zh-CN"/>
              </w:rPr>
              <w:t>占地范围内</w:t>
            </w:r>
            <w:r>
              <w:rPr>
                <w:rFonts w:hint="eastAsia" w:ascii="Times New Roman" w:hAnsi="Times New Roman" w:cs="Times New Roman" w:eastAsiaTheme="minorEastAsia"/>
                <w:color w:val="auto"/>
                <w:sz w:val="24"/>
                <w:highlight w:val="none"/>
                <w:lang w:val="en-US"/>
              </w:rPr>
              <w:t>不涉及生态环境保护目标，</w:t>
            </w:r>
            <w:r>
              <w:rPr>
                <w:rFonts w:hint="eastAsia" w:ascii="Times New Roman" w:hAnsi="Times New Roman" w:cs="Times New Roman" w:eastAsiaTheme="minorEastAsia"/>
                <w:color w:val="auto"/>
                <w:sz w:val="24"/>
                <w:highlight w:val="none"/>
                <w:lang w:val="en-US" w:eastAsia="zh-CN"/>
              </w:rPr>
              <w:t>因此</w:t>
            </w:r>
            <w:r>
              <w:rPr>
                <w:rFonts w:hint="eastAsia" w:ascii="Times New Roman" w:hAnsi="Times New Roman" w:cs="Times New Roman" w:eastAsiaTheme="minorEastAsia"/>
                <w:color w:val="auto"/>
                <w:sz w:val="24"/>
                <w:highlight w:val="none"/>
                <w:lang w:val="en-US"/>
              </w:rPr>
              <w:t>造成的生态影响很小。</w:t>
            </w:r>
          </w:p>
          <w:p w14:paraId="02854057">
            <w:pPr>
              <w:pStyle w:val="27"/>
              <w:spacing w:line="360" w:lineRule="auto"/>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七、环境风险</w:t>
            </w:r>
          </w:p>
          <w:p w14:paraId="04BADB79">
            <w:pPr>
              <w:widowControl/>
              <w:numPr>
                <w:ilvl w:val="0"/>
                <w:numId w:val="0"/>
              </w:numPr>
              <w:adjustRightInd w:val="0"/>
              <w:spacing w:line="360" w:lineRule="auto"/>
              <w:ind w:leftChars="0" w:firstLine="482" w:firstLineChars="200"/>
              <w:jc w:val="left"/>
              <w:textAlignment w:val="baseline"/>
              <w:outlineLvl w:val="1"/>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val="en-US" w:eastAsia="zh-CN"/>
              </w:rPr>
              <w:t>现有工程环境风险防范措施</w:t>
            </w:r>
          </w:p>
          <w:p w14:paraId="3A4843EC">
            <w:pPr>
              <w:widowControl/>
              <w:numPr>
                <w:ilvl w:val="0"/>
                <w:numId w:val="0"/>
              </w:numPr>
              <w:adjustRightInd w:val="0"/>
              <w:spacing w:line="360" w:lineRule="auto"/>
              <w:ind w:firstLine="480" w:firstLineChars="200"/>
              <w:jc w:val="left"/>
              <w:textAlignment w:val="baseline"/>
              <w:outlineLvl w:val="1"/>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建设单位于2024年修编了《金隅冀东凤翔环保科技有限公司突发环境事件应急预案》，并在宝鸡市生态环境局凤翔分局进行了备案，备案编号为610305-2024-22M。</w:t>
            </w:r>
          </w:p>
          <w:p w14:paraId="2A1D9869">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针对潜在的环境风险，企业已采取了相应的风险防范措施，主要包括：</w:t>
            </w:r>
          </w:p>
          <w:p w14:paraId="6D2BE37A">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（1）氨水储罐风险防范措施</w:t>
            </w:r>
          </w:p>
          <w:p w14:paraId="4E36C95B">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①</w:t>
            </w:r>
            <w:r>
              <w:rPr>
                <w:rFonts w:hint="eastAsia" w:ascii="Times New Roman" w:hAnsi="Times New Roman" w:eastAsia="宋体" w:cs="Times New Roman"/>
                <w:b w:val="0"/>
                <w:bCs w:val="0"/>
                <w:color w:val="auto"/>
                <w:sz w:val="24"/>
                <w:highlight w:val="none"/>
                <w:lang w:val="en-US" w:eastAsia="zh-CN"/>
              </w:rPr>
              <w:t>公司制定专门的管理制度，氨水储罐单独密闭放置在通风、阴凉和干燥的地方，企业现有2个氨水储罐，储罐总容积约70吨，有1.0m高的围堰，防护服2套、正压式空气呼吸器2套、应急喷淋装置1套等。</w:t>
            </w:r>
          </w:p>
          <w:p w14:paraId="68249523">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②</w:t>
            </w:r>
            <w:r>
              <w:rPr>
                <w:rFonts w:hint="eastAsia" w:ascii="Times New Roman" w:hAnsi="Times New Roman" w:eastAsia="宋体" w:cs="Times New Roman"/>
                <w:b w:val="0"/>
                <w:bCs w:val="0"/>
                <w:color w:val="auto"/>
                <w:sz w:val="24"/>
                <w:highlight w:val="none"/>
                <w:lang w:val="en-US" w:eastAsia="zh-CN"/>
              </w:rPr>
              <w:t>操作人员的保护：工作人员须穿戴</w:t>
            </w:r>
            <w:r>
              <w:rPr>
                <w:rFonts w:hint="eastAsia" w:cs="Times New Roman"/>
                <w:b w:val="0"/>
                <w:bCs w:val="0"/>
                <w:color w:val="auto"/>
                <w:sz w:val="24"/>
                <w:highlight w:val="none"/>
                <w:lang w:val="en-US" w:eastAsia="zh-CN"/>
              </w:rPr>
              <w:t>防护</w:t>
            </w:r>
            <w:r>
              <w:rPr>
                <w:rFonts w:hint="eastAsia" w:ascii="Times New Roman" w:hAnsi="Times New Roman" w:eastAsia="宋体" w:cs="Times New Roman"/>
                <w:b w:val="0"/>
                <w:bCs w:val="0"/>
                <w:color w:val="auto"/>
                <w:sz w:val="24"/>
                <w:highlight w:val="none"/>
                <w:lang w:val="en-US" w:eastAsia="zh-CN"/>
              </w:rPr>
              <w:t>工作服、橡皮围裙、</w:t>
            </w:r>
            <w:r>
              <w:rPr>
                <w:rFonts w:hint="eastAsia" w:cs="Times New Roman"/>
                <w:b w:val="0"/>
                <w:bCs w:val="0"/>
                <w:color w:val="auto"/>
                <w:sz w:val="24"/>
                <w:highlight w:val="none"/>
                <w:lang w:val="en-US" w:eastAsia="zh-CN"/>
              </w:rPr>
              <w:t>长筒靴</w:t>
            </w:r>
            <w:r>
              <w:rPr>
                <w:rFonts w:hint="eastAsia" w:ascii="Times New Roman" w:hAnsi="Times New Roman" w:eastAsia="宋体" w:cs="Times New Roman"/>
                <w:b w:val="0"/>
                <w:bCs w:val="0"/>
                <w:color w:val="auto"/>
                <w:sz w:val="24"/>
                <w:highlight w:val="none"/>
                <w:lang w:val="en-US" w:eastAsia="zh-CN"/>
              </w:rPr>
              <w:t>、手套及防护眼镜和口罩。</w:t>
            </w:r>
          </w:p>
          <w:p w14:paraId="657A6279">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③</w:t>
            </w:r>
            <w:r>
              <w:rPr>
                <w:rFonts w:hint="eastAsia" w:ascii="Times New Roman" w:hAnsi="Times New Roman" w:eastAsia="宋体" w:cs="Times New Roman"/>
                <w:b w:val="0"/>
                <w:bCs w:val="0"/>
                <w:color w:val="auto"/>
                <w:sz w:val="24"/>
                <w:highlight w:val="none"/>
                <w:lang w:val="en-US" w:eastAsia="zh-CN"/>
              </w:rPr>
              <w:t>设置明显的警示标志：注明危险</w:t>
            </w:r>
            <w:r>
              <w:rPr>
                <w:rFonts w:hint="eastAsia" w:cs="Times New Roman"/>
                <w:b w:val="0"/>
                <w:bCs w:val="0"/>
                <w:color w:val="auto"/>
                <w:sz w:val="24"/>
                <w:highlight w:val="none"/>
                <w:lang w:val="en-US" w:eastAsia="zh-CN"/>
              </w:rPr>
              <w:t>物质</w:t>
            </w:r>
            <w:r>
              <w:rPr>
                <w:rFonts w:hint="eastAsia" w:ascii="Times New Roman" w:hAnsi="Times New Roman" w:eastAsia="宋体" w:cs="Times New Roman"/>
                <w:b w:val="0"/>
                <w:bCs w:val="0"/>
                <w:color w:val="auto"/>
                <w:sz w:val="24"/>
                <w:highlight w:val="none"/>
                <w:lang w:val="en-US" w:eastAsia="zh-CN"/>
              </w:rPr>
              <w:t>名称、主要理化性质和危害性、污染事件防范措施、现场急救措施、撤离路线（方向）、处理事件时的注意事项等内容。</w:t>
            </w:r>
          </w:p>
          <w:p w14:paraId="68B15156">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（2）废气</w:t>
            </w:r>
            <w:r>
              <w:rPr>
                <w:rFonts w:hint="eastAsia" w:cs="Times New Roman"/>
                <w:b w:val="0"/>
                <w:bCs w:val="0"/>
                <w:color w:val="auto"/>
                <w:sz w:val="24"/>
                <w:highlight w:val="none"/>
                <w:lang w:val="en-US" w:eastAsia="zh-CN"/>
              </w:rPr>
              <w:t>排放事故</w:t>
            </w:r>
            <w:r>
              <w:rPr>
                <w:rFonts w:hint="eastAsia" w:ascii="Times New Roman" w:hAnsi="Times New Roman" w:eastAsia="宋体" w:cs="Times New Roman"/>
                <w:b w:val="0"/>
                <w:bCs w:val="0"/>
                <w:color w:val="auto"/>
                <w:sz w:val="24"/>
                <w:highlight w:val="none"/>
                <w:lang w:val="en-US" w:eastAsia="zh-CN"/>
              </w:rPr>
              <w:t>风险防范措施</w:t>
            </w:r>
          </w:p>
          <w:p w14:paraId="5D1C2496">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在生产过程中，严格要求除尘装置应与其对应的生产工艺设备同步运转，分别计量生产工艺设备和除尘装置的年累计运转时间，以除尘装置年运转时间与生产工艺设备的年运转</w:t>
            </w:r>
            <w:r>
              <w:rPr>
                <w:rFonts w:hint="eastAsia"/>
                <w:sz w:val="24"/>
                <w:szCs w:val="32"/>
                <w:lang w:val="en-US" w:eastAsia="zh-CN"/>
              </w:rPr>
              <w:t>时间</w:t>
            </w:r>
            <w:r>
              <w:rPr>
                <w:rFonts w:hint="eastAsia" w:ascii="Times New Roman" w:hAnsi="Times New Roman" w:eastAsia="宋体" w:cs="Times New Roman"/>
                <w:b w:val="0"/>
                <w:bCs w:val="0"/>
                <w:color w:val="auto"/>
                <w:sz w:val="24"/>
                <w:highlight w:val="none"/>
                <w:lang w:val="en-US" w:eastAsia="zh-CN"/>
              </w:rPr>
              <w:t>之比，考核同步运转率，禁止非正常超标排放。</w:t>
            </w:r>
          </w:p>
          <w:p w14:paraId="3E963BDC">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（3）事故废水</w:t>
            </w:r>
            <w:r>
              <w:rPr>
                <w:rFonts w:hint="eastAsia" w:cs="Times New Roman"/>
                <w:b w:val="0"/>
                <w:bCs w:val="0"/>
                <w:color w:val="auto"/>
                <w:sz w:val="24"/>
                <w:highlight w:val="none"/>
                <w:lang w:val="en-US" w:eastAsia="zh-CN"/>
              </w:rPr>
              <w:t>采取</w:t>
            </w:r>
            <w:r>
              <w:rPr>
                <w:rFonts w:hint="eastAsia" w:ascii="Times New Roman" w:hAnsi="Times New Roman" w:eastAsia="宋体" w:cs="Times New Roman"/>
                <w:b w:val="0"/>
                <w:bCs w:val="0"/>
                <w:color w:val="auto"/>
                <w:sz w:val="24"/>
                <w:highlight w:val="none"/>
                <w:lang w:val="en-US" w:eastAsia="zh-CN"/>
              </w:rPr>
              <w:t>封堵</w:t>
            </w:r>
            <w:r>
              <w:rPr>
                <w:rFonts w:hint="eastAsia" w:cs="Times New Roman"/>
                <w:b w:val="0"/>
                <w:bCs w:val="0"/>
                <w:color w:val="auto"/>
                <w:sz w:val="24"/>
                <w:highlight w:val="none"/>
                <w:lang w:val="en-US" w:eastAsia="zh-CN"/>
              </w:rPr>
              <w:t>和</w:t>
            </w:r>
            <w:r>
              <w:rPr>
                <w:rFonts w:hint="eastAsia" w:ascii="Times New Roman" w:hAnsi="Times New Roman" w:eastAsia="宋体" w:cs="Times New Roman"/>
                <w:b w:val="0"/>
                <w:bCs w:val="0"/>
                <w:color w:val="auto"/>
                <w:sz w:val="24"/>
                <w:highlight w:val="none"/>
                <w:lang w:val="en-US" w:eastAsia="zh-CN"/>
              </w:rPr>
              <w:t>导排措施</w:t>
            </w:r>
          </w:p>
          <w:p w14:paraId="4FCB50A9">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厂区设3座初期雨水池，其中生料配料车间及贮存库配套一座有效容积40m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的初期雨水池，贮存库b配套一座有效容积30m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的初期雨水池，废液车间、贮存库a和预处理楼配套一座有效容积55m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的初期雨水池。</w:t>
            </w:r>
          </w:p>
          <w:p w14:paraId="76E8A0D9">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厂区设置一座600m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的事故水池。</w:t>
            </w:r>
          </w:p>
          <w:p w14:paraId="6019618A">
            <w:pPr>
              <w:widowControl/>
              <w:numPr>
                <w:ilvl w:val="0"/>
                <w:numId w:val="0"/>
              </w:numPr>
              <w:adjustRightInd w:val="0"/>
              <w:spacing w:line="360" w:lineRule="auto"/>
              <w:ind w:leftChars="0" w:firstLine="480" w:firstLineChars="200"/>
              <w:jc w:val="left"/>
              <w:textAlignment w:val="baseline"/>
              <w:outlineLvl w:val="1"/>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（4）现有风险防范措施</w:t>
            </w:r>
            <w:r>
              <w:rPr>
                <w:rFonts w:hint="eastAsia" w:cs="Times New Roman"/>
                <w:b w:val="0"/>
                <w:bCs w:val="0"/>
                <w:color w:val="auto"/>
                <w:sz w:val="24"/>
                <w:highlight w:val="none"/>
                <w:lang w:val="en-US" w:eastAsia="zh-CN"/>
              </w:rPr>
              <w:t>的</w:t>
            </w:r>
            <w:r>
              <w:rPr>
                <w:rFonts w:hint="eastAsia" w:ascii="Times New Roman" w:hAnsi="Times New Roman" w:eastAsia="宋体" w:cs="Times New Roman"/>
                <w:b w:val="0"/>
                <w:bCs w:val="0"/>
                <w:color w:val="auto"/>
                <w:sz w:val="24"/>
                <w:highlight w:val="none"/>
                <w:lang w:val="en-US" w:eastAsia="zh-CN"/>
              </w:rPr>
              <w:t>有效性</w:t>
            </w:r>
          </w:p>
          <w:p w14:paraId="1F064116">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项目所在厂区现有工程在采取相应的风险防范措施情况下，近几年未发生突发环境事件，风险防范措施可靠有效。</w:t>
            </w:r>
          </w:p>
          <w:p w14:paraId="57E90C7F">
            <w:pPr>
              <w:widowControl/>
              <w:numPr>
                <w:ilvl w:val="0"/>
                <w:numId w:val="0"/>
              </w:numPr>
              <w:adjustRightInd w:val="0"/>
              <w:spacing w:line="360" w:lineRule="auto"/>
              <w:ind w:leftChars="0" w:firstLine="482" w:firstLineChars="200"/>
              <w:jc w:val="left"/>
              <w:textAlignment w:val="baseline"/>
              <w:outlineLvl w:val="1"/>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w:t>
            </w:r>
            <w:r>
              <w:rPr>
                <w:rFonts w:hint="eastAsia" w:cs="Times New Roman"/>
                <w:b/>
                <w:bCs/>
                <w:color w:val="auto"/>
                <w:sz w:val="24"/>
                <w:highlight w:val="none"/>
                <w:lang w:val="en-US" w:eastAsia="zh-CN"/>
              </w:rPr>
              <w:t>.</w:t>
            </w:r>
            <w:r>
              <w:rPr>
                <w:rFonts w:hint="eastAsia" w:ascii="Times New Roman" w:hAnsi="Times New Roman" w:eastAsia="宋体" w:cs="Times New Roman"/>
                <w:b/>
                <w:bCs/>
                <w:color w:val="auto"/>
                <w:sz w:val="24"/>
                <w:highlight w:val="none"/>
                <w:lang w:val="en-US" w:eastAsia="zh-CN"/>
              </w:rPr>
              <w:t>本项目</w:t>
            </w:r>
            <w:r>
              <w:rPr>
                <w:rFonts w:hint="eastAsia" w:cs="Times New Roman"/>
                <w:b/>
                <w:bCs/>
                <w:color w:val="auto"/>
                <w:sz w:val="24"/>
                <w:highlight w:val="none"/>
                <w:lang w:val="en-US" w:eastAsia="zh-CN"/>
              </w:rPr>
              <w:t>存在的</w:t>
            </w:r>
            <w:r>
              <w:rPr>
                <w:rFonts w:hint="eastAsia" w:ascii="Times New Roman" w:hAnsi="Times New Roman" w:eastAsia="宋体" w:cs="Times New Roman"/>
                <w:b/>
                <w:bCs/>
                <w:color w:val="auto"/>
                <w:sz w:val="24"/>
                <w:highlight w:val="none"/>
                <w:lang w:val="en-US" w:eastAsia="zh-CN"/>
              </w:rPr>
              <w:t>环境风险</w:t>
            </w:r>
          </w:p>
          <w:p w14:paraId="73DDB25F">
            <w:pPr>
              <w:widowControl/>
              <w:numPr>
                <w:ilvl w:val="0"/>
                <w:numId w:val="0"/>
              </w:numPr>
              <w:adjustRightInd w:val="0"/>
              <w:spacing w:line="360" w:lineRule="auto"/>
              <w:ind w:leftChars="0" w:firstLine="482" w:firstLineChars="200"/>
              <w:jc w:val="left"/>
              <w:textAlignment w:val="baseline"/>
              <w:outlineLvl w:val="1"/>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（1）风险物质识别</w:t>
            </w:r>
          </w:p>
          <w:p w14:paraId="3A6DC529">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auto"/>
                <w:sz w:val="24"/>
                <w:highlight w:val="none"/>
                <w:lang w:val="en-US" w:eastAsia="zh-CN"/>
              </w:rPr>
            </w:pPr>
            <w:r>
              <w:rPr>
                <w:rFonts w:hint="eastAsia" w:eastAsia="宋体" w:cs="Times New Roman"/>
                <w:color w:val="auto"/>
                <w:sz w:val="24"/>
                <w:highlight w:val="none"/>
                <w:lang w:val="en-US" w:eastAsia="zh-CN"/>
              </w:rPr>
              <w:t>本次</w:t>
            </w:r>
            <w:r>
              <w:rPr>
                <w:rFonts w:hint="eastAsia" w:ascii="Times New Roman" w:hAnsi="Times New Roman" w:eastAsia="宋体" w:cs="Times New Roman"/>
                <w:color w:val="auto"/>
                <w:sz w:val="24"/>
                <w:highlight w:val="none"/>
                <w:lang w:val="en-US" w:eastAsia="zh-CN"/>
              </w:rPr>
              <w:t>项目涉及的危险物质主要为废润滑油</w:t>
            </w:r>
            <w:r>
              <w:rPr>
                <w:rFonts w:hint="eastAsia" w:cs="Times New Roman"/>
                <w:color w:val="auto"/>
                <w:sz w:val="24"/>
                <w:highlight w:val="none"/>
                <w:lang w:val="en-US" w:eastAsia="zh-CN"/>
              </w:rPr>
              <w:t>和润滑油</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根据《建设项目环境风险评价技术导则》（HJ169-2018）附录B</w:t>
            </w:r>
            <w:r>
              <w:rPr>
                <w:rFonts w:hint="eastAsia" w:ascii="Times New Roman" w:hAnsi="Times New Roman" w:eastAsia="宋体" w:cs="Times New Roman"/>
                <w:color w:val="auto"/>
                <w:sz w:val="24"/>
                <w:highlight w:val="none"/>
                <w:lang w:val="en-US" w:eastAsia="zh-CN"/>
              </w:rPr>
              <w:t>，项目危险物质储存情况见下表4-</w:t>
            </w:r>
            <w:r>
              <w:rPr>
                <w:rFonts w:hint="eastAsia" w:cs="Times New Roman"/>
                <w:color w:val="auto"/>
                <w:sz w:val="24"/>
                <w:highlight w:val="none"/>
                <w:lang w:val="en-US" w:eastAsia="zh-CN"/>
              </w:rPr>
              <w:t>18</w:t>
            </w:r>
            <w:r>
              <w:rPr>
                <w:rFonts w:hint="eastAsia" w:ascii="Times New Roman" w:hAnsi="Times New Roman" w:eastAsia="宋体" w:cs="Times New Roman"/>
                <w:color w:val="auto"/>
                <w:sz w:val="24"/>
                <w:highlight w:val="none"/>
                <w:lang w:val="en-US" w:eastAsia="zh-CN"/>
              </w:rPr>
              <w:t>。</w:t>
            </w:r>
          </w:p>
          <w:p w14:paraId="77D2727C">
            <w:pPr>
              <w:adjustRightInd w:val="0"/>
              <w:snapToGrid w:val="0"/>
              <w:jc w:val="center"/>
              <w:rPr>
                <w:rFonts w:ascii="Times New Roman" w:hAnsi="Times New Roman"/>
                <w:b/>
                <w:color w:val="auto"/>
                <w:szCs w:val="21"/>
                <w:highlight w:val="none"/>
              </w:rPr>
            </w:pPr>
            <w:r>
              <w:rPr>
                <w:rFonts w:ascii="Times New Roman" w:hAnsi="Times New Roman"/>
                <w:b/>
                <w:color w:val="auto"/>
                <w:szCs w:val="21"/>
                <w:highlight w:val="none"/>
              </w:rPr>
              <w:t>表4-</w:t>
            </w:r>
            <w:r>
              <w:rPr>
                <w:rFonts w:hint="eastAsia"/>
                <w:b/>
                <w:color w:val="auto"/>
                <w:szCs w:val="21"/>
                <w:highlight w:val="none"/>
                <w:lang w:val="en-US" w:eastAsia="zh-CN"/>
              </w:rPr>
              <w:t>18</w:t>
            </w:r>
            <w:r>
              <w:rPr>
                <w:rFonts w:hint="eastAsia" w:ascii="Times New Roman" w:hAnsi="Times New Roman"/>
                <w:b/>
                <w:color w:val="auto"/>
                <w:szCs w:val="21"/>
                <w:highlight w:val="none"/>
                <w:lang w:val="en-US" w:eastAsia="zh-CN"/>
              </w:rPr>
              <w:t xml:space="preserve">  </w:t>
            </w:r>
            <w:r>
              <w:rPr>
                <w:rFonts w:ascii="Times New Roman" w:hAnsi="Times New Roman"/>
                <w:b/>
                <w:color w:val="auto"/>
                <w:szCs w:val="21"/>
                <w:highlight w:val="none"/>
              </w:rPr>
              <w:t>危险物质储存情况</w:t>
            </w:r>
          </w:p>
          <w:tbl>
            <w:tblPr>
              <w:tblStyle w:val="19"/>
              <w:tblW w:w="80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538"/>
              <w:gridCol w:w="937"/>
              <w:gridCol w:w="1338"/>
              <w:gridCol w:w="1336"/>
              <w:gridCol w:w="833"/>
              <w:gridCol w:w="1386"/>
            </w:tblGrid>
            <w:tr w14:paraId="153DE6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tcBorders>
                    <w:tl2br w:val="nil"/>
                    <w:tr2bl w:val="nil"/>
                  </w:tcBorders>
                  <w:noWrap w:val="0"/>
                  <w:vAlign w:val="center"/>
                </w:tcPr>
                <w:p w14:paraId="5140A8AA">
                  <w:pPr>
                    <w:pStyle w:val="43"/>
                    <w:spacing w:beforeLines="0" w:afterLines="0" w:line="0" w:lineRule="atLeast"/>
                    <w:ind w:left="0"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1538" w:type="dxa"/>
                  <w:tcBorders>
                    <w:tl2br w:val="nil"/>
                    <w:tr2bl w:val="nil"/>
                  </w:tcBorders>
                  <w:noWrap w:val="0"/>
                  <w:vAlign w:val="center"/>
                </w:tcPr>
                <w:p w14:paraId="3D2343A1">
                  <w:pPr>
                    <w:pStyle w:val="43"/>
                    <w:spacing w:beforeLines="0" w:afterLines="0" w:line="0" w:lineRule="atLeast"/>
                    <w:ind w:left="0"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危险物质名称</w:t>
                  </w:r>
                </w:p>
              </w:tc>
              <w:tc>
                <w:tcPr>
                  <w:tcW w:w="937" w:type="dxa"/>
                  <w:tcBorders>
                    <w:tl2br w:val="nil"/>
                    <w:tr2bl w:val="nil"/>
                  </w:tcBorders>
                  <w:noWrap w:val="0"/>
                  <w:vAlign w:val="center"/>
                </w:tcPr>
                <w:p w14:paraId="10F85338">
                  <w:pPr>
                    <w:pStyle w:val="43"/>
                    <w:spacing w:beforeLines="0" w:afterLines="0" w:line="0" w:lineRule="atLeast"/>
                    <w:ind w:left="0"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CAS号</w:t>
                  </w:r>
                </w:p>
              </w:tc>
              <w:tc>
                <w:tcPr>
                  <w:tcW w:w="1338" w:type="dxa"/>
                  <w:tcBorders>
                    <w:tl2br w:val="nil"/>
                    <w:tr2bl w:val="nil"/>
                  </w:tcBorders>
                  <w:noWrap w:val="0"/>
                  <w:vAlign w:val="center"/>
                </w:tcPr>
                <w:p w14:paraId="6B584A05">
                  <w:pPr>
                    <w:widowControl/>
                    <w:snapToGrid w:val="0"/>
                    <w:spacing w:line="0" w:lineRule="atLeast"/>
                    <w:jc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储存位置</w:t>
                  </w:r>
                </w:p>
              </w:tc>
              <w:tc>
                <w:tcPr>
                  <w:tcW w:w="1336" w:type="dxa"/>
                  <w:tcBorders>
                    <w:tl2br w:val="nil"/>
                    <w:tr2bl w:val="nil"/>
                  </w:tcBorders>
                  <w:noWrap w:val="0"/>
                  <w:vAlign w:val="center"/>
                </w:tcPr>
                <w:p w14:paraId="15514973">
                  <w:pPr>
                    <w:widowControl/>
                    <w:snapToGrid w:val="0"/>
                    <w:spacing w:line="0" w:lineRule="atLeast"/>
                    <w:jc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最大存在总量（t）</w:t>
                  </w:r>
                </w:p>
              </w:tc>
              <w:tc>
                <w:tcPr>
                  <w:tcW w:w="833" w:type="dxa"/>
                  <w:tcBorders>
                    <w:tl2br w:val="nil"/>
                    <w:tr2bl w:val="nil"/>
                  </w:tcBorders>
                  <w:noWrap w:val="0"/>
                  <w:vAlign w:val="center"/>
                </w:tcPr>
                <w:p w14:paraId="2B1F51D1">
                  <w:pPr>
                    <w:widowControl/>
                    <w:snapToGrid w:val="0"/>
                    <w:spacing w:line="0" w:lineRule="atLeast"/>
                    <w:jc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临界量（t）</w:t>
                  </w:r>
                </w:p>
              </w:tc>
              <w:tc>
                <w:tcPr>
                  <w:tcW w:w="1386" w:type="dxa"/>
                  <w:tcBorders>
                    <w:tl2br w:val="nil"/>
                    <w:tr2bl w:val="nil"/>
                  </w:tcBorders>
                  <w:noWrap w:val="0"/>
                  <w:vAlign w:val="center"/>
                </w:tcPr>
                <w:p w14:paraId="46169877">
                  <w:pPr>
                    <w:pStyle w:val="43"/>
                    <w:spacing w:beforeLines="0" w:afterLines="0" w:line="0" w:lineRule="atLeast"/>
                    <w:ind w:left="0"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该种危险物质</w:t>
                  </w:r>
                  <w:r>
                    <w:rPr>
                      <w:rFonts w:hint="eastAsia" w:ascii="Times New Roman"/>
                      <w:b/>
                      <w:bCs/>
                      <w:color w:val="auto"/>
                      <w:sz w:val="21"/>
                      <w:szCs w:val="21"/>
                      <w:highlight w:val="none"/>
                      <w:lang w:val="en-US" w:eastAsia="zh-CN"/>
                    </w:rPr>
                    <w:t>的</w:t>
                  </w:r>
                  <w:r>
                    <w:rPr>
                      <w:rFonts w:ascii="Times New Roman" w:hAnsi="Times New Roman"/>
                      <w:b/>
                      <w:bCs/>
                      <w:color w:val="auto"/>
                      <w:sz w:val="21"/>
                      <w:szCs w:val="21"/>
                      <w:highlight w:val="none"/>
                    </w:rPr>
                    <w:t>Q值</w:t>
                  </w:r>
                </w:p>
              </w:tc>
            </w:tr>
            <w:tr w14:paraId="2253C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tcBorders>
                    <w:tl2br w:val="nil"/>
                    <w:tr2bl w:val="nil"/>
                  </w:tcBorders>
                  <w:noWrap w:val="0"/>
                  <w:vAlign w:val="center"/>
                </w:tcPr>
                <w:p w14:paraId="7CE95871">
                  <w:pPr>
                    <w:pStyle w:val="43"/>
                    <w:spacing w:beforeLines="0" w:afterLines="0" w:line="0" w:lineRule="atLeast"/>
                    <w:ind w:left="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w:t>
                  </w:r>
                </w:p>
              </w:tc>
              <w:tc>
                <w:tcPr>
                  <w:tcW w:w="1538" w:type="dxa"/>
                  <w:tcBorders>
                    <w:tl2br w:val="nil"/>
                    <w:tr2bl w:val="nil"/>
                  </w:tcBorders>
                  <w:noWrap w:val="0"/>
                  <w:vAlign w:val="center"/>
                </w:tcPr>
                <w:p w14:paraId="35D48D99">
                  <w:pPr>
                    <w:pStyle w:val="43"/>
                    <w:spacing w:beforeLines="0" w:afterLines="0" w:line="0" w:lineRule="atLeast"/>
                    <w:ind w:left="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废润滑油</w:t>
                  </w:r>
                </w:p>
              </w:tc>
              <w:tc>
                <w:tcPr>
                  <w:tcW w:w="937" w:type="dxa"/>
                  <w:tcBorders>
                    <w:tl2br w:val="nil"/>
                    <w:tr2bl w:val="nil"/>
                  </w:tcBorders>
                  <w:noWrap w:val="0"/>
                  <w:vAlign w:val="center"/>
                </w:tcPr>
                <w:p w14:paraId="6A2CFB75">
                  <w:pPr>
                    <w:pStyle w:val="43"/>
                    <w:spacing w:beforeLines="0" w:afterLines="0" w:line="0" w:lineRule="atLeast"/>
                    <w:ind w:left="0"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w:t>
                  </w:r>
                </w:p>
              </w:tc>
              <w:tc>
                <w:tcPr>
                  <w:tcW w:w="1338" w:type="dxa"/>
                  <w:tcBorders>
                    <w:tl2br w:val="nil"/>
                    <w:tr2bl w:val="nil"/>
                  </w:tcBorders>
                  <w:noWrap w:val="0"/>
                  <w:vAlign w:val="center"/>
                </w:tcPr>
                <w:p w14:paraId="4FA131B1">
                  <w:pPr>
                    <w:snapToGrid w:val="0"/>
                    <w:spacing w:line="0" w:lineRule="atLeast"/>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kern w:val="0"/>
                      <w:sz w:val="21"/>
                      <w:szCs w:val="21"/>
                      <w:highlight w:val="none"/>
                      <w:lang w:eastAsia="zh-CN"/>
                    </w:rPr>
                    <w:t>危废贮</w:t>
                  </w:r>
                  <w:r>
                    <w:rPr>
                      <w:rFonts w:hint="eastAsia"/>
                      <w:color w:val="auto"/>
                      <w:kern w:val="0"/>
                      <w:sz w:val="21"/>
                      <w:szCs w:val="21"/>
                      <w:highlight w:val="none"/>
                      <w:lang w:val="en-US" w:eastAsia="zh-CN"/>
                    </w:rPr>
                    <w:t>存</w:t>
                  </w:r>
                  <w:r>
                    <w:rPr>
                      <w:rFonts w:hint="eastAsia" w:ascii="Times New Roman" w:hAnsi="Times New Roman"/>
                      <w:color w:val="auto"/>
                      <w:kern w:val="0"/>
                      <w:sz w:val="21"/>
                      <w:szCs w:val="21"/>
                      <w:highlight w:val="none"/>
                      <w:lang w:eastAsia="zh-CN"/>
                    </w:rPr>
                    <w:t>库</w:t>
                  </w:r>
                </w:p>
              </w:tc>
              <w:tc>
                <w:tcPr>
                  <w:tcW w:w="1336" w:type="dxa"/>
                  <w:tcBorders>
                    <w:tl2br w:val="nil"/>
                    <w:tr2bl w:val="nil"/>
                  </w:tcBorders>
                  <w:noWrap w:val="0"/>
                  <w:vAlign w:val="center"/>
                </w:tcPr>
                <w:p w14:paraId="33B97658">
                  <w:pPr>
                    <w:pStyle w:val="43"/>
                    <w:spacing w:beforeLines="0" w:afterLines="0" w:line="0" w:lineRule="atLeast"/>
                    <w:ind w:left="0" w:firstLine="0" w:firstLineChars="0"/>
                    <w:jc w:val="center"/>
                    <w:rPr>
                      <w:rFonts w:hint="eastAsia" w:ascii="Times New Roman" w:hAnsi="Times New Roman" w:eastAsia="宋体"/>
                      <w:color w:val="auto"/>
                      <w:sz w:val="21"/>
                      <w:szCs w:val="21"/>
                      <w:highlight w:val="none"/>
                      <w:lang w:val="en-US" w:eastAsia="zh-CN"/>
                    </w:rPr>
                  </w:pPr>
                  <w:r>
                    <w:rPr>
                      <w:rFonts w:ascii="Times New Roman" w:hAnsi="Times New Roman"/>
                      <w:color w:val="auto"/>
                      <w:sz w:val="21"/>
                      <w:szCs w:val="21"/>
                      <w:highlight w:val="none"/>
                    </w:rPr>
                    <w:t>0.</w:t>
                  </w:r>
                  <w:r>
                    <w:rPr>
                      <w:rFonts w:hint="eastAsia" w:ascii="Times New Roman"/>
                      <w:color w:val="auto"/>
                      <w:sz w:val="21"/>
                      <w:szCs w:val="21"/>
                      <w:highlight w:val="none"/>
                      <w:lang w:val="en-US" w:eastAsia="zh-CN"/>
                    </w:rPr>
                    <w:t>1</w:t>
                  </w:r>
                </w:p>
              </w:tc>
              <w:tc>
                <w:tcPr>
                  <w:tcW w:w="833" w:type="dxa"/>
                  <w:tcBorders>
                    <w:tl2br w:val="nil"/>
                    <w:tr2bl w:val="nil"/>
                  </w:tcBorders>
                  <w:noWrap w:val="0"/>
                  <w:vAlign w:val="center"/>
                </w:tcPr>
                <w:p w14:paraId="7306CEF7">
                  <w:pPr>
                    <w:pStyle w:val="43"/>
                    <w:spacing w:beforeLines="0" w:afterLines="0" w:line="0" w:lineRule="atLeast"/>
                    <w:ind w:left="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2500</w:t>
                  </w:r>
                </w:p>
              </w:tc>
              <w:tc>
                <w:tcPr>
                  <w:tcW w:w="1386" w:type="dxa"/>
                  <w:tcBorders>
                    <w:tl2br w:val="nil"/>
                    <w:tr2bl w:val="nil"/>
                  </w:tcBorders>
                  <w:noWrap w:val="0"/>
                  <w:vAlign w:val="center"/>
                </w:tcPr>
                <w:p w14:paraId="1C2E2820">
                  <w:pPr>
                    <w:pStyle w:val="43"/>
                    <w:spacing w:beforeLines="0" w:afterLines="0" w:line="0" w:lineRule="atLeast"/>
                    <w:ind w:left="0" w:firstLine="0" w:firstLineChars="0"/>
                    <w:jc w:val="center"/>
                    <w:rPr>
                      <w:rFonts w:hint="default" w:ascii="Times New Roman" w:hAnsi="Times New Roman"/>
                      <w:color w:val="auto"/>
                      <w:sz w:val="21"/>
                      <w:szCs w:val="21"/>
                      <w:highlight w:val="none"/>
                      <w:lang w:val="en-US"/>
                    </w:rPr>
                  </w:pPr>
                  <w:r>
                    <w:rPr>
                      <w:rFonts w:ascii="Times New Roman" w:hAnsi="Times New Roman"/>
                      <w:color w:val="auto"/>
                      <w:sz w:val="21"/>
                      <w:szCs w:val="21"/>
                      <w:highlight w:val="none"/>
                    </w:rPr>
                    <w:t>0.0</w:t>
                  </w:r>
                  <w:r>
                    <w:rPr>
                      <w:rFonts w:hint="eastAsia" w:ascii="Times New Roman" w:hAnsi="Times New Roman"/>
                      <w:color w:val="auto"/>
                      <w:sz w:val="21"/>
                      <w:szCs w:val="21"/>
                      <w:highlight w:val="none"/>
                      <w:lang w:val="en-US" w:eastAsia="zh-CN"/>
                    </w:rPr>
                    <w:t>0</w:t>
                  </w:r>
                  <w:r>
                    <w:rPr>
                      <w:rFonts w:hint="eastAsia" w:ascii="Times New Roman"/>
                      <w:color w:val="auto"/>
                      <w:sz w:val="21"/>
                      <w:szCs w:val="21"/>
                      <w:highlight w:val="none"/>
                      <w:lang w:val="en-US" w:eastAsia="zh-CN"/>
                    </w:rPr>
                    <w:t>004</w:t>
                  </w:r>
                </w:p>
              </w:tc>
            </w:tr>
            <w:tr w14:paraId="4E1EEF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tcBorders>
                    <w:tl2br w:val="nil"/>
                    <w:tr2bl w:val="nil"/>
                  </w:tcBorders>
                  <w:noWrap w:val="0"/>
                  <w:vAlign w:val="center"/>
                </w:tcPr>
                <w:p w14:paraId="43A6A815">
                  <w:pPr>
                    <w:pStyle w:val="43"/>
                    <w:spacing w:beforeLines="0" w:afterLines="0" w:line="0" w:lineRule="atLeast"/>
                    <w:ind w:left="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2</w:t>
                  </w:r>
                </w:p>
              </w:tc>
              <w:tc>
                <w:tcPr>
                  <w:tcW w:w="1538" w:type="dxa"/>
                  <w:tcBorders>
                    <w:tl2br w:val="nil"/>
                    <w:tr2bl w:val="nil"/>
                  </w:tcBorders>
                  <w:noWrap w:val="0"/>
                  <w:vAlign w:val="center"/>
                </w:tcPr>
                <w:p w14:paraId="26CB2F40">
                  <w:pPr>
                    <w:pStyle w:val="43"/>
                    <w:spacing w:beforeLines="0" w:afterLines="0" w:line="0" w:lineRule="atLeast"/>
                    <w:ind w:left="0" w:firstLine="0" w:firstLineChars="0"/>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润滑油</w:t>
                  </w:r>
                </w:p>
              </w:tc>
              <w:tc>
                <w:tcPr>
                  <w:tcW w:w="937" w:type="dxa"/>
                  <w:tcBorders>
                    <w:tl2br w:val="nil"/>
                    <w:tr2bl w:val="nil"/>
                  </w:tcBorders>
                  <w:noWrap w:val="0"/>
                  <w:vAlign w:val="center"/>
                </w:tcPr>
                <w:p w14:paraId="0607B749">
                  <w:pPr>
                    <w:pStyle w:val="43"/>
                    <w:spacing w:beforeLines="0" w:afterLines="0" w:line="0" w:lineRule="atLeast"/>
                    <w:ind w:left="0"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w:t>
                  </w:r>
                </w:p>
              </w:tc>
              <w:tc>
                <w:tcPr>
                  <w:tcW w:w="1338" w:type="dxa"/>
                  <w:tcBorders>
                    <w:tl2br w:val="nil"/>
                    <w:tr2bl w:val="nil"/>
                  </w:tcBorders>
                  <w:noWrap w:val="0"/>
                  <w:vAlign w:val="center"/>
                </w:tcPr>
                <w:p w14:paraId="780F8A6F">
                  <w:pPr>
                    <w:snapToGrid w:val="0"/>
                    <w:spacing w:line="0" w:lineRule="atLeast"/>
                    <w:jc w:val="center"/>
                    <w:rPr>
                      <w:rFonts w:hint="default" w:ascii="Times New Roman" w:hAnsi="Times New Roman"/>
                      <w:color w:val="auto"/>
                      <w:kern w:val="0"/>
                      <w:sz w:val="21"/>
                      <w:szCs w:val="21"/>
                      <w:highlight w:val="none"/>
                      <w:lang w:val="en-US" w:eastAsia="zh-CN"/>
                    </w:rPr>
                  </w:pPr>
                  <w:r>
                    <w:rPr>
                      <w:rFonts w:hint="eastAsia"/>
                      <w:color w:val="auto"/>
                      <w:kern w:val="0"/>
                      <w:sz w:val="21"/>
                      <w:szCs w:val="21"/>
                      <w:highlight w:val="none"/>
                      <w:lang w:val="en-US" w:eastAsia="zh-CN"/>
                    </w:rPr>
                    <w:t>油库</w:t>
                  </w:r>
                </w:p>
              </w:tc>
              <w:tc>
                <w:tcPr>
                  <w:tcW w:w="1336" w:type="dxa"/>
                  <w:tcBorders>
                    <w:tl2br w:val="nil"/>
                    <w:tr2bl w:val="nil"/>
                  </w:tcBorders>
                  <w:noWrap w:val="0"/>
                  <w:vAlign w:val="center"/>
                </w:tcPr>
                <w:p w14:paraId="38E8F358">
                  <w:pPr>
                    <w:pStyle w:val="43"/>
                    <w:spacing w:beforeLines="0" w:afterLines="0" w:line="0" w:lineRule="atLeast"/>
                    <w:ind w:left="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0.2</w:t>
                  </w:r>
                </w:p>
              </w:tc>
              <w:tc>
                <w:tcPr>
                  <w:tcW w:w="833" w:type="dxa"/>
                  <w:tcBorders>
                    <w:tl2br w:val="nil"/>
                    <w:tr2bl w:val="nil"/>
                  </w:tcBorders>
                  <w:noWrap w:val="0"/>
                  <w:vAlign w:val="center"/>
                </w:tcPr>
                <w:p w14:paraId="433FF05F">
                  <w:pPr>
                    <w:pStyle w:val="43"/>
                    <w:spacing w:beforeLines="0" w:afterLines="0" w:line="0" w:lineRule="atLeast"/>
                    <w:ind w:left="0" w:firstLine="0" w:firstLineChars="0"/>
                    <w:jc w:val="center"/>
                    <w:rPr>
                      <w:rFonts w:hint="default" w:ascii="Times New Roman" w:hAnsi="Times New Roman"/>
                      <w:color w:val="auto"/>
                      <w:sz w:val="21"/>
                      <w:szCs w:val="21"/>
                      <w:highlight w:val="none"/>
                      <w:lang w:val="en-US" w:eastAsia="zh-CN"/>
                    </w:rPr>
                  </w:pPr>
                  <w:r>
                    <w:rPr>
                      <w:rFonts w:hint="eastAsia" w:ascii="Times New Roman"/>
                      <w:color w:val="auto"/>
                      <w:sz w:val="21"/>
                      <w:szCs w:val="21"/>
                      <w:highlight w:val="none"/>
                      <w:lang w:val="en-US" w:eastAsia="zh-CN"/>
                    </w:rPr>
                    <w:t>2500</w:t>
                  </w:r>
                </w:p>
              </w:tc>
              <w:tc>
                <w:tcPr>
                  <w:tcW w:w="1386" w:type="dxa"/>
                  <w:tcBorders>
                    <w:tl2br w:val="nil"/>
                    <w:tr2bl w:val="nil"/>
                  </w:tcBorders>
                  <w:noWrap w:val="0"/>
                  <w:vAlign w:val="center"/>
                </w:tcPr>
                <w:p w14:paraId="2D2D9920">
                  <w:pPr>
                    <w:pStyle w:val="43"/>
                    <w:spacing w:beforeLines="0" w:afterLines="0" w:line="0" w:lineRule="atLeast"/>
                    <w:ind w:left="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0.0008</w:t>
                  </w:r>
                </w:p>
              </w:tc>
            </w:tr>
            <w:tr w14:paraId="733FB2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1" w:type="dxa"/>
                  <w:gridSpan w:val="6"/>
                  <w:tcBorders>
                    <w:tl2br w:val="nil"/>
                    <w:tr2bl w:val="nil"/>
                  </w:tcBorders>
                  <w:noWrap w:val="0"/>
                  <w:vAlign w:val="center"/>
                </w:tcPr>
                <w:p w14:paraId="6F25BB32">
                  <w:pPr>
                    <w:pStyle w:val="43"/>
                    <w:spacing w:beforeLines="0" w:afterLines="0" w:line="0" w:lineRule="atLeast"/>
                    <w:ind w:left="0" w:firstLine="0" w:firstLineChars="0"/>
                    <w:jc w:val="center"/>
                    <w:rPr>
                      <w:rFonts w:ascii="Times New Roman" w:hAnsi="Times New Roman"/>
                      <w:b/>
                      <w:color w:val="auto"/>
                      <w:sz w:val="21"/>
                      <w:szCs w:val="21"/>
                      <w:highlight w:val="none"/>
                    </w:rPr>
                  </w:pPr>
                  <w:r>
                    <w:rPr>
                      <w:rFonts w:ascii="Times New Roman" w:hAnsi="Times New Roman"/>
                      <w:b/>
                      <w:color w:val="auto"/>
                      <w:sz w:val="21"/>
                      <w:szCs w:val="21"/>
                      <w:highlight w:val="none"/>
                    </w:rPr>
                    <w:t>项目Q值∑</w:t>
                  </w:r>
                </w:p>
              </w:tc>
              <w:tc>
                <w:tcPr>
                  <w:tcW w:w="1386" w:type="dxa"/>
                  <w:tcBorders>
                    <w:tl2br w:val="nil"/>
                    <w:tr2bl w:val="nil"/>
                  </w:tcBorders>
                  <w:noWrap w:val="0"/>
                  <w:vAlign w:val="center"/>
                </w:tcPr>
                <w:p w14:paraId="0818CB02">
                  <w:pPr>
                    <w:pStyle w:val="43"/>
                    <w:spacing w:beforeLines="0" w:afterLines="0" w:line="0" w:lineRule="atLeast"/>
                    <w:ind w:left="0" w:firstLine="0" w:firstLineChars="0"/>
                    <w:jc w:val="center"/>
                    <w:rPr>
                      <w:rFonts w:hint="default" w:ascii="Times New Roman" w:hAnsi="Times New Roman" w:eastAsia="宋体"/>
                      <w:b/>
                      <w:color w:val="auto"/>
                      <w:sz w:val="21"/>
                      <w:szCs w:val="21"/>
                      <w:highlight w:val="none"/>
                      <w:lang w:val="en-US" w:eastAsia="zh-CN"/>
                    </w:rPr>
                  </w:pPr>
                  <w:r>
                    <w:rPr>
                      <w:rFonts w:ascii="Times New Roman" w:hAnsi="Times New Roman"/>
                      <w:b/>
                      <w:color w:val="auto"/>
                      <w:sz w:val="21"/>
                      <w:szCs w:val="21"/>
                      <w:highlight w:val="none"/>
                    </w:rPr>
                    <w:t>0.0</w:t>
                  </w:r>
                  <w:r>
                    <w:rPr>
                      <w:rFonts w:hint="eastAsia" w:ascii="Times New Roman" w:hAnsi="Times New Roman"/>
                      <w:b/>
                      <w:color w:val="auto"/>
                      <w:sz w:val="21"/>
                      <w:szCs w:val="21"/>
                      <w:highlight w:val="none"/>
                      <w:lang w:val="en-US" w:eastAsia="zh-CN"/>
                    </w:rPr>
                    <w:t>0</w:t>
                  </w:r>
                  <w:r>
                    <w:rPr>
                      <w:rFonts w:hint="eastAsia" w:ascii="Times New Roman"/>
                      <w:b/>
                      <w:color w:val="auto"/>
                      <w:sz w:val="21"/>
                      <w:szCs w:val="21"/>
                      <w:highlight w:val="none"/>
                      <w:lang w:val="en-US" w:eastAsia="zh-CN"/>
                    </w:rPr>
                    <w:t>084</w:t>
                  </w:r>
                </w:p>
              </w:tc>
            </w:tr>
          </w:tbl>
          <w:p w14:paraId="67B521CC">
            <w:pPr>
              <w:pStyle w:val="44"/>
              <w:ind w:firstLine="420"/>
              <w:rPr>
                <w:rFonts w:hint="eastAsia" w:ascii="Times New Roman" w:hAnsi="Times New Roman" w:eastAsia="宋体"/>
                <w:color w:val="auto"/>
                <w:sz w:val="24"/>
                <w:szCs w:val="24"/>
                <w:highlight w:val="none"/>
                <w:lang w:eastAsia="zh-CN"/>
              </w:rPr>
            </w:pPr>
            <w:r>
              <w:rPr>
                <w:rFonts w:hint="eastAsia" w:ascii="Times New Roman" w:hAnsi="Times New Roman"/>
                <w:color w:val="auto"/>
                <w:sz w:val="24"/>
                <w:szCs w:val="24"/>
                <w:highlight w:val="none"/>
                <w:lang w:eastAsia="zh-CN"/>
              </w:rPr>
              <w:t>根据</w:t>
            </w:r>
            <w:r>
              <w:rPr>
                <w:rFonts w:ascii="Times New Roman" w:hAnsi="Times New Roman"/>
                <w:color w:val="auto"/>
                <w:sz w:val="24"/>
                <w:szCs w:val="24"/>
                <w:highlight w:val="none"/>
              </w:rPr>
              <w:t>《建设项目环境风险评价技术导则》（HJ169-2018）</w:t>
            </w:r>
            <w:r>
              <w:rPr>
                <w:rFonts w:hint="eastAsia" w:ascii="Times New Roman" w:hAnsi="Times New Roman"/>
                <w:color w:val="auto"/>
                <w:sz w:val="24"/>
                <w:szCs w:val="24"/>
                <w:highlight w:val="none"/>
                <w:lang w:eastAsia="zh-CN"/>
              </w:rPr>
              <w:t>附录</w:t>
            </w:r>
            <w:r>
              <w:rPr>
                <w:rFonts w:hint="eastAsia" w:ascii="Times New Roman" w:hAnsi="Times New Roman"/>
                <w:color w:val="auto"/>
                <w:sz w:val="24"/>
                <w:szCs w:val="24"/>
                <w:highlight w:val="none"/>
                <w:lang w:val="en-US" w:eastAsia="zh-CN"/>
              </w:rPr>
              <w:t>C.1.1，</w:t>
            </w:r>
            <w:r>
              <w:rPr>
                <w:rFonts w:ascii="Times New Roman" w:hAnsi="Times New Roman"/>
                <w:color w:val="auto"/>
                <w:sz w:val="24"/>
                <w:szCs w:val="24"/>
                <w:highlight w:val="none"/>
              </w:rPr>
              <w:t>项目涉及的危险物质最大储存量与临界量比值（Q）的累积之和为0.</w:t>
            </w:r>
            <w:r>
              <w:rPr>
                <w:rFonts w:hint="eastAsia" w:ascii="Times New Roman" w:hAnsi="Times New Roman"/>
                <w:color w:val="auto"/>
                <w:sz w:val="24"/>
                <w:szCs w:val="24"/>
                <w:highlight w:val="none"/>
                <w:lang w:val="en-US" w:eastAsia="zh-CN"/>
              </w:rPr>
              <w:t>00</w:t>
            </w:r>
            <w:r>
              <w:rPr>
                <w:rFonts w:hint="eastAsia"/>
                <w:color w:val="auto"/>
                <w:sz w:val="24"/>
                <w:szCs w:val="24"/>
                <w:highlight w:val="none"/>
                <w:lang w:val="en-US" w:eastAsia="zh-CN"/>
              </w:rPr>
              <w:t>084</w:t>
            </w:r>
            <w:r>
              <w:rPr>
                <w:rFonts w:ascii="Times New Roman" w:hAnsi="Times New Roman"/>
                <w:color w:val="auto"/>
                <w:sz w:val="24"/>
                <w:szCs w:val="24"/>
                <w:highlight w:val="none"/>
              </w:rPr>
              <w:t>（＜1），项目环境风险潜势为</w:t>
            </w:r>
            <w:r>
              <w:rPr>
                <w:rFonts w:hint="eastAsia" w:ascii="Times New Roman" w:hAnsi="Times New Roman"/>
                <w:color w:val="auto"/>
                <w:sz w:val="24"/>
                <w:szCs w:val="24"/>
                <w:highlight w:val="none"/>
              </w:rPr>
              <w:t>Ⅰ</w:t>
            </w:r>
            <w:r>
              <w:rPr>
                <w:rFonts w:hint="eastAsia" w:ascii="Times New Roman" w:hAnsi="Times New Roman"/>
                <w:color w:val="auto"/>
                <w:sz w:val="24"/>
                <w:szCs w:val="24"/>
                <w:highlight w:val="none"/>
                <w:lang w:eastAsia="zh-CN"/>
              </w:rPr>
              <w:t>，风险评价工作等级为简单分析。</w:t>
            </w:r>
          </w:p>
          <w:p w14:paraId="638FDE5F">
            <w:pPr>
              <w:widowControl/>
              <w:numPr>
                <w:ilvl w:val="0"/>
                <w:numId w:val="0"/>
              </w:numPr>
              <w:adjustRightInd w:val="0"/>
              <w:spacing w:line="360" w:lineRule="auto"/>
              <w:ind w:leftChars="0" w:firstLine="482" w:firstLineChars="200"/>
              <w:jc w:val="left"/>
              <w:textAlignment w:val="baseline"/>
              <w:outlineLvl w:val="1"/>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（2）环境风险识别</w:t>
            </w:r>
          </w:p>
          <w:p w14:paraId="0C4383AD">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①主要危险物质及分布情况</w:t>
            </w:r>
          </w:p>
          <w:p w14:paraId="60B79461">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项目涉及</w:t>
            </w:r>
            <w:r>
              <w:rPr>
                <w:rFonts w:hint="eastAsia"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lang w:val="en-US" w:eastAsia="zh-CN"/>
              </w:rPr>
              <w:t>危险物质</w:t>
            </w:r>
            <w:r>
              <w:rPr>
                <w:rFonts w:hint="eastAsia" w:ascii="Times New Roman" w:hAnsi="Times New Roman" w:eastAsia="宋体" w:cs="Times New Roman"/>
                <w:color w:val="auto"/>
                <w:sz w:val="24"/>
                <w:highlight w:val="none"/>
                <w:lang w:val="en-US" w:eastAsia="zh-CN"/>
              </w:rPr>
              <w:t>主要</w:t>
            </w:r>
            <w:r>
              <w:rPr>
                <w:rFonts w:hint="default" w:ascii="Times New Roman" w:hAnsi="Times New Roman" w:eastAsia="宋体" w:cs="Times New Roman"/>
                <w:color w:val="auto"/>
                <w:sz w:val="24"/>
                <w:highlight w:val="none"/>
                <w:lang w:val="en-US" w:eastAsia="zh-CN"/>
              </w:rPr>
              <w:t>为</w:t>
            </w:r>
            <w:r>
              <w:rPr>
                <w:rFonts w:hint="eastAsia" w:ascii="Times New Roman" w:hAnsi="Times New Roman" w:eastAsia="宋体" w:cs="Times New Roman"/>
                <w:color w:val="auto"/>
                <w:sz w:val="24"/>
                <w:highlight w:val="none"/>
                <w:lang w:val="en-US" w:eastAsia="zh-CN"/>
              </w:rPr>
              <w:t>废润滑油</w:t>
            </w:r>
            <w:r>
              <w:rPr>
                <w:rFonts w:hint="eastAsia" w:cs="Times New Roman"/>
                <w:color w:val="auto"/>
                <w:sz w:val="24"/>
                <w:highlight w:val="none"/>
                <w:lang w:val="en-US" w:eastAsia="zh-CN"/>
              </w:rPr>
              <w:t>和润滑油</w:t>
            </w:r>
            <w:r>
              <w:rPr>
                <w:rFonts w:hint="eastAsia" w:ascii="Times New Roman" w:hAnsi="Times New Roman" w:eastAsia="宋体" w:cs="Times New Roman"/>
                <w:color w:val="auto"/>
                <w:sz w:val="24"/>
                <w:highlight w:val="none"/>
                <w:lang w:val="en-US" w:eastAsia="zh-CN"/>
              </w:rPr>
              <w:t>，暂存</w:t>
            </w:r>
            <w:r>
              <w:rPr>
                <w:rFonts w:hint="default" w:ascii="Times New Roman" w:hAnsi="Times New Roman" w:eastAsia="宋体" w:cs="Times New Roman"/>
                <w:color w:val="auto"/>
                <w:sz w:val="24"/>
                <w:highlight w:val="none"/>
                <w:lang w:val="en-US" w:eastAsia="zh-CN"/>
              </w:rPr>
              <w:t>在</w:t>
            </w:r>
            <w:r>
              <w:rPr>
                <w:rFonts w:hint="eastAsia" w:cs="Times New Roman"/>
                <w:color w:val="auto"/>
                <w:sz w:val="24"/>
                <w:highlight w:val="none"/>
                <w:lang w:val="en-US" w:eastAsia="zh-CN"/>
              </w:rPr>
              <w:t>危废贮存库</w:t>
            </w:r>
            <w:r>
              <w:rPr>
                <w:rFonts w:hint="default" w:ascii="Times New Roman" w:hAnsi="Times New Roman" w:eastAsia="宋体" w:cs="Times New Roman"/>
                <w:color w:val="auto"/>
                <w:sz w:val="24"/>
                <w:highlight w:val="none"/>
                <w:lang w:val="en-US" w:eastAsia="zh-CN"/>
              </w:rPr>
              <w:t>内</w:t>
            </w:r>
            <w:r>
              <w:rPr>
                <w:rFonts w:hint="eastAsia" w:cs="Times New Roman"/>
                <w:color w:val="auto"/>
                <w:sz w:val="24"/>
                <w:highlight w:val="none"/>
                <w:lang w:val="en-US" w:eastAsia="zh-CN"/>
              </w:rPr>
              <w:t>和油库中</w:t>
            </w:r>
            <w:r>
              <w:rPr>
                <w:rFonts w:hint="default" w:ascii="Times New Roman" w:hAnsi="Times New Roman" w:eastAsia="宋体" w:cs="Times New Roman"/>
                <w:color w:val="auto"/>
                <w:sz w:val="24"/>
                <w:highlight w:val="none"/>
                <w:lang w:val="en-US" w:eastAsia="zh-CN"/>
              </w:rPr>
              <w:t>。</w:t>
            </w:r>
          </w:p>
          <w:p w14:paraId="5E1ADF05">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②可能影响环境的途径</w:t>
            </w:r>
          </w:p>
          <w:p w14:paraId="221C9EFB">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废润滑油</w:t>
            </w:r>
            <w:r>
              <w:rPr>
                <w:rFonts w:hint="eastAsia" w:cs="Times New Roman"/>
                <w:color w:val="auto"/>
                <w:sz w:val="24"/>
                <w:highlight w:val="none"/>
                <w:lang w:val="en-US" w:eastAsia="zh-CN"/>
              </w:rPr>
              <w:t>和润滑油</w:t>
            </w:r>
            <w:r>
              <w:rPr>
                <w:rFonts w:hint="default" w:ascii="Times New Roman" w:hAnsi="Times New Roman" w:eastAsia="宋体" w:cs="Times New Roman"/>
                <w:color w:val="auto"/>
                <w:sz w:val="24"/>
                <w:highlight w:val="none"/>
                <w:lang w:val="en-US" w:eastAsia="zh-CN"/>
              </w:rPr>
              <w:t>泄漏后污染</w:t>
            </w:r>
            <w:r>
              <w:rPr>
                <w:rFonts w:hint="eastAsia" w:cs="Times New Roman"/>
                <w:color w:val="auto"/>
                <w:sz w:val="24"/>
                <w:highlight w:val="none"/>
                <w:lang w:val="en-US" w:eastAsia="zh-CN"/>
              </w:rPr>
              <w:t>土壤及地下水</w:t>
            </w:r>
            <w:r>
              <w:rPr>
                <w:rFonts w:hint="default" w:ascii="Times New Roman" w:hAnsi="Times New Roman" w:eastAsia="宋体" w:cs="Times New Roman"/>
                <w:color w:val="auto"/>
                <w:sz w:val="24"/>
                <w:highlight w:val="none"/>
                <w:lang w:val="en-US" w:eastAsia="zh-CN"/>
              </w:rPr>
              <w:t>环境；</w:t>
            </w:r>
            <w:r>
              <w:rPr>
                <w:rFonts w:hint="eastAsia" w:ascii="Times New Roman" w:hAnsi="Times New Roman" w:eastAsia="宋体" w:cs="Times New Roman"/>
                <w:color w:val="auto"/>
                <w:sz w:val="24"/>
                <w:highlight w:val="none"/>
                <w:lang w:val="en-US" w:eastAsia="zh-CN"/>
              </w:rPr>
              <w:t>废润滑油</w:t>
            </w:r>
            <w:r>
              <w:rPr>
                <w:rFonts w:hint="eastAsia" w:cs="Times New Roman"/>
                <w:color w:val="auto"/>
                <w:sz w:val="24"/>
                <w:highlight w:val="none"/>
                <w:lang w:val="en-US" w:eastAsia="zh-CN"/>
              </w:rPr>
              <w:t>和润滑油</w:t>
            </w:r>
            <w:r>
              <w:rPr>
                <w:rFonts w:hint="default" w:ascii="Times New Roman" w:hAnsi="Times New Roman" w:eastAsia="宋体" w:cs="Times New Roman"/>
                <w:color w:val="auto"/>
                <w:sz w:val="24"/>
                <w:highlight w:val="none"/>
                <w:lang w:val="en-US" w:eastAsia="zh-CN"/>
              </w:rPr>
              <w:t>泄漏后</w:t>
            </w:r>
            <w:r>
              <w:rPr>
                <w:rFonts w:hint="eastAsia" w:cs="Times New Roman"/>
                <w:color w:val="auto"/>
                <w:sz w:val="24"/>
                <w:highlight w:val="none"/>
                <w:lang w:val="en-US" w:eastAsia="zh-CN"/>
              </w:rPr>
              <w:t>遇明火可</w:t>
            </w:r>
            <w:r>
              <w:rPr>
                <w:rFonts w:hint="default" w:ascii="Times New Roman" w:hAnsi="Times New Roman" w:eastAsia="宋体" w:cs="Times New Roman"/>
                <w:color w:val="auto"/>
                <w:sz w:val="24"/>
                <w:highlight w:val="none"/>
                <w:lang w:val="en-US" w:eastAsia="zh-CN"/>
              </w:rPr>
              <w:t>引发火灾，不完全燃烧</w:t>
            </w:r>
            <w:r>
              <w:rPr>
                <w:rFonts w:hint="eastAsia" w:cs="Times New Roman"/>
                <w:color w:val="auto"/>
                <w:sz w:val="24"/>
                <w:highlight w:val="none"/>
                <w:lang w:val="en-US" w:eastAsia="zh-CN"/>
              </w:rPr>
              <w:t>会</w:t>
            </w:r>
            <w:r>
              <w:rPr>
                <w:rFonts w:hint="default" w:ascii="Times New Roman" w:hAnsi="Times New Roman" w:eastAsia="宋体" w:cs="Times New Roman"/>
                <w:color w:val="auto"/>
                <w:sz w:val="24"/>
                <w:highlight w:val="none"/>
                <w:lang w:val="en-US" w:eastAsia="zh-CN"/>
              </w:rPr>
              <w:t>影响大气环境。</w:t>
            </w:r>
          </w:p>
          <w:p w14:paraId="7BEB4CF5">
            <w:pPr>
              <w:widowControl/>
              <w:numPr>
                <w:ilvl w:val="0"/>
                <w:numId w:val="0"/>
              </w:numPr>
              <w:adjustRightInd w:val="0"/>
              <w:spacing w:line="360" w:lineRule="auto"/>
              <w:ind w:leftChars="0" w:firstLine="482" w:firstLineChars="200"/>
              <w:jc w:val="left"/>
              <w:textAlignment w:val="baseline"/>
              <w:outlineLvl w:val="1"/>
              <w:rPr>
                <w:rFonts w:hint="default" w:ascii="Times New Roman" w:hAnsi="Times New Roman" w:eastAsia="宋体" w:cs="Times New Roman"/>
                <w:b/>
                <w:bCs/>
                <w:color w:val="auto"/>
                <w:sz w:val="24"/>
                <w:highlight w:val="none"/>
                <w:lang w:val="en-US" w:eastAsia="zh-CN"/>
              </w:rPr>
            </w:pPr>
            <w:bookmarkStart w:id="44" w:name="_Toc18498829"/>
            <w:r>
              <w:rPr>
                <w:rFonts w:hint="default" w:ascii="Times New Roman" w:hAnsi="Times New Roman" w:eastAsia="宋体" w:cs="Times New Roman"/>
                <w:b/>
                <w:bCs/>
                <w:color w:val="auto"/>
                <w:sz w:val="24"/>
                <w:highlight w:val="none"/>
                <w:lang w:val="en-US" w:eastAsia="zh-CN"/>
              </w:rPr>
              <w:t>（3）环境风险分析</w:t>
            </w:r>
            <w:bookmarkEnd w:id="44"/>
          </w:p>
          <w:p w14:paraId="1F416609">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废润滑油</w:t>
            </w:r>
            <w:r>
              <w:rPr>
                <w:rFonts w:hint="eastAsia" w:cs="Times New Roman"/>
                <w:color w:val="auto"/>
                <w:sz w:val="24"/>
                <w:highlight w:val="none"/>
                <w:lang w:val="en-US" w:eastAsia="zh-CN"/>
              </w:rPr>
              <w:t>和润滑油</w:t>
            </w:r>
            <w:r>
              <w:rPr>
                <w:rFonts w:hint="eastAsia" w:eastAsia="宋体" w:cs="Times New Roman"/>
                <w:color w:val="auto"/>
                <w:sz w:val="24"/>
                <w:highlight w:val="none"/>
                <w:lang w:val="en-US" w:eastAsia="zh-CN"/>
              </w:rPr>
              <w:t>一旦遇到明火，如工作人员吸烟、厂区中有明火等，均可能导致火灾的发生，危害人身安全。储存不好或发生泄漏时，可能通过垂直入渗的方式对周围土壤、地下水</w:t>
            </w:r>
            <w:r>
              <w:rPr>
                <w:rFonts w:hint="eastAsia" w:cs="Times New Roman"/>
                <w:color w:val="auto"/>
                <w:sz w:val="24"/>
                <w:highlight w:val="none"/>
                <w:lang w:val="en-US" w:eastAsia="zh-CN"/>
              </w:rPr>
              <w:t>等</w:t>
            </w:r>
            <w:r>
              <w:rPr>
                <w:rFonts w:hint="eastAsia" w:eastAsia="宋体" w:cs="Times New Roman"/>
                <w:color w:val="auto"/>
                <w:sz w:val="24"/>
                <w:highlight w:val="none"/>
                <w:lang w:val="en-US" w:eastAsia="zh-CN"/>
              </w:rPr>
              <w:t>环境产生影响。</w:t>
            </w:r>
          </w:p>
          <w:p w14:paraId="27717C2C">
            <w:pPr>
              <w:widowControl/>
              <w:numPr>
                <w:ilvl w:val="0"/>
                <w:numId w:val="0"/>
              </w:numPr>
              <w:adjustRightInd w:val="0"/>
              <w:spacing w:line="360" w:lineRule="auto"/>
              <w:ind w:leftChars="0" w:firstLine="482" w:firstLineChars="200"/>
              <w:jc w:val="left"/>
              <w:textAlignment w:val="baseline"/>
              <w:outlineLvl w:val="1"/>
              <w:rPr>
                <w:rFonts w:hint="default" w:ascii="Times New Roman" w:hAnsi="Times New Roman" w:eastAsia="宋体" w:cs="Times New Roman"/>
                <w:b/>
                <w:bCs/>
                <w:color w:val="auto"/>
                <w:sz w:val="24"/>
                <w:highlight w:val="none"/>
                <w:lang w:val="en-US" w:eastAsia="zh-CN"/>
              </w:rPr>
            </w:pPr>
            <w:bookmarkStart w:id="45" w:name="_Toc7115601"/>
            <w:bookmarkStart w:id="46" w:name="_Toc18498831"/>
            <w:bookmarkStart w:id="47" w:name="_Toc12228251"/>
            <w:bookmarkStart w:id="48" w:name="_Toc515151189"/>
            <w:r>
              <w:rPr>
                <w:rFonts w:hint="default" w:ascii="Times New Roman" w:hAnsi="Times New Roman" w:eastAsia="宋体" w:cs="Times New Roman"/>
                <w:b/>
                <w:bCs/>
                <w:color w:val="auto"/>
                <w:sz w:val="24"/>
                <w:highlight w:val="none"/>
                <w:lang w:val="en-US" w:eastAsia="zh-CN"/>
              </w:rPr>
              <w:t>（4）环境风险应急要求及防范措施</w:t>
            </w:r>
            <w:bookmarkEnd w:id="45"/>
            <w:bookmarkEnd w:id="46"/>
            <w:bookmarkEnd w:id="47"/>
            <w:bookmarkEnd w:id="48"/>
          </w:p>
          <w:p w14:paraId="5A5C7EF7">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①泄漏应急处理</w:t>
            </w:r>
          </w:p>
          <w:p w14:paraId="1BF237C6">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当</w:t>
            </w:r>
            <w:r>
              <w:rPr>
                <w:rFonts w:hint="eastAsia" w:ascii="Times New Roman" w:hAnsi="Times New Roman" w:eastAsia="宋体" w:cs="Times New Roman"/>
                <w:color w:val="auto"/>
                <w:sz w:val="24"/>
                <w:highlight w:val="none"/>
                <w:lang w:val="en-US" w:eastAsia="zh-CN"/>
              </w:rPr>
              <w:t>废润滑油</w:t>
            </w:r>
            <w:r>
              <w:rPr>
                <w:rFonts w:hint="eastAsia" w:cs="Times New Roman"/>
                <w:color w:val="auto"/>
                <w:sz w:val="24"/>
                <w:highlight w:val="none"/>
                <w:lang w:val="en-US" w:eastAsia="zh-CN"/>
              </w:rPr>
              <w:t>和润滑油</w:t>
            </w:r>
            <w:r>
              <w:rPr>
                <w:rFonts w:hint="default" w:ascii="Times New Roman" w:hAnsi="Times New Roman" w:eastAsia="宋体" w:cs="Times New Roman"/>
                <w:color w:val="auto"/>
                <w:sz w:val="24"/>
                <w:highlight w:val="none"/>
                <w:lang w:val="en-US" w:eastAsia="zh-CN"/>
              </w:rPr>
              <w:t>发生泄漏时，建议应急处理人员戴防毒面具，穿防护服。作业时使用的所有设备应接地，禁止无防护设施接触破裂的容器和泄漏物。尽可能地切断电源，防止泄漏物进入水体、下水道或密闭性空间。泄漏时用干燥的沙土或其他不燃材料覆盖泄漏物，随后转移至收集</w:t>
            </w:r>
            <w:r>
              <w:rPr>
                <w:rFonts w:hint="eastAsia" w:ascii="Times New Roman" w:hAnsi="Times New Roman" w:eastAsia="宋体" w:cs="Times New Roman"/>
                <w:color w:val="auto"/>
                <w:sz w:val="24"/>
                <w:highlight w:val="none"/>
                <w:lang w:val="en-US" w:eastAsia="zh-CN"/>
              </w:rPr>
              <w:t>容</w:t>
            </w:r>
            <w:r>
              <w:rPr>
                <w:rFonts w:hint="default" w:ascii="Times New Roman" w:hAnsi="Times New Roman" w:eastAsia="宋体" w:cs="Times New Roman"/>
                <w:color w:val="auto"/>
                <w:sz w:val="24"/>
                <w:highlight w:val="none"/>
                <w:lang w:val="en-US" w:eastAsia="zh-CN"/>
              </w:rPr>
              <w:t>器中。</w:t>
            </w:r>
          </w:p>
          <w:p w14:paraId="6389C175">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②存储措施</w:t>
            </w:r>
          </w:p>
          <w:p w14:paraId="6F799D81">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auto"/>
                <w:sz w:val="24"/>
                <w:highlight w:val="none"/>
                <w:lang w:val="en-US" w:eastAsia="zh-CN"/>
              </w:rPr>
            </w:pPr>
            <w:r>
              <w:rPr>
                <w:rFonts w:hint="eastAsia" w:eastAsia="宋体" w:cs="Times New Roman"/>
                <w:color w:val="auto"/>
                <w:sz w:val="24"/>
                <w:highlight w:val="none"/>
                <w:lang w:val="en-US" w:eastAsia="zh-CN"/>
              </w:rPr>
              <w:t>废润滑油</w:t>
            </w:r>
            <w:r>
              <w:rPr>
                <w:rFonts w:hint="default" w:ascii="Times New Roman" w:hAnsi="Times New Roman" w:eastAsia="宋体" w:cs="Times New Roman"/>
                <w:color w:val="auto"/>
                <w:sz w:val="24"/>
                <w:highlight w:val="none"/>
                <w:lang w:val="en-US" w:eastAsia="zh-CN"/>
              </w:rPr>
              <w:t>暂存于</w:t>
            </w:r>
            <w:r>
              <w:rPr>
                <w:rFonts w:hint="eastAsia" w:cs="Times New Roman"/>
                <w:color w:val="auto"/>
                <w:sz w:val="24"/>
                <w:highlight w:val="none"/>
                <w:lang w:val="en-US" w:eastAsia="zh-CN"/>
              </w:rPr>
              <w:t>危废贮存库</w:t>
            </w:r>
            <w:r>
              <w:rPr>
                <w:rFonts w:hint="default" w:ascii="Times New Roman" w:hAnsi="Times New Roman" w:eastAsia="宋体" w:cs="Times New Roman"/>
                <w:color w:val="auto"/>
                <w:sz w:val="24"/>
                <w:highlight w:val="none"/>
                <w:lang w:val="en-US" w:eastAsia="zh-CN"/>
              </w:rPr>
              <w:t>，严格按照《危险废物贮存污染控制标准》（GB18597-2023）中的相关要求设置相关收集容器，用专用容器集中收集，同时由专人管理，定期交由有资质单位进行专业处理。</w:t>
            </w:r>
            <w:r>
              <w:rPr>
                <w:rFonts w:hint="eastAsia" w:cs="Times New Roman"/>
                <w:color w:val="auto"/>
                <w:sz w:val="24"/>
                <w:highlight w:val="none"/>
                <w:lang w:val="en-US" w:eastAsia="zh-CN"/>
              </w:rPr>
              <w:t>危废贮存库</w:t>
            </w:r>
            <w:r>
              <w:rPr>
                <w:rFonts w:hint="default" w:ascii="Times New Roman" w:hAnsi="Times New Roman" w:eastAsia="宋体" w:cs="Times New Roman"/>
                <w:color w:val="auto"/>
                <w:sz w:val="24"/>
                <w:highlight w:val="none"/>
                <w:lang w:val="en-US" w:eastAsia="zh-CN"/>
              </w:rPr>
              <w:t>应做到以下防范措施：存放地面墙裙达到</w:t>
            </w:r>
            <w:r>
              <w:rPr>
                <w:rFonts w:hint="eastAsia" w:eastAsia="宋体" w:cs="Times New Roman"/>
                <w:color w:val="auto"/>
                <w:sz w:val="24"/>
                <w:highlight w:val="none"/>
                <w:lang w:val="en-US" w:eastAsia="zh-CN"/>
              </w:rPr>
              <w:t>重点</w:t>
            </w:r>
            <w:r>
              <w:rPr>
                <w:rFonts w:hint="default" w:ascii="Times New Roman" w:hAnsi="Times New Roman" w:eastAsia="宋体" w:cs="Times New Roman"/>
                <w:color w:val="auto"/>
                <w:sz w:val="24"/>
                <w:highlight w:val="none"/>
                <w:lang w:val="en-US" w:eastAsia="zh-CN"/>
              </w:rPr>
              <w:t>防渗要求，对</w:t>
            </w:r>
            <w:r>
              <w:rPr>
                <w:rFonts w:hint="eastAsia" w:eastAsia="宋体" w:cs="Times New Roman"/>
                <w:color w:val="auto"/>
                <w:sz w:val="24"/>
                <w:highlight w:val="none"/>
                <w:lang w:val="en-US" w:eastAsia="zh-CN"/>
              </w:rPr>
              <w:t>废润滑油</w:t>
            </w:r>
            <w:r>
              <w:rPr>
                <w:rFonts w:hint="default" w:ascii="Times New Roman" w:hAnsi="Times New Roman" w:eastAsia="宋体" w:cs="Times New Roman"/>
                <w:color w:val="auto"/>
                <w:sz w:val="24"/>
                <w:highlight w:val="none"/>
                <w:lang w:val="en-US" w:eastAsia="zh-CN"/>
              </w:rPr>
              <w:t>设置防渗漏托盘、定期检查清运，配备灭火器等消防器材并定期检查更换。</w:t>
            </w:r>
          </w:p>
          <w:p w14:paraId="2F8123EC">
            <w:pPr>
              <w:pStyle w:val="27"/>
              <w:spacing w:line="360" w:lineRule="auto"/>
              <w:ind w:firstLine="480" w:firstLineChars="200"/>
              <w:rPr>
                <w:rFonts w:hint="default" w:ascii="Times New Roman" w:hAnsi="Times New Roman" w:cs="Times New Roman"/>
                <w:color w:val="auto"/>
                <w:sz w:val="24"/>
                <w:highlight w:val="none"/>
                <w:lang w:val="en-US" w:eastAsia="zh-CN"/>
              </w:rPr>
            </w:pPr>
            <w:r>
              <w:rPr>
                <w:rFonts w:hint="eastAsia" w:ascii="宋体" w:hAnsi="宋体" w:eastAsia="宋体" w:cs="宋体"/>
                <w:color w:val="auto"/>
                <w:sz w:val="24"/>
                <w:highlight w:val="none"/>
                <w:lang w:val="en-US" w:eastAsia="zh-CN"/>
              </w:rPr>
              <w:t>③</w:t>
            </w:r>
            <w:r>
              <w:rPr>
                <w:rFonts w:hint="eastAsia" w:ascii="Times New Roman" w:hAnsi="Times New Roman" w:cs="Times New Roman"/>
                <w:color w:val="auto"/>
                <w:sz w:val="24"/>
                <w:highlight w:val="none"/>
                <w:lang w:val="en-US" w:eastAsia="zh-CN"/>
              </w:rPr>
              <w:t>突发环境事件应急预案修编及演练</w:t>
            </w:r>
          </w:p>
          <w:p w14:paraId="23E311AF">
            <w:pPr>
              <w:pStyle w:val="27"/>
              <w:spacing w:line="360" w:lineRule="auto"/>
              <w:ind w:firstLine="480" w:firstLineChars="200"/>
              <w:rPr>
                <w:rFonts w:hint="eastAsia" w:ascii="Times New Roman" w:hAnsi="Times New Roman"/>
                <w:color w:val="auto"/>
                <w:kern w:val="0"/>
                <w:sz w:val="24"/>
                <w:highlight w:val="none"/>
                <w:lang w:val="en-US" w:eastAsia="zh-CN"/>
              </w:rPr>
            </w:pPr>
            <w:r>
              <w:rPr>
                <w:rFonts w:hint="eastAsia" w:ascii="Times New Roman" w:hAnsi="Times New Roman"/>
                <w:color w:val="auto"/>
                <w:kern w:val="0"/>
                <w:sz w:val="24"/>
                <w:highlight w:val="none"/>
                <w:lang w:val="en-US" w:eastAsia="zh-CN"/>
              </w:rPr>
              <w:t>企业应按照要求适时修编突发环境事件应急预案，将本项目环境风险源纳入全厂环境风险管理当中，并报环保主管部门备案。同时，厂区应定期开展环境安全隐患排查，进行应急物资储备，并组织应急培训和演练，积极防范各类风险事故的发生，定期进行风险事故应急演练并进行存档记录。</w:t>
            </w:r>
          </w:p>
          <w:p w14:paraId="3C8CBDAA">
            <w:pPr>
              <w:widowControl/>
              <w:numPr>
                <w:ilvl w:val="0"/>
                <w:numId w:val="0"/>
              </w:numPr>
              <w:adjustRightInd w:val="0"/>
              <w:spacing w:line="360" w:lineRule="auto"/>
              <w:ind w:leftChars="0" w:firstLine="482" w:firstLineChars="200"/>
              <w:jc w:val="left"/>
              <w:textAlignment w:val="baseline"/>
              <w:outlineLvl w:val="1"/>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（5）环境风险</w:t>
            </w:r>
            <w:r>
              <w:rPr>
                <w:rFonts w:hint="eastAsia" w:cs="Times New Roman"/>
                <w:b/>
                <w:bCs/>
                <w:color w:val="auto"/>
                <w:sz w:val="24"/>
                <w:highlight w:val="none"/>
                <w:lang w:val="en-US" w:eastAsia="zh-CN"/>
              </w:rPr>
              <w:t>评估</w:t>
            </w:r>
            <w:r>
              <w:rPr>
                <w:rFonts w:hint="default" w:ascii="Times New Roman" w:hAnsi="Times New Roman" w:eastAsia="宋体" w:cs="Times New Roman"/>
                <w:b/>
                <w:bCs/>
                <w:color w:val="auto"/>
                <w:sz w:val="24"/>
                <w:highlight w:val="none"/>
                <w:lang w:val="en-US" w:eastAsia="zh-CN"/>
              </w:rPr>
              <w:t>结论</w:t>
            </w:r>
          </w:p>
          <w:p w14:paraId="148E2DBE">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项目主要环境风险为</w:t>
            </w:r>
            <w:r>
              <w:rPr>
                <w:rFonts w:hint="eastAsia" w:ascii="Times New Roman" w:hAnsi="Times New Roman" w:eastAsia="宋体" w:cs="Times New Roman"/>
                <w:color w:val="auto"/>
                <w:sz w:val="24"/>
                <w:highlight w:val="none"/>
                <w:lang w:val="en-US" w:eastAsia="zh-CN"/>
              </w:rPr>
              <w:t>废润滑油</w:t>
            </w:r>
            <w:r>
              <w:rPr>
                <w:rFonts w:hint="eastAsia" w:cs="Times New Roman"/>
                <w:color w:val="auto"/>
                <w:sz w:val="24"/>
                <w:highlight w:val="none"/>
                <w:lang w:val="en-US" w:eastAsia="zh-CN"/>
              </w:rPr>
              <w:t>和润滑油</w:t>
            </w:r>
            <w:r>
              <w:rPr>
                <w:rFonts w:hint="default" w:ascii="Times New Roman" w:hAnsi="Times New Roman" w:eastAsia="宋体" w:cs="Times New Roman"/>
                <w:color w:val="auto"/>
                <w:sz w:val="24"/>
                <w:highlight w:val="none"/>
                <w:lang w:val="en-US" w:eastAsia="zh-CN"/>
              </w:rPr>
              <w:t>储存、转运过程存在的风险。项目风险事故防范措施齐全、泄漏风险事故</w:t>
            </w:r>
            <w:r>
              <w:rPr>
                <w:rFonts w:hint="eastAsia" w:ascii="Times New Roman" w:hAnsi="Times New Roman" w:eastAsia="宋体" w:cs="Times New Roman"/>
                <w:color w:val="auto"/>
                <w:sz w:val="24"/>
                <w:highlight w:val="none"/>
                <w:lang w:val="en-US" w:eastAsia="zh-CN"/>
              </w:rPr>
              <w:t>发生概率较小</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一旦</w:t>
            </w:r>
            <w:r>
              <w:rPr>
                <w:rFonts w:hint="default" w:ascii="Times New Roman" w:hAnsi="Times New Roman" w:eastAsia="宋体" w:cs="Times New Roman"/>
                <w:color w:val="auto"/>
                <w:sz w:val="24"/>
                <w:highlight w:val="none"/>
                <w:lang w:val="en-US" w:eastAsia="zh-CN"/>
              </w:rPr>
              <w:t>发生风险事故后</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通过立即启动</w:t>
            </w:r>
            <w:r>
              <w:rPr>
                <w:rFonts w:hint="eastAsia" w:ascii="Times New Roman" w:hAnsi="Times New Roman" w:eastAsia="宋体" w:cs="Times New Roman"/>
                <w:color w:val="auto"/>
                <w:sz w:val="24"/>
                <w:highlight w:val="none"/>
                <w:lang w:val="en-US" w:eastAsia="zh-CN"/>
              </w:rPr>
              <w:t>突发环境事件</w:t>
            </w:r>
            <w:r>
              <w:rPr>
                <w:rFonts w:hint="default" w:ascii="Times New Roman" w:hAnsi="Times New Roman" w:eastAsia="宋体" w:cs="Times New Roman"/>
                <w:color w:val="auto"/>
                <w:sz w:val="24"/>
                <w:highlight w:val="none"/>
                <w:lang w:val="en-US" w:eastAsia="zh-CN"/>
              </w:rPr>
              <w:t>应急预案</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可以确保事故不扩大</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不会对建设</w:t>
            </w:r>
            <w:r>
              <w:rPr>
                <w:rFonts w:hint="eastAsia" w:ascii="Times New Roman" w:hAnsi="Times New Roman" w:eastAsia="宋体" w:cs="Times New Roman"/>
                <w:color w:val="auto"/>
                <w:sz w:val="24"/>
                <w:highlight w:val="none"/>
                <w:lang w:val="en-US" w:eastAsia="zh-CN"/>
              </w:rPr>
              <w:t>项目所在地</w:t>
            </w:r>
            <w:r>
              <w:rPr>
                <w:rFonts w:hint="default" w:ascii="Times New Roman" w:hAnsi="Times New Roman" w:eastAsia="宋体" w:cs="Times New Roman"/>
                <w:color w:val="auto"/>
                <w:sz w:val="24"/>
                <w:highlight w:val="none"/>
                <w:lang w:val="en-US" w:eastAsia="zh-CN"/>
              </w:rPr>
              <w:t>环境造成较大危害。项目建设从环境风险角度分析可行。</w:t>
            </w:r>
          </w:p>
          <w:p w14:paraId="7C9D6329">
            <w:pPr>
              <w:widowControl/>
              <w:numPr>
                <w:ilvl w:val="0"/>
                <w:numId w:val="0"/>
              </w:numPr>
              <w:adjustRightInd w:val="0"/>
              <w:spacing w:line="360" w:lineRule="auto"/>
              <w:jc w:val="left"/>
              <w:textAlignment w:val="baseline"/>
              <w:outlineLvl w:val="1"/>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八</w:t>
            </w:r>
            <w:r>
              <w:rPr>
                <w:rFonts w:hint="eastAsia" w:ascii="Times New Roman" w:hAnsi="Times New Roman" w:eastAsia="宋体" w:cs="Times New Roman"/>
                <w:b/>
                <w:bCs/>
                <w:color w:val="auto"/>
                <w:sz w:val="24"/>
                <w:highlight w:val="none"/>
                <w:lang w:val="en-US" w:eastAsia="zh-CN"/>
              </w:rPr>
              <w:t>、环保投资估算</w:t>
            </w:r>
          </w:p>
          <w:p w14:paraId="5366F624">
            <w:pPr>
              <w:widowControl/>
              <w:numPr>
                <w:ilvl w:val="0"/>
                <w:numId w:val="0"/>
              </w:numPr>
              <w:adjustRightInd w:val="0"/>
              <w:spacing w:line="360" w:lineRule="auto"/>
              <w:ind w:leftChars="0" w:firstLine="480" w:firstLineChars="200"/>
              <w:jc w:val="left"/>
              <w:textAlignment w:val="baseline"/>
              <w:outlineLvl w:val="1"/>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本项目总投资</w:t>
            </w:r>
            <w:r>
              <w:rPr>
                <w:rFonts w:hint="eastAsia" w:cs="Times New Roman"/>
                <w:color w:val="auto"/>
                <w:sz w:val="24"/>
                <w:highlight w:val="none"/>
                <w:lang w:val="en-US" w:eastAsia="zh-CN"/>
              </w:rPr>
              <w:t>为1240.13</w:t>
            </w:r>
            <w:r>
              <w:rPr>
                <w:rFonts w:hint="eastAsia" w:ascii="Times New Roman" w:hAnsi="Times New Roman" w:eastAsia="宋体" w:cs="Times New Roman"/>
                <w:color w:val="auto"/>
                <w:sz w:val="24"/>
                <w:highlight w:val="none"/>
                <w:lang w:val="en-US" w:eastAsia="zh-CN"/>
              </w:rPr>
              <w:t>万元，其中环保投资为</w:t>
            </w:r>
            <w:r>
              <w:rPr>
                <w:rFonts w:hint="eastAsia" w:cs="Times New Roman"/>
                <w:color w:val="auto"/>
                <w:sz w:val="24"/>
                <w:highlight w:val="none"/>
                <w:lang w:val="en-US" w:eastAsia="zh-CN"/>
              </w:rPr>
              <w:t>148</w:t>
            </w:r>
            <w:r>
              <w:rPr>
                <w:rFonts w:hint="eastAsia" w:ascii="Times New Roman" w:hAnsi="Times New Roman" w:eastAsia="宋体" w:cs="Times New Roman"/>
                <w:color w:val="auto"/>
                <w:sz w:val="24"/>
                <w:highlight w:val="none"/>
                <w:lang w:val="en-US" w:eastAsia="zh-CN"/>
              </w:rPr>
              <w:t>万元，占总投资的</w:t>
            </w:r>
            <w:r>
              <w:rPr>
                <w:rFonts w:hint="eastAsia" w:cs="Times New Roman"/>
                <w:color w:val="auto"/>
                <w:sz w:val="24"/>
                <w:highlight w:val="none"/>
                <w:lang w:val="en-US" w:eastAsia="zh-CN"/>
              </w:rPr>
              <w:t>11.93</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具体环保投资内容</w:t>
            </w:r>
            <w:r>
              <w:rPr>
                <w:rFonts w:hint="default" w:ascii="Times New Roman" w:hAnsi="Times New Roman" w:eastAsia="宋体" w:cs="Times New Roman"/>
                <w:color w:val="auto"/>
                <w:sz w:val="24"/>
                <w:highlight w:val="none"/>
                <w:lang w:val="en-US" w:eastAsia="zh-CN"/>
              </w:rPr>
              <w:t>见下表</w:t>
            </w:r>
            <w:r>
              <w:rPr>
                <w:rFonts w:hint="eastAsia"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19</w:t>
            </w:r>
            <w:r>
              <w:rPr>
                <w:rFonts w:hint="default" w:ascii="Times New Roman" w:hAnsi="Times New Roman" w:eastAsia="宋体" w:cs="Times New Roman"/>
                <w:color w:val="auto"/>
                <w:sz w:val="24"/>
                <w:highlight w:val="none"/>
                <w:lang w:val="en-US" w:eastAsia="zh-CN"/>
              </w:rPr>
              <w:t>。</w:t>
            </w:r>
          </w:p>
          <w:p w14:paraId="254C98C6">
            <w:pPr>
              <w:widowControl/>
              <w:numPr>
                <w:ilvl w:val="0"/>
                <w:numId w:val="0"/>
              </w:numPr>
              <w:adjustRightInd w:val="0"/>
              <w:spacing w:line="240" w:lineRule="auto"/>
              <w:ind w:leftChars="0" w:firstLine="422" w:firstLineChars="200"/>
              <w:jc w:val="center"/>
              <w:textAlignment w:val="baseline"/>
              <w:outlineLvl w:val="1"/>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19</w:t>
            </w:r>
            <w:r>
              <w:rPr>
                <w:rFonts w:hint="default" w:ascii="Times New Roman" w:hAnsi="Times New Roman" w:eastAsia="宋体" w:cs="Times New Roman"/>
                <w:b/>
                <w:bCs/>
                <w:color w:val="auto"/>
                <w:sz w:val="21"/>
                <w:szCs w:val="21"/>
                <w:highlight w:val="none"/>
                <w:lang w:val="en-US" w:eastAsia="zh-CN"/>
              </w:rPr>
              <w:t xml:space="preserve">  环保</w:t>
            </w:r>
            <w:r>
              <w:rPr>
                <w:rFonts w:hint="eastAsia" w:ascii="Times New Roman" w:hAnsi="Times New Roman" w:eastAsia="宋体" w:cs="Times New Roman"/>
                <w:b/>
                <w:bCs/>
                <w:color w:val="auto"/>
                <w:sz w:val="21"/>
                <w:szCs w:val="21"/>
                <w:highlight w:val="none"/>
                <w:lang w:val="en-US" w:eastAsia="zh-CN"/>
              </w:rPr>
              <w:t>投资</w:t>
            </w:r>
            <w:r>
              <w:rPr>
                <w:rFonts w:hint="default" w:ascii="Times New Roman" w:hAnsi="Times New Roman" w:eastAsia="宋体" w:cs="Times New Roman"/>
                <w:b/>
                <w:bCs/>
                <w:color w:val="auto"/>
                <w:sz w:val="21"/>
                <w:szCs w:val="21"/>
                <w:highlight w:val="none"/>
                <w:lang w:val="en-US" w:eastAsia="zh-CN"/>
              </w:rPr>
              <w:t>一览表</w:t>
            </w:r>
          </w:p>
          <w:tbl>
            <w:tblPr>
              <w:tblStyle w:val="19"/>
              <w:tblW w:w="83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7"/>
              <w:gridCol w:w="739"/>
              <w:gridCol w:w="1840"/>
              <w:gridCol w:w="3469"/>
              <w:gridCol w:w="692"/>
              <w:gridCol w:w="870"/>
            </w:tblGrid>
            <w:tr w14:paraId="467413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58" w:type="pct"/>
                  <w:tcBorders>
                    <w:tl2br w:val="nil"/>
                    <w:tr2bl w:val="nil"/>
                  </w:tcBorders>
                  <w:noWrap w:val="0"/>
                  <w:vAlign w:val="center"/>
                </w:tcPr>
                <w:p w14:paraId="71AA8FD7">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441" w:type="pct"/>
                  <w:tcBorders>
                    <w:tl2br w:val="nil"/>
                    <w:tr2bl w:val="nil"/>
                  </w:tcBorders>
                  <w:noWrap w:val="0"/>
                  <w:vAlign w:val="center"/>
                </w:tcPr>
                <w:p w14:paraId="254FD35D">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分类</w:t>
                  </w:r>
                </w:p>
              </w:tc>
              <w:tc>
                <w:tcPr>
                  <w:tcW w:w="1098" w:type="pct"/>
                  <w:tcBorders>
                    <w:tl2br w:val="nil"/>
                    <w:tr2bl w:val="nil"/>
                  </w:tcBorders>
                  <w:noWrap w:val="0"/>
                  <w:vAlign w:val="center"/>
                </w:tcPr>
                <w:p w14:paraId="424E6042">
                  <w:pPr>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污染工序</w:t>
                  </w:r>
                </w:p>
              </w:tc>
              <w:tc>
                <w:tcPr>
                  <w:tcW w:w="2070" w:type="pct"/>
                  <w:tcBorders>
                    <w:tl2br w:val="nil"/>
                    <w:tr2bl w:val="nil"/>
                  </w:tcBorders>
                  <w:noWrap w:val="0"/>
                  <w:vAlign w:val="center"/>
                </w:tcPr>
                <w:p w14:paraId="2A55B616">
                  <w:pPr>
                    <w:jc w:val="center"/>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治理设施</w:t>
                  </w:r>
                </w:p>
              </w:tc>
              <w:tc>
                <w:tcPr>
                  <w:tcW w:w="411" w:type="pct"/>
                  <w:tcBorders>
                    <w:tl2br w:val="nil"/>
                    <w:tr2bl w:val="nil"/>
                  </w:tcBorders>
                  <w:noWrap w:val="0"/>
                  <w:vAlign w:val="center"/>
                </w:tcPr>
                <w:p w14:paraId="03D82E6B">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数量</w:t>
                  </w:r>
                </w:p>
              </w:tc>
              <w:tc>
                <w:tcPr>
                  <w:tcW w:w="519" w:type="pct"/>
                  <w:tcBorders>
                    <w:tl2br w:val="nil"/>
                    <w:tr2bl w:val="nil"/>
                  </w:tcBorders>
                  <w:noWrap w:val="0"/>
                  <w:vAlign w:val="center"/>
                </w:tcPr>
                <w:p w14:paraId="5BEF2995">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投资</w:t>
                  </w:r>
                </w:p>
                <w:p w14:paraId="0D63C3D8">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（万元）</w:t>
                  </w:r>
                </w:p>
              </w:tc>
            </w:tr>
            <w:tr w14:paraId="4B8AF9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458" w:type="pct"/>
                  <w:vMerge w:val="restart"/>
                  <w:tcBorders>
                    <w:tl2br w:val="nil"/>
                    <w:tr2bl w:val="nil"/>
                  </w:tcBorders>
                  <w:noWrap w:val="0"/>
                  <w:vAlign w:val="center"/>
                </w:tcPr>
                <w:p w14:paraId="03E50FB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441" w:type="pct"/>
                  <w:vMerge w:val="restart"/>
                  <w:tcBorders>
                    <w:tl2br w:val="nil"/>
                    <w:tr2bl w:val="nil"/>
                  </w:tcBorders>
                  <w:noWrap w:val="0"/>
                  <w:vAlign w:val="center"/>
                </w:tcPr>
                <w:p w14:paraId="62EB8F1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废气</w:t>
                  </w:r>
                </w:p>
              </w:tc>
              <w:tc>
                <w:tcPr>
                  <w:tcW w:w="1098" w:type="pct"/>
                  <w:tcBorders>
                    <w:tl2br w:val="nil"/>
                    <w:tr2bl w:val="nil"/>
                  </w:tcBorders>
                  <w:noWrap w:val="0"/>
                  <w:vAlign w:val="center"/>
                </w:tcPr>
                <w:p w14:paraId="207B34A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筛分粉尘</w:t>
                  </w:r>
                </w:p>
              </w:tc>
              <w:tc>
                <w:tcPr>
                  <w:tcW w:w="2070" w:type="pct"/>
                  <w:tcBorders>
                    <w:tl2br w:val="nil"/>
                    <w:tr2bl w:val="nil"/>
                  </w:tcBorders>
                  <w:noWrap w:val="0"/>
                  <w:vAlign w:val="center"/>
                </w:tcPr>
                <w:p w14:paraId="556B2EBF">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脉冲式布袋除尘器+1根15m排气筒（离地高度）</w:t>
                  </w:r>
                </w:p>
              </w:tc>
              <w:tc>
                <w:tcPr>
                  <w:tcW w:w="411" w:type="pct"/>
                  <w:tcBorders>
                    <w:tl2br w:val="nil"/>
                    <w:tr2bl w:val="nil"/>
                  </w:tcBorders>
                  <w:noWrap w:val="0"/>
                  <w:vAlign w:val="center"/>
                </w:tcPr>
                <w:p w14:paraId="46A6BC83">
                  <w:pPr>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套</w:t>
                  </w:r>
                </w:p>
              </w:tc>
              <w:tc>
                <w:tcPr>
                  <w:tcW w:w="519" w:type="pct"/>
                  <w:tcBorders>
                    <w:tl2br w:val="nil"/>
                    <w:tr2bl w:val="nil"/>
                  </w:tcBorders>
                  <w:noWrap w:val="0"/>
                  <w:vAlign w:val="center"/>
                </w:tcPr>
                <w:p w14:paraId="30AB0D9B">
                  <w:pPr>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r>
            <w:tr w14:paraId="0ED140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458" w:type="pct"/>
                  <w:vMerge w:val="continue"/>
                  <w:tcBorders>
                    <w:tl2br w:val="nil"/>
                    <w:tr2bl w:val="nil"/>
                  </w:tcBorders>
                  <w:noWrap w:val="0"/>
                  <w:vAlign w:val="center"/>
                </w:tcPr>
                <w:p w14:paraId="1D07A3C2">
                  <w:pPr>
                    <w:jc w:val="center"/>
                    <w:rPr>
                      <w:rFonts w:hint="default" w:ascii="Times New Roman" w:hAnsi="Times New Roman" w:cs="Times New Roman"/>
                      <w:color w:val="auto"/>
                      <w:sz w:val="21"/>
                      <w:szCs w:val="21"/>
                      <w:highlight w:val="none"/>
                      <w:lang w:val="en-US" w:eastAsia="zh-CN"/>
                    </w:rPr>
                  </w:pPr>
                </w:p>
              </w:tc>
              <w:tc>
                <w:tcPr>
                  <w:tcW w:w="441" w:type="pct"/>
                  <w:vMerge w:val="continue"/>
                  <w:tcBorders>
                    <w:tl2br w:val="nil"/>
                    <w:tr2bl w:val="nil"/>
                  </w:tcBorders>
                  <w:noWrap w:val="0"/>
                  <w:vAlign w:val="center"/>
                </w:tcPr>
                <w:p w14:paraId="25C41581">
                  <w:pPr>
                    <w:jc w:val="center"/>
                    <w:rPr>
                      <w:rFonts w:hint="default" w:ascii="Times New Roman" w:hAnsi="Times New Roman" w:cs="Times New Roman"/>
                      <w:color w:val="auto"/>
                      <w:sz w:val="21"/>
                      <w:szCs w:val="21"/>
                      <w:highlight w:val="none"/>
                      <w:lang w:val="en-US" w:eastAsia="zh-CN"/>
                    </w:rPr>
                  </w:pPr>
                </w:p>
              </w:tc>
              <w:tc>
                <w:tcPr>
                  <w:tcW w:w="1098" w:type="pct"/>
                  <w:tcBorders>
                    <w:tl2br w:val="nil"/>
                    <w:tr2bl w:val="nil"/>
                  </w:tcBorders>
                  <w:noWrap w:val="0"/>
                  <w:vAlign w:val="center"/>
                </w:tcPr>
                <w:p w14:paraId="25C201C1">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机制砂输送</w:t>
                  </w:r>
                </w:p>
              </w:tc>
              <w:tc>
                <w:tcPr>
                  <w:tcW w:w="2070" w:type="pct"/>
                  <w:tcBorders>
                    <w:tl2br w:val="nil"/>
                    <w:tr2bl w:val="nil"/>
                  </w:tcBorders>
                  <w:noWrap w:val="0"/>
                  <w:vAlign w:val="center"/>
                </w:tcPr>
                <w:p w14:paraId="36DDC29C">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脉冲式布袋除尘器+1根15m排气筒（离地高度）</w:t>
                  </w:r>
                </w:p>
              </w:tc>
              <w:tc>
                <w:tcPr>
                  <w:tcW w:w="411" w:type="pct"/>
                  <w:tcBorders>
                    <w:tl2br w:val="nil"/>
                    <w:tr2bl w:val="nil"/>
                  </w:tcBorders>
                  <w:noWrap w:val="0"/>
                  <w:vAlign w:val="center"/>
                </w:tcPr>
                <w:p w14:paraId="39F30151">
                  <w:pPr>
                    <w:snapToGrid w:val="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套</w:t>
                  </w:r>
                </w:p>
              </w:tc>
              <w:tc>
                <w:tcPr>
                  <w:tcW w:w="519" w:type="pct"/>
                  <w:tcBorders>
                    <w:tl2br w:val="nil"/>
                    <w:tr2bl w:val="nil"/>
                  </w:tcBorders>
                  <w:noWrap w:val="0"/>
                  <w:vAlign w:val="center"/>
                </w:tcPr>
                <w:p w14:paraId="60AC4B8D">
                  <w:pPr>
                    <w:snapToGrid w:val="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r>
            <w:tr w14:paraId="4751FE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458" w:type="pct"/>
                  <w:vMerge w:val="continue"/>
                  <w:tcBorders>
                    <w:tl2br w:val="nil"/>
                    <w:tr2bl w:val="nil"/>
                  </w:tcBorders>
                  <w:noWrap w:val="0"/>
                  <w:vAlign w:val="center"/>
                </w:tcPr>
                <w:p w14:paraId="6F32BE4B">
                  <w:pPr>
                    <w:jc w:val="center"/>
                    <w:rPr>
                      <w:rFonts w:hint="default" w:ascii="Times New Roman" w:hAnsi="Times New Roman" w:cs="Times New Roman"/>
                      <w:color w:val="auto"/>
                      <w:sz w:val="21"/>
                      <w:szCs w:val="21"/>
                      <w:highlight w:val="none"/>
                      <w:lang w:val="en-US" w:eastAsia="zh-CN"/>
                    </w:rPr>
                  </w:pPr>
                </w:p>
              </w:tc>
              <w:tc>
                <w:tcPr>
                  <w:tcW w:w="441" w:type="pct"/>
                  <w:vMerge w:val="continue"/>
                  <w:tcBorders>
                    <w:tl2br w:val="nil"/>
                    <w:tr2bl w:val="nil"/>
                  </w:tcBorders>
                  <w:noWrap w:val="0"/>
                  <w:vAlign w:val="center"/>
                </w:tcPr>
                <w:p w14:paraId="0D27884D">
                  <w:pPr>
                    <w:jc w:val="both"/>
                    <w:rPr>
                      <w:rFonts w:hint="default" w:ascii="Times New Roman" w:hAnsi="Times New Roman" w:cs="Times New Roman"/>
                      <w:color w:val="auto"/>
                      <w:sz w:val="21"/>
                      <w:szCs w:val="21"/>
                      <w:highlight w:val="none"/>
                      <w:lang w:val="en-US" w:eastAsia="zh-CN"/>
                    </w:rPr>
                  </w:pPr>
                </w:p>
              </w:tc>
              <w:tc>
                <w:tcPr>
                  <w:tcW w:w="1098" w:type="pct"/>
                  <w:tcBorders>
                    <w:tl2br w:val="nil"/>
                    <w:tr2bl w:val="nil"/>
                  </w:tcBorders>
                  <w:noWrap w:val="0"/>
                  <w:vAlign w:val="center"/>
                </w:tcPr>
                <w:p w14:paraId="095F0A38">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物料混合搅拌</w:t>
                  </w:r>
                </w:p>
                <w:p w14:paraId="58825E4B">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粉尘</w:t>
                  </w:r>
                </w:p>
              </w:tc>
              <w:tc>
                <w:tcPr>
                  <w:tcW w:w="2070" w:type="pct"/>
                  <w:tcBorders>
                    <w:tl2br w:val="nil"/>
                    <w:tr2bl w:val="nil"/>
                  </w:tcBorders>
                  <w:noWrap w:val="0"/>
                  <w:vAlign w:val="center"/>
                </w:tcPr>
                <w:p w14:paraId="26D55D15">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脉冲式布袋除尘器</w:t>
                  </w:r>
                </w:p>
              </w:tc>
              <w:tc>
                <w:tcPr>
                  <w:tcW w:w="411" w:type="pct"/>
                  <w:tcBorders>
                    <w:tl2br w:val="nil"/>
                    <w:tr2bl w:val="nil"/>
                  </w:tcBorders>
                  <w:noWrap w:val="0"/>
                  <w:vAlign w:val="center"/>
                </w:tcPr>
                <w:p w14:paraId="1EB8DAF4">
                  <w:pPr>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2套</w:t>
                  </w:r>
                </w:p>
              </w:tc>
              <w:tc>
                <w:tcPr>
                  <w:tcW w:w="519" w:type="pct"/>
                  <w:tcBorders>
                    <w:tl2br w:val="nil"/>
                    <w:tr2bl w:val="nil"/>
                  </w:tcBorders>
                  <w:noWrap w:val="0"/>
                  <w:vAlign w:val="center"/>
                </w:tcPr>
                <w:p w14:paraId="6E6CC50C">
                  <w:pPr>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30.0</w:t>
                  </w:r>
                </w:p>
              </w:tc>
            </w:tr>
            <w:tr w14:paraId="1A0AB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458" w:type="pct"/>
                  <w:vMerge w:val="continue"/>
                  <w:tcBorders>
                    <w:tl2br w:val="nil"/>
                    <w:tr2bl w:val="nil"/>
                  </w:tcBorders>
                  <w:noWrap w:val="0"/>
                  <w:vAlign w:val="center"/>
                </w:tcPr>
                <w:p w14:paraId="39614CCA">
                  <w:pPr>
                    <w:jc w:val="center"/>
                    <w:rPr>
                      <w:color w:val="auto"/>
                      <w:highlight w:val="none"/>
                    </w:rPr>
                  </w:pPr>
                </w:p>
              </w:tc>
              <w:tc>
                <w:tcPr>
                  <w:tcW w:w="441" w:type="pct"/>
                  <w:vMerge w:val="continue"/>
                  <w:tcBorders>
                    <w:tl2br w:val="nil"/>
                    <w:tr2bl w:val="nil"/>
                  </w:tcBorders>
                  <w:noWrap w:val="0"/>
                  <w:vAlign w:val="center"/>
                </w:tcPr>
                <w:p w14:paraId="251F8D6E">
                  <w:pPr>
                    <w:jc w:val="center"/>
                    <w:rPr>
                      <w:color w:val="auto"/>
                      <w:highlight w:val="none"/>
                    </w:rPr>
                  </w:pPr>
                </w:p>
              </w:tc>
              <w:tc>
                <w:tcPr>
                  <w:tcW w:w="1098" w:type="pct"/>
                  <w:tcBorders>
                    <w:tl2br w:val="nil"/>
                    <w:tr2bl w:val="nil"/>
                  </w:tcBorders>
                  <w:noWrap w:val="0"/>
                  <w:vAlign w:val="center"/>
                </w:tcPr>
                <w:p w14:paraId="6A4AB806">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投料粉尘</w:t>
                  </w:r>
                </w:p>
              </w:tc>
              <w:tc>
                <w:tcPr>
                  <w:tcW w:w="2070" w:type="pct"/>
                  <w:tcBorders>
                    <w:tl2br w:val="nil"/>
                    <w:tr2bl w:val="nil"/>
                  </w:tcBorders>
                  <w:noWrap w:val="0"/>
                  <w:vAlign w:val="center"/>
                </w:tcPr>
                <w:p w14:paraId="52B205D3">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脉冲式布袋除尘器</w:t>
                  </w:r>
                </w:p>
              </w:tc>
              <w:tc>
                <w:tcPr>
                  <w:tcW w:w="411" w:type="pct"/>
                  <w:tcBorders>
                    <w:tl2br w:val="nil"/>
                    <w:tr2bl w:val="nil"/>
                  </w:tcBorders>
                  <w:noWrap w:val="0"/>
                  <w:vAlign w:val="center"/>
                </w:tcPr>
                <w:p w14:paraId="5583F9C3">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1套</w:t>
                  </w:r>
                </w:p>
              </w:tc>
              <w:tc>
                <w:tcPr>
                  <w:tcW w:w="519" w:type="pct"/>
                  <w:tcBorders>
                    <w:tl2br w:val="nil"/>
                    <w:tr2bl w:val="nil"/>
                  </w:tcBorders>
                  <w:noWrap w:val="0"/>
                  <w:vAlign w:val="center"/>
                </w:tcPr>
                <w:p w14:paraId="761EB424">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r>
            <w:tr w14:paraId="00B345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458" w:type="pct"/>
                  <w:vMerge w:val="continue"/>
                  <w:tcBorders>
                    <w:tl2br w:val="nil"/>
                    <w:tr2bl w:val="nil"/>
                  </w:tcBorders>
                  <w:noWrap w:val="0"/>
                  <w:vAlign w:val="center"/>
                </w:tcPr>
                <w:p w14:paraId="2095B556">
                  <w:pPr>
                    <w:jc w:val="center"/>
                    <w:rPr>
                      <w:rFonts w:hint="default" w:ascii="Times New Roman" w:hAnsi="Times New Roman" w:cs="Times New Roman"/>
                      <w:color w:val="auto"/>
                      <w:sz w:val="21"/>
                      <w:szCs w:val="21"/>
                      <w:highlight w:val="none"/>
                      <w:lang w:val="en-US" w:eastAsia="zh-CN"/>
                    </w:rPr>
                  </w:pPr>
                </w:p>
              </w:tc>
              <w:tc>
                <w:tcPr>
                  <w:tcW w:w="441" w:type="pct"/>
                  <w:vMerge w:val="continue"/>
                  <w:tcBorders>
                    <w:tl2br w:val="nil"/>
                    <w:tr2bl w:val="nil"/>
                  </w:tcBorders>
                  <w:noWrap w:val="0"/>
                  <w:vAlign w:val="center"/>
                </w:tcPr>
                <w:p w14:paraId="1AEE35D4">
                  <w:pPr>
                    <w:jc w:val="center"/>
                    <w:rPr>
                      <w:rFonts w:hint="default" w:ascii="Times New Roman" w:hAnsi="Times New Roman" w:cs="Times New Roman"/>
                      <w:color w:val="auto"/>
                      <w:sz w:val="21"/>
                      <w:szCs w:val="21"/>
                      <w:highlight w:val="none"/>
                      <w:lang w:val="en-US" w:eastAsia="zh-CN"/>
                    </w:rPr>
                  </w:pPr>
                </w:p>
              </w:tc>
              <w:tc>
                <w:tcPr>
                  <w:tcW w:w="1098" w:type="pct"/>
                  <w:tcBorders>
                    <w:tl2br w:val="nil"/>
                    <w:tr2bl w:val="nil"/>
                  </w:tcBorders>
                  <w:noWrap w:val="0"/>
                  <w:vAlign w:val="center"/>
                </w:tcPr>
                <w:p w14:paraId="3B1B56DB">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筒仓呼吸性粉尘</w:t>
                  </w:r>
                </w:p>
              </w:tc>
              <w:tc>
                <w:tcPr>
                  <w:tcW w:w="2070" w:type="pct"/>
                  <w:tcBorders>
                    <w:tl2br w:val="nil"/>
                    <w:tr2bl w:val="nil"/>
                  </w:tcBorders>
                  <w:noWrap w:val="0"/>
                  <w:vAlign w:val="center"/>
                </w:tcPr>
                <w:p w14:paraId="1CADF82E">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仓顶脉冲式布袋除尘器</w:t>
                  </w:r>
                </w:p>
              </w:tc>
              <w:tc>
                <w:tcPr>
                  <w:tcW w:w="411" w:type="pct"/>
                  <w:tcBorders>
                    <w:tl2br w:val="nil"/>
                    <w:tr2bl w:val="nil"/>
                  </w:tcBorders>
                  <w:noWrap w:val="0"/>
                  <w:vAlign w:val="center"/>
                </w:tcPr>
                <w:p w14:paraId="08ECA1FE">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9套</w:t>
                  </w:r>
                </w:p>
              </w:tc>
              <w:tc>
                <w:tcPr>
                  <w:tcW w:w="519" w:type="pct"/>
                  <w:tcBorders>
                    <w:tl2br w:val="nil"/>
                    <w:tr2bl w:val="nil"/>
                  </w:tcBorders>
                  <w:noWrap w:val="0"/>
                  <w:vAlign w:val="center"/>
                </w:tcPr>
                <w:p w14:paraId="1E8BFC7E">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54</w:t>
                  </w:r>
                </w:p>
              </w:tc>
            </w:tr>
            <w:tr w14:paraId="441930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458" w:type="pct"/>
                  <w:vMerge w:val="continue"/>
                  <w:tcBorders>
                    <w:tl2br w:val="nil"/>
                    <w:tr2bl w:val="nil"/>
                  </w:tcBorders>
                  <w:noWrap w:val="0"/>
                  <w:vAlign w:val="center"/>
                </w:tcPr>
                <w:p w14:paraId="099ADF5D">
                  <w:pPr>
                    <w:jc w:val="center"/>
                    <w:rPr>
                      <w:rFonts w:hint="default" w:ascii="Times New Roman" w:hAnsi="Times New Roman" w:cs="Times New Roman"/>
                      <w:color w:val="auto"/>
                      <w:sz w:val="21"/>
                      <w:szCs w:val="21"/>
                      <w:highlight w:val="none"/>
                      <w:lang w:val="en-US" w:eastAsia="zh-CN"/>
                    </w:rPr>
                  </w:pPr>
                </w:p>
              </w:tc>
              <w:tc>
                <w:tcPr>
                  <w:tcW w:w="441" w:type="pct"/>
                  <w:vMerge w:val="continue"/>
                  <w:tcBorders>
                    <w:tl2br w:val="nil"/>
                    <w:tr2bl w:val="nil"/>
                  </w:tcBorders>
                  <w:noWrap w:val="0"/>
                  <w:vAlign w:val="center"/>
                </w:tcPr>
                <w:p w14:paraId="66E751DC">
                  <w:pPr>
                    <w:jc w:val="center"/>
                    <w:rPr>
                      <w:rFonts w:hint="default" w:ascii="Times New Roman" w:hAnsi="Times New Roman" w:cs="Times New Roman"/>
                      <w:color w:val="auto"/>
                      <w:sz w:val="21"/>
                      <w:szCs w:val="21"/>
                      <w:highlight w:val="none"/>
                      <w:lang w:val="en-US" w:eastAsia="zh-CN"/>
                    </w:rPr>
                  </w:pPr>
                </w:p>
              </w:tc>
              <w:tc>
                <w:tcPr>
                  <w:tcW w:w="1098" w:type="pct"/>
                  <w:tcBorders>
                    <w:tl2br w:val="nil"/>
                    <w:tr2bl w:val="nil"/>
                  </w:tcBorders>
                  <w:noWrap w:val="0"/>
                  <w:vAlign w:val="center"/>
                </w:tcPr>
                <w:p w14:paraId="765C2A7A">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散装粉尘</w:t>
                  </w:r>
                </w:p>
              </w:tc>
              <w:tc>
                <w:tcPr>
                  <w:tcW w:w="2070" w:type="pct"/>
                  <w:tcBorders>
                    <w:tl2br w:val="nil"/>
                    <w:tr2bl w:val="nil"/>
                  </w:tcBorders>
                  <w:noWrap w:val="0"/>
                  <w:vAlign w:val="center"/>
                </w:tcPr>
                <w:p w14:paraId="147DC8A8">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集气罩+脉冲式布袋除尘器</w:t>
                  </w:r>
                </w:p>
              </w:tc>
              <w:tc>
                <w:tcPr>
                  <w:tcW w:w="411" w:type="pct"/>
                  <w:tcBorders>
                    <w:tl2br w:val="nil"/>
                    <w:tr2bl w:val="nil"/>
                  </w:tcBorders>
                  <w:noWrap w:val="0"/>
                  <w:vAlign w:val="center"/>
                </w:tcPr>
                <w:p w14:paraId="57362FBE">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套</w:t>
                  </w:r>
                </w:p>
              </w:tc>
              <w:tc>
                <w:tcPr>
                  <w:tcW w:w="519" w:type="pct"/>
                  <w:tcBorders>
                    <w:tl2br w:val="nil"/>
                    <w:tr2bl w:val="nil"/>
                  </w:tcBorders>
                  <w:noWrap w:val="0"/>
                  <w:vAlign w:val="center"/>
                </w:tcPr>
                <w:p w14:paraId="0BD27235">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r>
            <w:tr w14:paraId="4FA42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58" w:type="pct"/>
                  <w:vMerge w:val="continue"/>
                  <w:tcBorders>
                    <w:tl2br w:val="nil"/>
                    <w:tr2bl w:val="nil"/>
                  </w:tcBorders>
                  <w:noWrap w:val="0"/>
                  <w:vAlign w:val="center"/>
                </w:tcPr>
                <w:p w14:paraId="359AF252">
                  <w:pPr>
                    <w:jc w:val="center"/>
                    <w:rPr>
                      <w:rFonts w:hint="default" w:ascii="Times New Roman" w:hAnsi="Times New Roman" w:cs="Times New Roman"/>
                      <w:color w:val="auto"/>
                      <w:sz w:val="21"/>
                      <w:szCs w:val="21"/>
                      <w:highlight w:val="none"/>
                      <w:lang w:val="en-US" w:eastAsia="zh-CN"/>
                    </w:rPr>
                  </w:pPr>
                </w:p>
              </w:tc>
              <w:tc>
                <w:tcPr>
                  <w:tcW w:w="441" w:type="pct"/>
                  <w:vMerge w:val="continue"/>
                  <w:tcBorders>
                    <w:tl2br w:val="nil"/>
                    <w:tr2bl w:val="nil"/>
                  </w:tcBorders>
                  <w:noWrap w:val="0"/>
                  <w:vAlign w:val="center"/>
                </w:tcPr>
                <w:p w14:paraId="74BA81F8">
                  <w:pPr>
                    <w:jc w:val="center"/>
                    <w:rPr>
                      <w:rFonts w:hint="default" w:ascii="Times New Roman" w:hAnsi="Times New Roman" w:cs="Times New Roman"/>
                      <w:color w:val="auto"/>
                      <w:sz w:val="21"/>
                      <w:szCs w:val="21"/>
                      <w:highlight w:val="none"/>
                      <w:lang w:val="en-US" w:eastAsia="zh-CN"/>
                    </w:rPr>
                  </w:pPr>
                </w:p>
              </w:tc>
              <w:tc>
                <w:tcPr>
                  <w:tcW w:w="1098" w:type="pct"/>
                  <w:tcBorders>
                    <w:tl2br w:val="nil"/>
                    <w:tr2bl w:val="nil"/>
                  </w:tcBorders>
                  <w:noWrap w:val="0"/>
                  <w:vAlign w:val="center"/>
                </w:tcPr>
                <w:p w14:paraId="5148B72E">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袋装粉尘</w:t>
                  </w:r>
                </w:p>
              </w:tc>
              <w:tc>
                <w:tcPr>
                  <w:tcW w:w="2070" w:type="pct"/>
                  <w:tcBorders>
                    <w:tl2br w:val="nil"/>
                    <w:tr2bl w:val="nil"/>
                  </w:tcBorders>
                  <w:noWrap w:val="0"/>
                  <w:vAlign w:val="center"/>
                </w:tcPr>
                <w:p w14:paraId="127FC095">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集气罩+脉冲式布袋除尘器</w:t>
                  </w:r>
                </w:p>
              </w:tc>
              <w:tc>
                <w:tcPr>
                  <w:tcW w:w="411" w:type="pct"/>
                  <w:tcBorders>
                    <w:tl2br w:val="nil"/>
                    <w:tr2bl w:val="nil"/>
                  </w:tcBorders>
                  <w:noWrap w:val="0"/>
                  <w:vAlign w:val="center"/>
                </w:tcPr>
                <w:p w14:paraId="5B05A3DE">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套</w:t>
                  </w:r>
                </w:p>
              </w:tc>
              <w:tc>
                <w:tcPr>
                  <w:tcW w:w="519" w:type="pct"/>
                  <w:tcBorders>
                    <w:tl2br w:val="nil"/>
                    <w:tr2bl w:val="nil"/>
                  </w:tcBorders>
                  <w:noWrap w:val="0"/>
                  <w:vAlign w:val="center"/>
                </w:tcPr>
                <w:p w14:paraId="61BA38D8">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r w14:paraId="45557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58" w:type="pct"/>
                  <w:tcBorders>
                    <w:tl2br w:val="nil"/>
                    <w:tr2bl w:val="nil"/>
                  </w:tcBorders>
                  <w:noWrap w:val="0"/>
                  <w:vAlign w:val="center"/>
                </w:tcPr>
                <w:p w14:paraId="65653BE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441" w:type="pct"/>
                  <w:tcBorders>
                    <w:tl2br w:val="nil"/>
                    <w:tr2bl w:val="nil"/>
                  </w:tcBorders>
                  <w:noWrap w:val="0"/>
                  <w:vAlign w:val="center"/>
                </w:tcPr>
                <w:p w14:paraId="5FE0805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098" w:type="pct"/>
                  <w:tcBorders>
                    <w:tl2br w:val="nil"/>
                    <w:tr2bl w:val="nil"/>
                  </w:tcBorders>
                  <w:noWrap w:val="0"/>
                  <w:vAlign w:val="center"/>
                </w:tcPr>
                <w:p w14:paraId="28253BBA">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车辆冲洗废水</w:t>
                  </w:r>
                </w:p>
              </w:tc>
              <w:tc>
                <w:tcPr>
                  <w:tcW w:w="2070" w:type="pct"/>
                  <w:tcBorders>
                    <w:tl2br w:val="nil"/>
                    <w:tr2bl w:val="nil"/>
                  </w:tcBorders>
                  <w:noWrap w:val="0"/>
                  <w:vAlign w:val="center"/>
                </w:tcPr>
                <w:p w14:paraId="11A7015F">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依托现有</w:t>
                  </w:r>
                  <w:r>
                    <w:rPr>
                      <w:rFonts w:hint="default" w:ascii="Times New Roman" w:hAnsi="Times New Roman" w:cs="Times New Roman"/>
                      <w:color w:val="auto"/>
                      <w:sz w:val="21"/>
                      <w:szCs w:val="21"/>
                      <w:highlight w:val="none"/>
                      <w:lang w:val="en-US" w:eastAsia="zh-CN"/>
                    </w:rPr>
                    <w:t>洗车台+沉淀池</w:t>
                  </w:r>
                </w:p>
              </w:tc>
              <w:tc>
                <w:tcPr>
                  <w:tcW w:w="411" w:type="pct"/>
                  <w:tcBorders>
                    <w:tl2br w:val="nil"/>
                    <w:tr2bl w:val="nil"/>
                  </w:tcBorders>
                  <w:noWrap w:val="0"/>
                  <w:vAlign w:val="center"/>
                </w:tcPr>
                <w:p w14:paraId="06484362">
                  <w:pPr>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19" w:type="pct"/>
                  <w:tcBorders>
                    <w:tl2br w:val="nil"/>
                    <w:tr2bl w:val="nil"/>
                  </w:tcBorders>
                  <w:noWrap w:val="0"/>
                  <w:vAlign w:val="center"/>
                </w:tcPr>
                <w:p w14:paraId="38B80328">
                  <w:pPr>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71EEE0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458" w:type="pct"/>
                  <w:tcBorders>
                    <w:tl2br w:val="nil"/>
                    <w:tr2bl w:val="nil"/>
                  </w:tcBorders>
                  <w:noWrap w:val="0"/>
                  <w:vAlign w:val="center"/>
                </w:tcPr>
                <w:p w14:paraId="602CCD9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441" w:type="pct"/>
                  <w:tcBorders>
                    <w:tl2br w:val="nil"/>
                    <w:tr2bl w:val="nil"/>
                  </w:tcBorders>
                  <w:noWrap w:val="0"/>
                  <w:vAlign w:val="center"/>
                </w:tcPr>
                <w:p w14:paraId="6883221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098" w:type="pct"/>
                  <w:tcBorders>
                    <w:tl2br w:val="nil"/>
                    <w:tr2bl w:val="nil"/>
                  </w:tcBorders>
                  <w:noWrap w:val="0"/>
                  <w:vAlign w:val="center"/>
                </w:tcPr>
                <w:p w14:paraId="4418121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设备运行噪声</w:t>
                  </w:r>
                </w:p>
              </w:tc>
              <w:tc>
                <w:tcPr>
                  <w:tcW w:w="2070" w:type="pct"/>
                  <w:tcBorders>
                    <w:tl2br w:val="nil"/>
                    <w:tr2bl w:val="nil"/>
                  </w:tcBorders>
                  <w:noWrap w:val="0"/>
                  <w:vAlign w:val="center"/>
                </w:tcPr>
                <w:p w14:paraId="049BFE12">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基础</w:t>
                  </w:r>
                  <w:r>
                    <w:rPr>
                      <w:rFonts w:hint="default" w:ascii="Times New Roman" w:hAnsi="Times New Roman" w:cs="Times New Roman"/>
                      <w:color w:val="auto"/>
                      <w:sz w:val="21"/>
                      <w:szCs w:val="21"/>
                      <w:highlight w:val="none"/>
                      <w:lang w:val="en-US" w:eastAsia="zh-CN"/>
                    </w:rPr>
                    <w:t>减振</w:t>
                  </w:r>
                  <w:r>
                    <w:rPr>
                      <w:rFonts w:hint="default"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合理布局、</w:t>
                  </w:r>
                  <w:r>
                    <w:rPr>
                      <w:rFonts w:hint="default" w:ascii="Times New Roman" w:hAnsi="Times New Roman" w:cs="Times New Roman"/>
                      <w:color w:val="auto"/>
                      <w:sz w:val="21"/>
                      <w:szCs w:val="21"/>
                      <w:highlight w:val="none"/>
                      <w:lang w:eastAsia="zh-CN"/>
                    </w:rPr>
                    <w:t>厂房隔声、</w:t>
                  </w:r>
                  <w:r>
                    <w:rPr>
                      <w:rFonts w:hint="default" w:ascii="Times New Roman" w:hAnsi="Times New Roman" w:cs="Times New Roman"/>
                      <w:color w:val="auto"/>
                      <w:sz w:val="21"/>
                      <w:szCs w:val="21"/>
                      <w:highlight w:val="none"/>
                      <w:lang w:val="en-US" w:eastAsia="zh-CN"/>
                    </w:rPr>
                    <w:t>风机</w:t>
                  </w:r>
                  <w:r>
                    <w:rPr>
                      <w:rFonts w:hint="eastAsia" w:cs="Times New Roman"/>
                      <w:color w:val="auto"/>
                      <w:sz w:val="21"/>
                      <w:szCs w:val="21"/>
                      <w:highlight w:val="none"/>
                      <w:lang w:val="en-US" w:eastAsia="zh-CN"/>
                    </w:rPr>
                    <w:t>加装减振基座、</w:t>
                  </w:r>
                  <w:r>
                    <w:rPr>
                      <w:rFonts w:hint="default" w:ascii="Times New Roman" w:hAnsi="Times New Roman" w:cs="Times New Roman"/>
                      <w:color w:val="auto"/>
                      <w:sz w:val="21"/>
                      <w:szCs w:val="21"/>
                      <w:highlight w:val="none"/>
                      <w:lang w:val="en-US" w:eastAsia="zh-CN"/>
                    </w:rPr>
                    <w:t>消声器</w:t>
                  </w:r>
                  <w:r>
                    <w:rPr>
                      <w:rFonts w:hint="default" w:ascii="Times New Roman" w:hAnsi="Times New Roman" w:cs="Times New Roman"/>
                      <w:color w:val="auto"/>
                      <w:sz w:val="21"/>
                      <w:szCs w:val="21"/>
                      <w:highlight w:val="none"/>
                      <w:lang w:eastAsia="zh-CN"/>
                    </w:rPr>
                    <w:t>等</w:t>
                  </w:r>
                </w:p>
              </w:tc>
              <w:tc>
                <w:tcPr>
                  <w:tcW w:w="411" w:type="pct"/>
                  <w:tcBorders>
                    <w:tl2br w:val="nil"/>
                    <w:tr2bl w:val="nil"/>
                  </w:tcBorders>
                  <w:noWrap w:val="0"/>
                  <w:vAlign w:val="center"/>
                </w:tcPr>
                <w:p w14:paraId="1CC8229A">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519" w:type="pct"/>
                  <w:tcBorders>
                    <w:tl2br w:val="nil"/>
                    <w:tr2bl w:val="nil"/>
                  </w:tcBorders>
                  <w:noWrap w:val="0"/>
                  <w:vAlign w:val="center"/>
                </w:tcPr>
                <w:p w14:paraId="4C2285C0">
                  <w:pPr>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w:t>
                  </w:r>
                </w:p>
              </w:tc>
            </w:tr>
            <w:tr w14:paraId="66FA3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458" w:type="pct"/>
                  <w:vMerge w:val="restart"/>
                  <w:tcBorders>
                    <w:tl2br w:val="nil"/>
                    <w:tr2bl w:val="nil"/>
                  </w:tcBorders>
                  <w:noWrap w:val="0"/>
                  <w:vAlign w:val="center"/>
                </w:tcPr>
                <w:p w14:paraId="05F26AC0">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441" w:type="pct"/>
                  <w:vMerge w:val="restart"/>
                  <w:tcBorders>
                    <w:tl2br w:val="nil"/>
                    <w:tr2bl w:val="nil"/>
                  </w:tcBorders>
                  <w:noWrap w:val="0"/>
                  <w:vAlign w:val="center"/>
                </w:tcPr>
                <w:p w14:paraId="462264D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固体废物</w:t>
                  </w:r>
                </w:p>
              </w:tc>
              <w:tc>
                <w:tcPr>
                  <w:tcW w:w="1098" w:type="pct"/>
                  <w:tcBorders>
                    <w:tl2br w:val="nil"/>
                    <w:tr2bl w:val="nil"/>
                  </w:tcBorders>
                  <w:noWrap w:val="0"/>
                  <w:vAlign w:val="center"/>
                </w:tcPr>
                <w:p w14:paraId="41024883">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一般固体废物</w:t>
                  </w:r>
                </w:p>
              </w:tc>
              <w:tc>
                <w:tcPr>
                  <w:tcW w:w="2070" w:type="pct"/>
                  <w:tcBorders>
                    <w:tl2br w:val="nil"/>
                    <w:tr2bl w:val="nil"/>
                  </w:tcBorders>
                  <w:noWrap w:val="0"/>
                  <w:vAlign w:val="center"/>
                </w:tcPr>
                <w:p w14:paraId="6838EA29">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依托现有</w:t>
                  </w:r>
                  <w:r>
                    <w:rPr>
                      <w:rFonts w:hint="default" w:ascii="Times New Roman" w:hAnsi="Times New Roman" w:cs="Times New Roman"/>
                      <w:color w:val="auto"/>
                      <w:sz w:val="21"/>
                      <w:szCs w:val="21"/>
                      <w:highlight w:val="none"/>
                      <w:lang w:val="en-US" w:eastAsia="zh-CN"/>
                    </w:rPr>
                    <w:t>一般固废暂存区</w:t>
                  </w:r>
                </w:p>
              </w:tc>
              <w:tc>
                <w:tcPr>
                  <w:tcW w:w="411" w:type="pct"/>
                  <w:tcBorders>
                    <w:tl2br w:val="nil"/>
                    <w:tr2bl w:val="nil"/>
                  </w:tcBorders>
                  <w:noWrap w:val="0"/>
                  <w:vAlign w:val="center"/>
                </w:tcPr>
                <w:p w14:paraId="66F92A0F">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519" w:type="pct"/>
                  <w:tcBorders>
                    <w:tl2br w:val="nil"/>
                    <w:tr2bl w:val="nil"/>
                  </w:tcBorders>
                  <w:noWrap w:val="0"/>
                  <w:vAlign w:val="center"/>
                </w:tcPr>
                <w:p w14:paraId="7CE1B047">
                  <w:pPr>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r>
            <w:tr w14:paraId="4B5BD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458" w:type="pct"/>
                  <w:vMerge w:val="continue"/>
                  <w:tcBorders>
                    <w:bottom w:val="single" w:color="auto" w:sz="4" w:space="0"/>
                    <w:tl2br w:val="nil"/>
                    <w:tr2bl w:val="nil"/>
                  </w:tcBorders>
                  <w:noWrap w:val="0"/>
                  <w:vAlign w:val="center"/>
                </w:tcPr>
                <w:p w14:paraId="12D33FA4">
                  <w:pPr>
                    <w:jc w:val="center"/>
                    <w:rPr>
                      <w:rFonts w:hint="default" w:ascii="Times New Roman" w:hAnsi="Times New Roman" w:cs="Times New Roman"/>
                      <w:color w:val="auto"/>
                      <w:sz w:val="21"/>
                      <w:szCs w:val="21"/>
                      <w:highlight w:val="none"/>
                    </w:rPr>
                  </w:pPr>
                </w:p>
              </w:tc>
              <w:tc>
                <w:tcPr>
                  <w:tcW w:w="441" w:type="pct"/>
                  <w:vMerge w:val="continue"/>
                  <w:tcBorders>
                    <w:bottom w:val="single" w:color="auto" w:sz="4" w:space="0"/>
                    <w:tl2br w:val="nil"/>
                    <w:tr2bl w:val="nil"/>
                  </w:tcBorders>
                  <w:noWrap w:val="0"/>
                  <w:vAlign w:val="center"/>
                </w:tcPr>
                <w:p w14:paraId="6A729B18">
                  <w:pPr>
                    <w:jc w:val="center"/>
                    <w:rPr>
                      <w:rFonts w:hint="default" w:ascii="Times New Roman" w:hAnsi="Times New Roman" w:cs="Times New Roman"/>
                      <w:color w:val="auto"/>
                      <w:sz w:val="21"/>
                      <w:szCs w:val="21"/>
                      <w:highlight w:val="none"/>
                    </w:rPr>
                  </w:pPr>
                </w:p>
              </w:tc>
              <w:tc>
                <w:tcPr>
                  <w:tcW w:w="1098" w:type="pct"/>
                  <w:tcBorders>
                    <w:bottom w:val="single" w:color="auto" w:sz="4" w:space="0"/>
                    <w:tl2br w:val="nil"/>
                    <w:tr2bl w:val="nil"/>
                  </w:tcBorders>
                  <w:noWrap w:val="0"/>
                  <w:vAlign w:val="center"/>
                </w:tcPr>
                <w:p w14:paraId="24BE8CA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危险废物</w:t>
                  </w:r>
                </w:p>
              </w:tc>
              <w:tc>
                <w:tcPr>
                  <w:tcW w:w="2070" w:type="pct"/>
                  <w:tcBorders>
                    <w:bottom w:val="single" w:color="auto" w:sz="4" w:space="0"/>
                    <w:tl2br w:val="nil"/>
                    <w:tr2bl w:val="nil"/>
                  </w:tcBorders>
                  <w:noWrap w:val="0"/>
                  <w:vAlign w:val="center"/>
                </w:tcPr>
                <w:p w14:paraId="71674FCA">
                  <w:pPr>
                    <w:jc w:val="center"/>
                    <w:rPr>
                      <w:rFonts w:hint="default" w:ascii="Times New Roman" w:hAnsi="Times New Roman"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依托现有</w:t>
                  </w:r>
                  <w:r>
                    <w:rPr>
                      <w:rFonts w:hint="eastAsia" w:cs="Times New Roman"/>
                      <w:color w:val="auto"/>
                      <w:sz w:val="21"/>
                      <w:szCs w:val="21"/>
                      <w:highlight w:val="none"/>
                      <w:lang w:val="en-US" w:eastAsia="zh-CN"/>
                    </w:rPr>
                    <w:t>危废贮存库</w:t>
                  </w:r>
                  <w:r>
                    <w:rPr>
                      <w:rFonts w:hint="eastAsia" w:ascii="Times New Roman" w:hAnsi="Times New Roman" w:cs="Times New Roman"/>
                      <w:color w:val="auto"/>
                      <w:sz w:val="21"/>
                      <w:szCs w:val="21"/>
                      <w:highlight w:val="none"/>
                      <w:lang w:val="en-US" w:eastAsia="zh-CN"/>
                    </w:rPr>
                    <w:t>a、b</w:t>
                  </w:r>
                </w:p>
              </w:tc>
              <w:tc>
                <w:tcPr>
                  <w:tcW w:w="411" w:type="pct"/>
                  <w:tcBorders>
                    <w:bottom w:val="single" w:color="auto" w:sz="4" w:space="0"/>
                    <w:tl2br w:val="nil"/>
                    <w:tr2bl w:val="nil"/>
                  </w:tcBorders>
                  <w:noWrap w:val="0"/>
                  <w:vAlign w:val="center"/>
                </w:tcPr>
                <w:p w14:paraId="5FC5F83A">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519" w:type="pct"/>
                  <w:tcBorders>
                    <w:bottom w:val="single" w:color="auto" w:sz="4" w:space="0"/>
                    <w:tl2br w:val="nil"/>
                    <w:tr2bl w:val="nil"/>
                  </w:tcBorders>
                  <w:shd w:val="clear" w:color="auto" w:fill="auto"/>
                  <w:noWrap w:val="0"/>
                  <w:vAlign w:val="center"/>
                </w:tcPr>
                <w:p w14:paraId="7A7A311B">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14:paraId="78E263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480" w:type="pct"/>
                  <w:gridSpan w:val="5"/>
                  <w:tcBorders>
                    <w:top w:val="single" w:color="auto" w:sz="4" w:space="0"/>
                    <w:bottom w:val="single" w:color="auto" w:sz="12" w:space="0"/>
                  </w:tcBorders>
                  <w:noWrap w:val="0"/>
                  <w:vAlign w:val="center"/>
                </w:tcPr>
                <w:p w14:paraId="102861C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总计</w:t>
                  </w:r>
                </w:p>
              </w:tc>
              <w:tc>
                <w:tcPr>
                  <w:tcW w:w="519" w:type="pct"/>
                  <w:tcBorders>
                    <w:top w:val="single" w:color="auto" w:sz="4" w:space="0"/>
                    <w:bottom w:val="single" w:color="auto" w:sz="12" w:space="0"/>
                  </w:tcBorders>
                  <w:noWrap w:val="0"/>
                  <w:vAlign w:val="center"/>
                </w:tcPr>
                <w:p w14:paraId="21EAD95B">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170</w:t>
                  </w:r>
                </w:p>
              </w:tc>
            </w:tr>
          </w:tbl>
          <w:p w14:paraId="351651B0">
            <w:pPr>
              <w:pStyle w:val="27"/>
              <w:spacing w:line="360" w:lineRule="auto"/>
              <w:jc w:val="center"/>
              <w:rPr>
                <w:rFonts w:eastAsiaTheme="minorEastAsia"/>
                <w:color w:val="auto"/>
                <w:highlight w:val="none"/>
              </w:rPr>
            </w:pPr>
          </w:p>
          <w:p w14:paraId="348016A6">
            <w:pPr>
              <w:pStyle w:val="27"/>
              <w:spacing w:line="360" w:lineRule="auto"/>
              <w:rPr>
                <w:rFonts w:eastAsiaTheme="minorEastAsia"/>
                <w:color w:val="auto"/>
                <w:highlight w:val="none"/>
              </w:rPr>
            </w:pPr>
          </w:p>
          <w:p w14:paraId="21C1189B">
            <w:pPr>
              <w:pStyle w:val="27"/>
              <w:spacing w:line="360" w:lineRule="auto"/>
              <w:rPr>
                <w:rFonts w:eastAsiaTheme="minorEastAsia"/>
                <w:color w:val="auto"/>
                <w:highlight w:val="none"/>
              </w:rPr>
            </w:pPr>
          </w:p>
          <w:p w14:paraId="125758D9">
            <w:pPr>
              <w:pStyle w:val="27"/>
              <w:spacing w:line="360" w:lineRule="auto"/>
              <w:rPr>
                <w:rFonts w:eastAsiaTheme="minorEastAsia"/>
                <w:color w:val="auto"/>
                <w:highlight w:val="none"/>
              </w:rPr>
            </w:pPr>
          </w:p>
        </w:tc>
      </w:tr>
    </w:tbl>
    <w:p w14:paraId="20414604">
      <w:pPr>
        <w:ind w:firstLine="420" w:firstLineChars="0"/>
        <w:rPr>
          <w:rFonts w:hint="eastAsia" w:eastAsia="宋体"/>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5CA5B19">
      <w:pPr>
        <w:pStyle w:val="17"/>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hint="eastAsia" w:ascii="宋体" w:hAnsi="宋体" w:eastAsia="宋体" w:cs="宋体"/>
          <w:snapToGrid w:val="0"/>
          <w:color w:val="auto"/>
          <w:sz w:val="30"/>
          <w:szCs w:val="30"/>
          <w:highlight w:val="none"/>
        </w:rPr>
      </w:pPr>
      <w:bookmarkStart w:id="49" w:name="_Toc14236"/>
      <w:bookmarkStart w:id="50" w:name="_Toc19779"/>
      <w:bookmarkStart w:id="51" w:name="_Toc19301"/>
      <w:r>
        <w:rPr>
          <w:rFonts w:hint="eastAsia" w:ascii="宋体" w:hAnsi="宋体" w:eastAsia="宋体" w:cs="宋体"/>
          <w:snapToGrid w:val="0"/>
          <w:color w:val="auto"/>
          <w:sz w:val="30"/>
          <w:szCs w:val="30"/>
          <w:highlight w:val="none"/>
        </w:rPr>
        <w:t>五、</w:t>
      </w:r>
      <w:bookmarkStart w:id="52" w:name="_Hlk54167917"/>
      <w:r>
        <w:rPr>
          <w:rFonts w:hint="eastAsia" w:ascii="宋体" w:hAnsi="宋体" w:eastAsia="宋体" w:cs="宋体"/>
          <w:snapToGrid w:val="0"/>
          <w:color w:val="auto"/>
          <w:sz w:val="30"/>
          <w:szCs w:val="30"/>
          <w:highlight w:val="none"/>
        </w:rPr>
        <w:t>环境保护措施监督检查清单</w:t>
      </w:r>
      <w:bookmarkEnd w:id="49"/>
      <w:bookmarkEnd w:id="50"/>
      <w:bookmarkEnd w:id="51"/>
      <w:bookmarkEnd w:id="52"/>
    </w:p>
    <w:tbl>
      <w:tblPr>
        <w:tblStyle w:val="19"/>
        <w:tblW w:w="940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450"/>
        <w:gridCol w:w="1488"/>
        <w:gridCol w:w="1150"/>
        <w:gridCol w:w="2966"/>
        <w:gridCol w:w="2338"/>
      </w:tblGrid>
      <w:tr w14:paraId="00619E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3" w:type="dxa"/>
            <w:gridSpan w:val="2"/>
            <w:tcBorders>
              <w:tl2br w:val="single" w:color="auto" w:sz="4" w:space="0"/>
            </w:tcBorders>
            <w:vAlign w:val="center"/>
          </w:tcPr>
          <w:p w14:paraId="62B2D348">
            <w:pPr>
              <w:adjustRightInd w:val="0"/>
              <w:snapToGrid w:val="0"/>
              <w:ind w:firstLine="630" w:firstLineChars="300"/>
              <w:jc w:val="center"/>
              <w:rPr>
                <w:rFonts w:eastAsiaTheme="minorEastAsia"/>
                <w:color w:val="auto"/>
                <w:szCs w:val="21"/>
                <w:highlight w:val="none"/>
              </w:rPr>
            </w:pPr>
            <w:r>
              <w:rPr>
                <w:rFonts w:eastAsiaTheme="minorEastAsia"/>
                <w:color w:val="auto"/>
                <w:szCs w:val="21"/>
                <w:highlight w:val="none"/>
              </w:rPr>
              <w:t>内容</w:t>
            </w:r>
          </w:p>
          <w:p w14:paraId="641EDC47">
            <w:pPr>
              <w:adjustRightInd w:val="0"/>
              <w:snapToGrid w:val="0"/>
              <w:rPr>
                <w:rFonts w:eastAsiaTheme="minorEastAsia"/>
                <w:color w:val="auto"/>
                <w:szCs w:val="21"/>
                <w:highlight w:val="none"/>
              </w:rPr>
            </w:pPr>
            <w:r>
              <w:rPr>
                <w:rFonts w:eastAsiaTheme="minorEastAsia"/>
                <w:color w:val="auto"/>
                <w:szCs w:val="21"/>
                <w:highlight w:val="none"/>
              </w:rPr>
              <w:t>要素</w:t>
            </w:r>
          </w:p>
        </w:tc>
        <w:tc>
          <w:tcPr>
            <w:tcW w:w="1488" w:type="dxa"/>
            <w:vAlign w:val="center"/>
          </w:tcPr>
          <w:p w14:paraId="71EBB3FA">
            <w:pPr>
              <w:adjustRightInd w:val="0"/>
              <w:snapToGrid w:val="0"/>
              <w:jc w:val="center"/>
              <w:rPr>
                <w:rFonts w:eastAsiaTheme="minorEastAsia"/>
                <w:color w:val="auto"/>
                <w:szCs w:val="21"/>
                <w:highlight w:val="none"/>
              </w:rPr>
            </w:pPr>
            <w:r>
              <w:rPr>
                <w:rFonts w:eastAsiaTheme="minorEastAsia"/>
                <w:color w:val="auto"/>
                <w:szCs w:val="21"/>
                <w:highlight w:val="none"/>
              </w:rPr>
              <w:t>排放口</w:t>
            </w:r>
            <w:r>
              <w:rPr>
                <w:rFonts w:hint="eastAsia" w:eastAsiaTheme="minorEastAsia"/>
                <w:color w:val="auto"/>
                <w:szCs w:val="21"/>
                <w:highlight w:val="none"/>
                <w:lang w:eastAsia="zh-CN"/>
              </w:rPr>
              <w:t>（</w:t>
            </w:r>
            <w:r>
              <w:rPr>
                <w:rFonts w:eastAsiaTheme="minorEastAsia"/>
                <w:color w:val="auto"/>
                <w:szCs w:val="21"/>
                <w:highlight w:val="none"/>
              </w:rPr>
              <w:t>编号、名称</w:t>
            </w:r>
            <w:r>
              <w:rPr>
                <w:rFonts w:hint="eastAsia" w:eastAsiaTheme="minorEastAsia"/>
                <w:color w:val="auto"/>
                <w:szCs w:val="21"/>
                <w:highlight w:val="none"/>
                <w:lang w:eastAsia="zh-CN"/>
              </w:rPr>
              <w:t>）</w:t>
            </w:r>
            <w:r>
              <w:rPr>
                <w:rFonts w:eastAsiaTheme="minorEastAsia"/>
                <w:color w:val="auto"/>
                <w:szCs w:val="21"/>
                <w:highlight w:val="none"/>
              </w:rPr>
              <w:t>/污染源</w:t>
            </w:r>
          </w:p>
        </w:tc>
        <w:tc>
          <w:tcPr>
            <w:tcW w:w="1150" w:type="dxa"/>
            <w:vAlign w:val="center"/>
          </w:tcPr>
          <w:p w14:paraId="360CA9E1">
            <w:pPr>
              <w:adjustRightInd w:val="0"/>
              <w:snapToGrid w:val="0"/>
              <w:jc w:val="center"/>
              <w:rPr>
                <w:rFonts w:eastAsiaTheme="minorEastAsia"/>
                <w:color w:val="auto"/>
                <w:szCs w:val="21"/>
                <w:highlight w:val="none"/>
              </w:rPr>
            </w:pPr>
            <w:r>
              <w:rPr>
                <w:rFonts w:eastAsiaTheme="minorEastAsia"/>
                <w:color w:val="auto"/>
                <w:szCs w:val="21"/>
                <w:highlight w:val="none"/>
              </w:rPr>
              <w:t>污染物项目</w:t>
            </w:r>
          </w:p>
        </w:tc>
        <w:tc>
          <w:tcPr>
            <w:tcW w:w="2966" w:type="dxa"/>
            <w:vAlign w:val="center"/>
          </w:tcPr>
          <w:p w14:paraId="7E9A2BED">
            <w:pPr>
              <w:adjustRightInd w:val="0"/>
              <w:snapToGrid w:val="0"/>
              <w:jc w:val="center"/>
              <w:rPr>
                <w:rFonts w:eastAsiaTheme="minorEastAsia"/>
                <w:color w:val="auto"/>
                <w:szCs w:val="21"/>
                <w:highlight w:val="none"/>
              </w:rPr>
            </w:pPr>
            <w:r>
              <w:rPr>
                <w:rFonts w:eastAsiaTheme="minorEastAsia"/>
                <w:color w:val="auto"/>
                <w:szCs w:val="21"/>
                <w:highlight w:val="none"/>
              </w:rPr>
              <w:t>环境保护措施</w:t>
            </w:r>
          </w:p>
        </w:tc>
        <w:tc>
          <w:tcPr>
            <w:tcW w:w="2338" w:type="dxa"/>
            <w:vAlign w:val="center"/>
          </w:tcPr>
          <w:p w14:paraId="589E8D3F">
            <w:pPr>
              <w:adjustRightInd w:val="0"/>
              <w:snapToGrid w:val="0"/>
              <w:jc w:val="center"/>
              <w:rPr>
                <w:rFonts w:eastAsiaTheme="minorEastAsia"/>
                <w:color w:val="auto"/>
                <w:szCs w:val="21"/>
                <w:highlight w:val="none"/>
              </w:rPr>
            </w:pPr>
            <w:r>
              <w:rPr>
                <w:rFonts w:eastAsiaTheme="minorEastAsia"/>
                <w:color w:val="auto"/>
                <w:szCs w:val="21"/>
                <w:highlight w:val="none"/>
              </w:rPr>
              <w:t>执行标准</w:t>
            </w:r>
          </w:p>
        </w:tc>
      </w:tr>
      <w:tr w14:paraId="418F5A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dxa"/>
            <w:vMerge w:val="restart"/>
            <w:vAlign w:val="center"/>
          </w:tcPr>
          <w:p w14:paraId="6150E0CE">
            <w:pPr>
              <w:adjustRightInd w:val="0"/>
              <w:snapToGrid w:val="0"/>
              <w:jc w:val="center"/>
              <w:rPr>
                <w:rFonts w:eastAsiaTheme="minorEastAsia"/>
                <w:color w:val="auto"/>
                <w:szCs w:val="21"/>
                <w:highlight w:val="none"/>
              </w:rPr>
            </w:pPr>
            <w:r>
              <w:rPr>
                <w:rFonts w:eastAsiaTheme="minorEastAsia"/>
                <w:color w:val="auto"/>
                <w:szCs w:val="21"/>
                <w:highlight w:val="none"/>
              </w:rPr>
              <w:t>大气环境</w:t>
            </w:r>
          </w:p>
        </w:tc>
        <w:tc>
          <w:tcPr>
            <w:tcW w:w="450" w:type="dxa"/>
            <w:vMerge w:val="restart"/>
            <w:vAlign w:val="center"/>
          </w:tcPr>
          <w:p w14:paraId="32206D0F">
            <w:pPr>
              <w:adjustRightInd w:val="0"/>
              <w:snapToGrid w:val="0"/>
              <w:jc w:val="center"/>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干混砂浆产线</w:t>
            </w:r>
          </w:p>
        </w:tc>
        <w:tc>
          <w:tcPr>
            <w:tcW w:w="1488" w:type="dxa"/>
            <w:vAlign w:val="center"/>
          </w:tcPr>
          <w:p w14:paraId="739D6C9E">
            <w:pPr>
              <w:widowControl/>
              <w:jc w:val="center"/>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机制砂筛分粉尘排气筒（DA107）</w:t>
            </w:r>
          </w:p>
        </w:tc>
        <w:tc>
          <w:tcPr>
            <w:tcW w:w="1150" w:type="dxa"/>
            <w:vAlign w:val="center"/>
          </w:tcPr>
          <w:p w14:paraId="5EBDAA09">
            <w:pPr>
              <w:adjustRightInd w:val="0"/>
              <w:snapToGrid w:val="0"/>
              <w:jc w:val="center"/>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颗粒物</w:t>
            </w:r>
          </w:p>
        </w:tc>
        <w:tc>
          <w:tcPr>
            <w:tcW w:w="2966" w:type="dxa"/>
            <w:vAlign w:val="center"/>
          </w:tcPr>
          <w:p w14:paraId="1F2B1291">
            <w:pPr>
              <w:adjustRightInd w:val="0"/>
              <w:snapToGrid w:val="0"/>
              <w:jc w:val="center"/>
              <w:rPr>
                <w:rFonts w:hint="default" w:eastAsiaTheme="minorEastAsia"/>
                <w:color w:val="auto"/>
                <w:szCs w:val="21"/>
                <w:highlight w:val="none"/>
                <w:lang w:val="en-US" w:eastAsia="zh-CN"/>
              </w:rPr>
            </w:pPr>
            <w:bookmarkStart w:id="53" w:name="OLE_LINK215"/>
            <w:r>
              <w:rPr>
                <w:rFonts w:hint="eastAsia" w:eastAsiaTheme="minorEastAsia"/>
                <w:color w:val="auto"/>
                <w:szCs w:val="21"/>
                <w:highlight w:val="none"/>
                <w:lang w:val="en-US" w:eastAsia="zh-CN"/>
              </w:rPr>
              <w:t>脉冲式布袋除尘器+1根15m排气筒</w:t>
            </w:r>
            <w:bookmarkEnd w:id="53"/>
            <w:r>
              <w:rPr>
                <w:rFonts w:hint="eastAsia" w:eastAsiaTheme="minorEastAsia"/>
                <w:color w:val="auto"/>
                <w:szCs w:val="21"/>
                <w:highlight w:val="none"/>
                <w:lang w:val="en-US" w:eastAsia="zh-CN"/>
              </w:rPr>
              <w:t>（离地高度）</w:t>
            </w:r>
          </w:p>
        </w:tc>
        <w:tc>
          <w:tcPr>
            <w:tcW w:w="2338" w:type="dxa"/>
            <w:vMerge w:val="restart"/>
            <w:vAlign w:val="center"/>
          </w:tcPr>
          <w:p w14:paraId="3FCA8719">
            <w:pPr>
              <w:jc w:val="center"/>
              <w:rPr>
                <w:rFonts w:hint="eastAsia" w:eastAsiaTheme="minorEastAsia"/>
                <w:color w:val="auto"/>
                <w:szCs w:val="21"/>
                <w:highlight w:val="none"/>
                <w:lang w:eastAsia="zh-CN"/>
              </w:rPr>
            </w:pPr>
            <w:r>
              <w:rPr>
                <w:rFonts w:hint="eastAsia" w:eastAsiaTheme="minorEastAsia"/>
                <w:color w:val="auto"/>
                <w:szCs w:val="21"/>
                <w:highlight w:val="none"/>
                <w:lang w:eastAsia="zh-CN"/>
              </w:rPr>
              <w:t>《大气污染物综合排放标准》（GB16297-1996）表2新污染源大气污染物二级排放限值要求</w:t>
            </w:r>
          </w:p>
        </w:tc>
      </w:tr>
      <w:tr w14:paraId="0C3E98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dxa"/>
            <w:vMerge w:val="continue"/>
            <w:vAlign w:val="center"/>
          </w:tcPr>
          <w:p w14:paraId="40CFE25E">
            <w:pPr>
              <w:adjustRightInd w:val="0"/>
              <w:snapToGrid w:val="0"/>
              <w:jc w:val="center"/>
              <w:rPr>
                <w:rFonts w:eastAsiaTheme="minorEastAsia"/>
                <w:color w:val="auto"/>
                <w:szCs w:val="21"/>
                <w:highlight w:val="none"/>
              </w:rPr>
            </w:pPr>
          </w:p>
        </w:tc>
        <w:tc>
          <w:tcPr>
            <w:tcW w:w="450" w:type="dxa"/>
            <w:vMerge w:val="continue"/>
            <w:vAlign w:val="center"/>
          </w:tcPr>
          <w:p w14:paraId="04E8D670">
            <w:pPr>
              <w:adjustRightInd w:val="0"/>
              <w:snapToGrid w:val="0"/>
              <w:jc w:val="center"/>
              <w:rPr>
                <w:rFonts w:hint="eastAsia" w:eastAsiaTheme="minorEastAsia"/>
                <w:color w:val="auto"/>
                <w:szCs w:val="21"/>
                <w:highlight w:val="none"/>
                <w:lang w:val="en-US" w:eastAsia="zh-CN"/>
              </w:rPr>
            </w:pPr>
          </w:p>
        </w:tc>
        <w:tc>
          <w:tcPr>
            <w:tcW w:w="1488" w:type="dxa"/>
            <w:vAlign w:val="center"/>
          </w:tcPr>
          <w:p w14:paraId="6E607723">
            <w:pPr>
              <w:widowControl/>
              <w:jc w:val="center"/>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机制砂输送粉尘排气筒（DA002）</w:t>
            </w:r>
          </w:p>
        </w:tc>
        <w:tc>
          <w:tcPr>
            <w:tcW w:w="1150" w:type="dxa"/>
            <w:vAlign w:val="center"/>
          </w:tcPr>
          <w:p w14:paraId="76608148">
            <w:pPr>
              <w:adjustRightInd w:val="0"/>
              <w:snapToGrid w:val="0"/>
              <w:jc w:val="center"/>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颗粒物</w:t>
            </w:r>
          </w:p>
        </w:tc>
        <w:tc>
          <w:tcPr>
            <w:tcW w:w="2966" w:type="dxa"/>
            <w:vAlign w:val="center"/>
          </w:tcPr>
          <w:p w14:paraId="0D62448D">
            <w:pPr>
              <w:adjustRightInd w:val="0"/>
              <w:snapToGrid w:val="0"/>
              <w:jc w:val="center"/>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脉冲式布袋除尘器+1根15m排气筒（离地高度）</w:t>
            </w:r>
          </w:p>
        </w:tc>
        <w:tc>
          <w:tcPr>
            <w:tcW w:w="2338" w:type="dxa"/>
            <w:vMerge w:val="continue"/>
            <w:vAlign w:val="center"/>
          </w:tcPr>
          <w:p w14:paraId="483AFBFE">
            <w:pPr>
              <w:jc w:val="center"/>
              <w:rPr>
                <w:rFonts w:hint="eastAsia" w:eastAsiaTheme="minorEastAsia"/>
                <w:color w:val="auto"/>
                <w:szCs w:val="21"/>
                <w:highlight w:val="none"/>
                <w:lang w:eastAsia="zh-CN"/>
              </w:rPr>
            </w:pPr>
          </w:p>
        </w:tc>
      </w:tr>
      <w:tr w14:paraId="023C62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dxa"/>
            <w:vMerge w:val="continue"/>
            <w:vAlign w:val="center"/>
          </w:tcPr>
          <w:p w14:paraId="2503E6A1">
            <w:pPr>
              <w:adjustRightInd w:val="0"/>
              <w:snapToGrid w:val="0"/>
              <w:jc w:val="center"/>
              <w:rPr>
                <w:rFonts w:eastAsiaTheme="minorEastAsia"/>
                <w:color w:val="auto"/>
                <w:szCs w:val="21"/>
                <w:highlight w:val="none"/>
              </w:rPr>
            </w:pPr>
          </w:p>
        </w:tc>
        <w:tc>
          <w:tcPr>
            <w:tcW w:w="450" w:type="dxa"/>
            <w:vMerge w:val="continue"/>
            <w:vAlign w:val="center"/>
          </w:tcPr>
          <w:p w14:paraId="72D31CA7">
            <w:pPr>
              <w:adjustRightInd w:val="0"/>
              <w:snapToGrid w:val="0"/>
              <w:jc w:val="center"/>
              <w:rPr>
                <w:rFonts w:eastAsiaTheme="minorEastAsia"/>
                <w:color w:val="auto"/>
                <w:szCs w:val="21"/>
                <w:highlight w:val="none"/>
              </w:rPr>
            </w:pPr>
          </w:p>
        </w:tc>
        <w:tc>
          <w:tcPr>
            <w:tcW w:w="1488" w:type="dxa"/>
            <w:vAlign w:val="center"/>
          </w:tcPr>
          <w:p w14:paraId="4FC5F60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eastAsiaTheme="minorEastAsia"/>
                <w:color w:val="auto"/>
                <w:szCs w:val="21"/>
                <w:highlight w:val="none"/>
                <w:lang w:val="en-US" w:eastAsia="zh-CN"/>
              </w:rPr>
            </w:pPr>
            <w:r>
              <w:rPr>
                <w:rFonts w:hint="eastAsia" w:ascii="宋体" w:hAnsi="宋体" w:eastAsia="宋体" w:cs="宋体"/>
                <w:color w:val="auto"/>
                <w:kern w:val="0"/>
                <w:sz w:val="21"/>
                <w:szCs w:val="21"/>
                <w:highlight w:val="none"/>
                <w:lang w:val="en-US" w:eastAsia="zh-CN"/>
              </w:rPr>
              <w:t>筒仓粉尘</w:t>
            </w:r>
          </w:p>
        </w:tc>
        <w:tc>
          <w:tcPr>
            <w:tcW w:w="1150" w:type="dxa"/>
            <w:shd w:val="clear" w:color="auto" w:fill="auto"/>
            <w:vAlign w:val="center"/>
          </w:tcPr>
          <w:p w14:paraId="13ECE0B0">
            <w:pPr>
              <w:adjustRightInd w:val="0"/>
              <w:snapToGrid w:val="0"/>
              <w:jc w:val="center"/>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颗粒物</w:t>
            </w:r>
          </w:p>
        </w:tc>
        <w:tc>
          <w:tcPr>
            <w:tcW w:w="2966" w:type="dxa"/>
            <w:shd w:val="clear" w:color="auto" w:fill="auto"/>
            <w:vAlign w:val="center"/>
          </w:tcPr>
          <w:p w14:paraId="3AAB5E05">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eastAsiaTheme="minorEastAsia"/>
                <w:color w:val="auto"/>
                <w:szCs w:val="21"/>
                <w:highlight w:val="none"/>
                <w:lang w:val="en-US" w:eastAsia="zh-CN"/>
              </w:rPr>
            </w:pPr>
            <w:r>
              <w:rPr>
                <w:color w:val="auto"/>
                <w:spacing w:val="9"/>
                <w:sz w:val="21"/>
                <w:szCs w:val="21"/>
                <w:highlight w:val="none"/>
              </w:rPr>
              <w:t>各筒仓均位于封闭式车间内，粉尘由仓顶设置的</w:t>
            </w:r>
            <w:r>
              <w:rPr>
                <w:rFonts w:hint="eastAsia"/>
                <w:color w:val="auto"/>
                <w:spacing w:val="9"/>
                <w:sz w:val="21"/>
                <w:szCs w:val="21"/>
                <w:highlight w:val="none"/>
                <w:lang w:val="en-US" w:eastAsia="zh-CN"/>
              </w:rPr>
              <w:t>仓顶</w:t>
            </w:r>
            <w:r>
              <w:rPr>
                <w:color w:val="auto"/>
                <w:spacing w:val="9"/>
                <w:sz w:val="21"/>
                <w:szCs w:val="21"/>
                <w:highlight w:val="none"/>
              </w:rPr>
              <w:t>布袋除尘装置，处理后车间内排放</w:t>
            </w:r>
          </w:p>
        </w:tc>
        <w:tc>
          <w:tcPr>
            <w:tcW w:w="2338" w:type="dxa"/>
            <w:vMerge w:val="restart"/>
            <w:vAlign w:val="center"/>
          </w:tcPr>
          <w:p w14:paraId="1B3B9BE1">
            <w:pPr>
              <w:jc w:val="center"/>
              <w:rPr>
                <w:rFonts w:hint="eastAsia" w:eastAsiaTheme="minorEastAsia"/>
                <w:color w:val="auto"/>
                <w:szCs w:val="21"/>
                <w:highlight w:val="none"/>
                <w:lang w:eastAsia="zh-CN"/>
              </w:rPr>
            </w:pPr>
            <w:bookmarkStart w:id="54" w:name="OLE_LINK134"/>
            <w:r>
              <w:rPr>
                <w:rFonts w:hint="default" w:ascii="Times New Roman" w:hAnsi="Times New Roman" w:cs="Times New Roman" w:eastAsiaTheme="minorEastAsia"/>
                <w:color w:val="auto"/>
                <w:kern w:val="0"/>
                <w:sz w:val="21"/>
                <w:szCs w:val="21"/>
                <w:highlight w:val="none"/>
              </w:rPr>
              <w:t>《</w:t>
            </w:r>
            <w:r>
              <w:rPr>
                <w:rFonts w:hint="default" w:ascii="Times New Roman" w:hAnsi="Times New Roman" w:cs="Times New Roman" w:eastAsiaTheme="minorEastAsia"/>
                <w:color w:val="auto"/>
                <w:kern w:val="0"/>
                <w:sz w:val="21"/>
                <w:szCs w:val="21"/>
                <w:highlight w:val="none"/>
                <w:lang w:val="en-US" w:eastAsia="zh-CN"/>
              </w:rPr>
              <w:t>水泥工业大气污染物排放标准</w:t>
            </w:r>
            <w:r>
              <w:rPr>
                <w:rFonts w:hint="default" w:ascii="Times New Roman" w:hAnsi="Times New Roman" w:cs="Times New Roman" w:eastAsiaTheme="minorEastAsia"/>
                <w:color w:val="auto"/>
                <w:kern w:val="0"/>
                <w:sz w:val="21"/>
                <w:szCs w:val="21"/>
                <w:highlight w:val="none"/>
              </w:rPr>
              <w:t>》（</w:t>
            </w:r>
            <w:r>
              <w:rPr>
                <w:rFonts w:hint="default" w:ascii="Times New Roman" w:hAnsi="Times New Roman" w:cs="Times New Roman" w:eastAsiaTheme="minorEastAsia"/>
                <w:color w:val="auto"/>
                <w:kern w:val="0"/>
                <w:sz w:val="21"/>
                <w:szCs w:val="21"/>
                <w:highlight w:val="none"/>
                <w:lang w:val="en-US" w:eastAsia="zh-CN"/>
              </w:rPr>
              <w:t>GB4915-2013</w:t>
            </w:r>
            <w:r>
              <w:rPr>
                <w:rFonts w:hint="default" w:ascii="Times New Roman" w:hAnsi="Times New Roman" w:cs="Times New Roman" w:eastAsiaTheme="minorEastAsia"/>
                <w:color w:val="auto"/>
                <w:kern w:val="0"/>
                <w:sz w:val="21"/>
                <w:szCs w:val="21"/>
                <w:highlight w:val="none"/>
              </w:rPr>
              <w:t>）</w:t>
            </w:r>
            <w:r>
              <w:rPr>
                <w:rFonts w:hint="default" w:ascii="Times New Roman" w:hAnsi="Times New Roman" w:cs="Times New Roman" w:eastAsiaTheme="minorEastAsia"/>
                <w:color w:val="auto"/>
                <w:kern w:val="0"/>
                <w:sz w:val="21"/>
                <w:szCs w:val="21"/>
                <w:highlight w:val="none"/>
                <w:lang w:val="en-US" w:eastAsia="zh-CN"/>
              </w:rPr>
              <w:t>表3中大气污染物无组织排放限值要求</w:t>
            </w:r>
            <w:bookmarkEnd w:id="54"/>
          </w:p>
        </w:tc>
      </w:tr>
      <w:tr w14:paraId="478CBB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dxa"/>
            <w:vMerge w:val="continue"/>
            <w:vAlign w:val="center"/>
          </w:tcPr>
          <w:p w14:paraId="04EEE354">
            <w:pPr>
              <w:adjustRightInd w:val="0"/>
              <w:snapToGrid w:val="0"/>
              <w:jc w:val="center"/>
              <w:rPr>
                <w:rFonts w:eastAsiaTheme="minorEastAsia"/>
                <w:color w:val="auto"/>
                <w:szCs w:val="21"/>
                <w:highlight w:val="none"/>
              </w:rPr>
            </w:pPr>
          </w:p>
        </w:tc>
        <w:tc>
          <w:tcPr>
            <w:tcW w:w="450" w:type="dxa"/>
            <w:vMerge w:val="continue"/>
            <w:vAlign w:val="center"/>
          </w:tcPr>
          <w:p w14:paraId="18366C0D">
            <w:pPr>
              <w:adjustRightInd w:val="0"/>
              <w:snapToGrid w:val="0"/>
              <w:jc w:val="center"/>
              <w:rPr>
                <w:rFonts w:hint="default" w:eastAsiaTheme="minorEastAsia"/>
                <w:color w:val="auto"/>
                <w:szCs w:val="21"/>
                <w:highlight w:val="none"/>
                <w:lang w:val="en-US" w:eastAsia="zh-CN"/>
              </w:rPr>
            </w:pPr>
          </w:p>
        </w:tc>
        <w:tc>
          <w:tcPr>
            <w:tcW w:w="1488" w:type="dxa"/>
            <w:vAlign w:val="center"/>
          </w:tcPr>
          <w:p w14:paraId="4925D64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Cs w:val="21"/>
                <w:highlight w:val="none"/>
                <w:lang w:val="en-US" w:eastAsia="zh-CN"/>
              </w:rPr>
            </w:pPr>
            <w:r>
              <w:rPr>
                <w:rFonts w:hint="eastAsia" w:eastAsiaTheme="minorEastAsia"/>
                <w:color w:val="auto"/>
                <w:sz w:val="21"/>
                <w:szCs w:val="21"/>
                <w:highlight w:val="none"/>
                <w:lang w:val="en-US" w:eastAsia="zh-CN"/>
              </w:rPr>
              <w:t>搅拌机粉尘</w:t>
            </w:r>
          </w:p>
        </w:tc>
        <w:tc>
          <w:tcPr>
            <w:tcW w:w="1150" w:type="dxa"/>
            <w:shd w:val="clear" w:color="auto" w:fill="auto"/>
            <w:vAlign w:val="center"/>
          </w:tcPr>
          <w:p w14:paraId="4B943692">
            <w:pPr>
              <w:adjustRightInd w:val="0"/>
              <w:snapToGrid w:val="0"/>
              <w:jc w:val="center"/>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颗粒物</w:t>
            </w:r>
          </w:p>
        </w:tc>
        <w:tc>
          <w:tcPr>
            <w:tcW w:w="2966" w:type="dxa"/>
            <w:shd w:val="clear" w:color="auto" w:fill="auto"/>
            <w:vAlign w:val="center"/>
          </w:tcPr>
          <w:p w14:paraId="22734DE0">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eastAsiaTheme="minorEastAsia"/>
                <w:color w:val="auto"/>
                <w:szCs w:val="21"/>
                <w:highlight w:val="none"/>
                <w:lang w:val="en-US" w:eastAsia="zh-CN"/>
              </w:rPr>
            </w:pPr>
            <w:r>
              <w:rPr>
                <w:rFonts w:hint="eastAsia"/>
                <w:color w:val="auto"/>
                <w:spacing w:val="4"/>
                <w:sz w:val="21"/>
                <w:szCs w:val="21"/>
                <w:highlight w:val="none"/>
                <w:lang w:val="en-US" w:eastAsia="zh-CN"/>
              </w:rPr>
              <w:t>2</w:t>
            </w:r>
            <w:r>
              <w:rPr>
                <w:color w:val="auto"/>
                <w:spacing w:val="4"/>
                <w:sz w:val="21"/>
                <w:szCs w:val="21"/>
                <w:highlight w:val="none"/>
              </w:rPr>
              <w:t>台混合机</w:t>
            </w:r>
            <w:r>
              <w:rPr>
                <w:rFonts w:hint="eastAsia"/>
                <w:color w:val="auto"/>
                <w:spacing w:val="4"/>
                <w:sz w:val="21"/>
                <w:szCs w:val="21"/>
                <w:highlight w:val="none"/>
                <w:lang w:eastAsia="zh-CN"/>
              </w:rPr>
              <w:t>，</w:t>
            </w:r>
            <w:r>
              <w:rPr>
                <w:rFonts w:hint="eastAsia"/>
                <w:color w:val="auto"/>
                <w:spacing w:val="4"/>
                <w:sz w:val="21"/>
                <w:szCs w:val="21"/>
                <w:highlight w:val="none"/>
                <w:lang w:val="en-US" w:eastAsia="zh-CN"/>
              </w:rPr>
              <w:t>布设</w:t>
            </w:r>
            <w:r>
              <w:rPr>
                <w:rFonts w:ascii="Times New Roman" w:hAnsi="Times New Roman" w:eastAsia="Times New Roman" w:cs="Times New Roman"/>
                <w:color w:val="auto"/>
                <w:spacing w:val="6"/>
                <w:sz w:val="21"/>
                <w:szCs w:val="21"/>
                <w:highlight w:val="none"/>
              </w:rPr>
              <w:t>2</w:t>
            </w:r>
            <w:r>
              <w:rPr>
                <w:color w:val="auto"/>
                <w:spacing w:val="6"/>
                <w:sz w:val="21"/>
                <w:szCs w:val="21"/>
                <w:highlight w:val="none"/>
              </w:rPr>
              <w:t>台</w:t>
            </w:r>
            <w:r>
              <w:rPr>
                <w:rFonts w:hint="eastAsia"/>
                <w:color w:val="auto"/>
                <w:spacing w:val="6"/>
                <w:sz w:val="21"/>
                <w:szCs w:val="21"/>
                <w:highlight w:val="none"/>
                <w:lang w:val="en-US" w:eastAsia="zh-CN"/>
              </w:rPr>
              <w:t>脉冲</w:t>
            </w:r>
            <w:r>
              <w:rPr>
                <w:color w:val="auto"/>
                <w:spacing w:val="6"/>
                <w:sz w:val="21"/>
                <w:szCs w:val="21"/>
                <w:highlight w:val="none"/>
              </w:rPr>
              <w:t>布袋除尘器，粉尘</w:t>
            </w:r>
            <w:r>
              <w:rPr>
                <w:color w:val="auto"/>
                <w:spacing w:val="9"/>
                <w:sz w:val="21"/>
                <w:szCs w:val="21"/>
                <w:highlight w:val="none"/>
              </w:rPr>
              <w:t>经负压管道收集后</w:t>
            </w:r>
            <w:r>
              <w:rPr>
                <w:rFonts w:hint="eastAsia"/>
                <w:lang w:eastAsia="zh-CN"/>
              </w:rPr>
              <w:t>，</w:t>
            </w:r>
            <w:r>
              <w:rPr>
                <w:color w:val="auto"/>
                <w:spacing w:val="9"/>
                <w:sz w:val="21"/>
                <w:szCs w:val="21"/>
                <w:highlight w:val="none"/>
              </w:rPr>
              <w:t>通过布袋除尘器处理后</w:t>
            </w:r>
            <w:r>
              <w:rPr>
                <w:rFonts w:hint="eastAsia"/>
                <w:color w:val="auto"/>
                <w:spacing w:val="9"/>
                <w:sz w:val="21"/>
                <w:szCs w:val="21"/>
                <w:highlight w:val="none"/>
                <w:lang w:val="en-US" w:eastAsia="zh-CN"/>
              </w:rPr>
              <w:t>在</w:t>
            </w:r>
            <w:r>
              <w:rPr>
                <w:color w:val="auto"/>
                <w:spacing w:val="9"/>
                <w:sz w:val="21"/>
                <w:szCs w:val="21"/>
                <w:highlight w:val="none"/>
              </w:rPr>
              <w:t>车间内排放</w:t>
            </w:r>
          </w:p>
        </w:tc>
        <w:tc>
          <w:tcPr>
            <w:tcW w:w="2338" w:type="dxa"/>
            <w:vMerge w:val="continue"/>
            <w:vAlign w:val="center"/>
          </w:tcPr>
          <w:p w14:paraId="0BA3640B">
            <w:pPr>
              <w:jc w:val="center"/>
              <w:rPr>
                <w:rFonts w:hint="eastAsia" w:eastAsiaTheme="minorEastAsia"/>
                <w:color w:val="auto"/>
                <w:szCs w:val="21"/>
                <w:highlight w:val="none"/>
                <w:lang w:eastAsia="zh-CN"/>
              </w:rPr>
            </w:pPr>
          </w:p>
        </w:tc>
      </w:tr>
      <w:tr w14:paraId="0A0F38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dxa"/>
            <w:vMerge w:val="continue"/>
            <w:vAlign w:val="center"/>
          </w:tcPr>
          <w:p w14:paraId="23CC0B1A">
            <w:pPr>
              <w:adjustRightInd w:val="0"/>
              <w:snapToGrid w:val="0"/>
              <w:jc w:val="center"/>
              <w:rPr>
                <w:rFonts w:eastAsiaTheme="minorEastAsia"/>
                <w:color w:val="auto"/>
                <w:szCs w:val="21"/>
                <w:highlight w:val="none"/>
              </w:rPr>
            </w:pPr>
          </w:p>
        </w:tc>
        <w:tc>
          <w:tcPr>
            <w:tcW w:w="450" w:type="dxa"/>
            <w:vMerge w:val="continue"/>
            <w:vAlign w:val="center"/>
          </w:tcPr>
          <w:p w14:paraId="23E8EFAB">
            <w:pPr>
              <w:adjustRightInd w:val="0"/>
              <w:snapToGrid w:val="0"/>
              <w:jc w:val="center"/>
              <w:rPr>
                <w:rFonts w:eastAsiaTheme="minorEastAsia"/>
                <w:color w:val="auto"/>
                <w:szCs w:val="21"/>
                <w:highlight w:val="none"/>
              </w:rPr>
            </w:pPr>
          </w:p>
        </w:tc>
        <w:tc>
          <w:tcPr>
            <w:tcW w:w="1488" w:type="dxa"/>
            <w:vAlign w:val="center"/>
          </w:tcPr>
          <w:p w14:paraId="0CC57DB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color w:val="auto"/>
                <w:szCs w:val="21"/>
                <w:highlight w:val="none"/>
                <w:lang w:val="en-US" w:eastAsia="zh-CN"/>
              </w:rPr>
            </w:pPr>
            <w:r>
              <w:rPr>
                <w:rFonts w:hint="eastAsia" w:eastAsiaTheme="minorEastAsia"/>
                <w:color w:val="auto"/>
                <w:sz w:val="21"/>
                <w:szCs w:val="21"/>
                <w:highlight w:val="none"/>
                <w:lang w:val="en-US" w:eastAsia="zh-CN"/>
              </w:rPr>
              <w:t>投料粉尘</w:t>
            </w:r>
          </w:p>
        </w:tc>
        <w:tc>
          <w:tcPr>
            <w:tcW w:w="1150" w:type="dxa"/>
            <w:shd w:val="clear" w:color="auto" w:fill="auto"/>
            <w:vAlign w:val="center"/>
          </w:tcPr>
          <w:p w14:paraId="4BD58916">
            <w:pPr>
              <w:adjustRightInd w:val="0"/>
              <w:snapToGrid w:val="0"/>
              <w:jc w:val="center"/>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颗粒物</w:t>
            </w:r>
          </w:p>
        </w:tc>
        <w:tc>
          <w:tcPr>
            <w:tcW w:w="2966" w:type="dxa"/>
            <w:shd w:val="clear" w:color="auto" w:fill="auto"/>
            <w:vAlign w:val="center"/>
          </w:tcPr>
          <w:p w14:paraId="639CEEC9">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eastAsiaTheme="minorEastAsia"/>
                <w:color w:val="auto"/>
                <w:szCs w:val="21"/>
                <w:highlight w:val="none"/>
                <w:lang w:val="en-US" w:eastAsia="zh-CN"/>
              </w:rPr>
            </w:pPr>
            <w:r>
              <w:rPr>
                <w:rFonts w:hint="eastAsia"/>
                <w:color w:val="auto"/>
                <w:spacing w:val="4"/>
                <w:sz w:val="21"/>
                <w:szCs w:val="21"/>
                <w:highlight w:val="none"/>
                <w:lang w:val="en-US" w:eastAsia="zh-CN"/>
              </w:rPr>
              <w:t>投料粉尘设备上安装集气罩，</w:t>
            </w:r>
            <w:r>
              <w:rPr>
                <w:color w:val="auto"/>
                <w:spacing w:val="7"/>
                <w:sz w:val="21"/>
                <w:szCs w:val="21"/>
                <w:highlight w:val="none"/>
              </w:rPr>
              <w:t>设置</w:t>
            </w:r>
            <w:r>
              <w:rPr>
                <w:rFonts w:ascii="Times New Roman" w:hAnsi="Times New Roman" w:eastAsia="Times New Roman" w:cs="Times New Roman"/>
                <w:color w:val="auto"/>
                <w:spacing w:val="7"/>
                <w:sz w:val="21"/>
                <w:szCs w:val="21"/>
                <w:highlight w:val="none"/>
              </w:rPr>
              <w:t>1</w:t>
            </w:r>
            <w:r>
              <w:rPr>
                <w:color w:val="auto"/>
                <w:spacing w:val="7"/>
                <w:sz w:val="21"/>
                <w:szCs w:val="21"/>
                <w:highlight w:val="none"/>
              </w:rPr>
              <w:t>套</w:t>
            </w:r>
            <w:r>
              <w:rPr>
                <w:rFonts w:hint="eastAsia" w:ascii="Times New Roman" w:hAnsi="Times New Roman" w:cs="Times New Roman"/>
                <w:color w:val="auto"/>
                <w:sz w:val="21"/>
                <w:szCs w:val="21"/>
                <w:highlight w:val="none"/>
                <w:lang w:val="en-US" w:eastAsia="zh-CN"/>
              </w:rPr>
              <w:t>脉冲</w:t>
            </w:r>
            <w:r>
              <w:rPr>
                <w:color w:val="auto"/>
                <w:spacing w:val="7"/>
                <w:sz w:val="21"/>
                <w:szCs w:val="21"/>
                <w:highlight w:val="none"/>
              </w:rPr>
              <w:t>布袋除尘器，粉尘经负压</w:t>
            </w:r>
            <w:r>
              <w:rPr>
                <w:color w:val="auto"/>
                <w:spacing w:val="8"/>
                <w:sz w:val="21"/>
                <w:szCs w:val="21"/>
                <w:highlight w:val="none"/>
              </w:rPr>
              <w:t>管道收集后通过</w:t>
            </w:r>
            <w:r>
              <w:rPr>
                <w:rFonts w:hint="eastAsia"/>
                <w:color w:val="auto"/>
                <w:spacing w:val="8"/>
                <w:sz w:val="21"/>
                <w:szCs w:val="21"/>
                <w:highlight w:val="none"/>
                <w:lang w:val="en-US" w:eastAsia="zh-CN"/>
              </w:rPr>
              <w:t>脉冲式</w:t>
            </w:r>
            <w:r>
              <w:rPr>
                <w:color w:val="auto"/>
                <w:spacing w:val="8"/>
                <w:sz w:val="21"/>
                <w:szCs w:val="21"/>
                <w:highlight w:val="none"/>
              </w:rPr>
              <w:t>布袋除尘器处理后</w:t>
            </w:r>
            <w:r>
              <w:rPr>
                <w:rFonts w:hint="eastAsia"/>
                <w:lang w:val="en-US" w:eastAsia="zh-CN"/>
              </w:rPr>
              <w:t>在</w:t>
            </w:r>
            <w:r>
              <w:rPr>
                <w:color w:val="auto"/>
                <w:spacing w:val="8"/>
                <w:sz w:val="21"/>
                <w:szCs w:val="21"/>
                <w:highlight w:val="none"/>
              </w:rPr>
              <w:t>车间内排放</w:t>
            </w:r>
          </w:p>
        </w:tc>
        <w:tc>
          <w:tcPr>
            <w:tcW w:w="2338" w:type="dxa"/>
            <w:vMerge w:val="continue"/>
            <w:vAlign w:val="center"/>
          </w:tcPr>
          <w:p w14:paraId="5CD11180">
            <w:pPr>
              <w:jc w:val="center"/>
              <w:rPr>
                <w:rFonts w:hint="eastAsia" w:eastAsiaTheme="minorEastAsia"/>
                <w:color w:val="auto"/>
                <w:szCs w:val="21"/>
                <w:highlight w:val="none"/>
                <w:lang w:eastAsia="zh-CN"/>
              </w:rPr>
            </w:pPr>
          </w:p>
        </w:tc>
      </w:tr>
      <w:tr w14:paraId="361CA1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vAlign w:val="center"/>
          </w:tcPr>
          <w:p w14:paraId="49ADCA7D">
            <w:pPr>
              <w:adjustRightInd w:val="0"/>
              <w:snapToGrid w:val="0"/>
              <w:jc w:val="center"/>
              <w:rPr>
                <w:rFonts w:eastAsiaTheme="minorEastAsia"/>
                <w:color w:val="auto"/>
                <w:szCs w:val="21"/>
                <w:highlight w:val="none"/>
              </w:rPr>
            </w:pPr>
          </w:p>
        </w:tc>
        <w:tc>
          <w:tcPr>
            <w:tcW w:w="450" w:type="dxa"/>
            <w:vMerge w:val="continue"/>
            <w:vAlign w:val="center"/>
          </w:tcPr>
          <w:p w14:paraId="62A42DEC">
            <w:pPr>
              <w:adjustRightInd w:val="0"/>
              <w:snapToGrid w:val="0"/>
              <w:jc w:val="center"/>
              <w:rPr>
                <w:rFonts w:eastAsiaTheme="minorEastAsia"/>
                <w:color w:val="auto"/>
                <w:szCs w:val="21"/>
                <w:highlight w:val="none"/>
              </w:rPr>
            </w:pPr>
          </w:p>
        </w:tc>
        <w:tc>
          <w:tcPr>
            <w:tcW w:w="1488" w:type="dxa"/>
            <w:vAlign w:val="center"/>
          </w:tcPr>
          <w:p w14:paraId="4EDC1A2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Theme="minorEastAsia"/>
                <w:color w:val="auto"/>
                <w:szCs w:val="21"/>
                <w:highlight w:val="none"/>
                <w:lang w:val="en-US" w:eastAsia="zh-CN"/>
              </w:rPr>
            </w:pPr>
            <w:r>
              <w:rPr>
                <w:rFonts w:hint="eastAsia" w:eastAsiaTheme="minorEastAsia"/>
                <w:color w:val="auto"/>
                <w:sz w:val="21"/>
                <w:szCs w:val="21"/>
                <w:highlight w:val="none"/>
                <w:lang w:val="en-US" w:eastAsia="zh-CN"/>
              </w:rPr>
              <w:t>散装粉尘</w:t>
            </w:r>
          </w:p>
        </w:tc>
        <w:tc>
          <w:tcPr>
            <w:tcW w:w="1150" w:type="dxa"/>
            <w:shd w:val="clear" w:color="auto" w:fill="auto"/>
            <w:vAlign w:val="center"/>
          </w:tcPr>
          <w:p w14:paraId="3E44D1F3">
            <w:pPr>
              <w:adjustRightInd w:val="0"/>
              <w:snapToGrid w:val="0"/>
              <w:jc w:val="center"/>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颗粒物</w:t>
            </w:r>
          </w:p>
        </w:tc>
        <w:tc>
          <w:tcPr>
            <w:tcW w:w="2966" w:type="dxa"/>
            <w:shd w:val="clear" w:color="auto" w:fill="auto"/>
            <w:vAlign w:val="center"/>
          </w:tcPr>
          <w:p w14:paraId="2D9564A3">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cs="Times New Roman"/>
                <w:color w:val="auto"/>
                <w:sz w:val="21"/>
                <w:szCs w:val="21"/>
                <w:highlight w:val="none"/>
                <w:lang w:val="en-US" w:eastAsia="zh-CN"/>
              </w:rPr>
            </w:pPr>
            <w:r>
              <w:rPr>
                <w:color w:val="auto"/>
                <w:spacing w:val="7"/>
                <w:sz w:val="21"/>
                <w:szCs w:val="21"/>
                <w:highlight w:val="none"/>
              </w:rPr>
              <w:t>散装包装设置</w:t>
            </w:r>
            <w:r>
              <w:rPr>
                <w:rFonts w:ascii="Times New Roman" w:hAnsi="Times New Roman" w:eastAsia="Times New Roman" w:cs="Times New Roman"/>
                <w:color w:val="auto"/>
                <w:spacing w:val="7"/>
                <w:sz w:val="21"/>
                <w:szCs w:val="21"/>
                <w:highlight w:val="none"/>
              </w:rPr>
              <w:t>1</w:t>
            </w:r>
            <w:r>
              <w:rPr>
                <w:color w:val="auto"/>
                <w:spacing w:val="7"/>
                <w:sz w:val="21"/>
                <w:szCs w:val="21"/>
                <w:highlight w:val="none"/>
              </w:rPr>
              <w:t>套</w:t>
            </w:r>
            <w:r>
              <w:rPr>
                <w:rFonts w:hint="eastAsia" w:ascii="Times New Roman" w:hAnsi="Times New Roman" w:cs="Times New Roman"/>
                <w:color w:val="auto"/>
                <w:sz w:val="21"/>
                <w:szCs w:val="21"/>
                <w:highlight w:val="none"/>
                <w:lang w:val="en-US" w:eastAsia="zh-CN"/>
              </w:rPr>
              <w:t>脉冲</w:t>
            </w:r>
            <w:r>
              <w:rPr>
                <w:color w:val="auto"/>
                <w:spacing w:val="7"/>
                <w:sz w:val="21"/>
                <w:szCs w:val="21"/>
                <w:highlight w:val="none"/>
              </w:rPr>
              <w:t>布袋除尘器，粉尘经负压</w:t>
            </w:r>
            <w:r>
              <w:rPr>
                <w:color w:val="auto"/>
                <w:spacing w:val="8"/>
                <w:sz w:val="21"/>
                <w:szCs w:val="21"/>
                <w:highlight w:val="none"/>
              </w:rPr>
              <w:t>管道收集后</w:t>
            </w:r>
            <w:r>
              <w:rPr>
                <w:rFonts w:hint="eastAsia"/>
                <w:lang w:eastAsia="zh-CN"/>
              </w:rPr>
              <w:t>，</w:t>
            </w:r>
            <w:r>
              <w:rPr>
                <w:color w:val="auto"/>
                <w:spacing w:val="8"/>
                <w:sz w:val="21"/>
                <w:szCs w:val="21"/>
                <w:highlight w:val="none"/>
              </w:rPr>
              <w:t>通过</w:t>
            </w:r>
            <w:r>
              <w:rPr>
                <w:rFonts w:hint="eastAsia"/>
                <w:color w:val="auto"/>
                <w:spacing w:val="8"/>
                <w:sz w:val="21"/>
                <w:szCs w:val="21"/>
                <w:highlight w:val="none"/>
                <w:lang w:val="en-US" w:eastAsia="zh-CN"/>
              </w:rPr>
              <w:t>脉冲式</w:t>
            </w:r>
            <w:r>
              <w:rPr>
                <w:color w:val="auto"/>
                <w:spacing w:val="8"/>
                <w:sz w:val="21"/>
                <w:szCs w:val="21"/>
                <w:highlight w:val="none"/>
              </w:rPr>
              <w:t>布袋除尘器处理后</w:t>
            </w:r>
            <w:r>
              <w:rPr>
                <w:rFonts w:hint="eastAsia"/>
                <w:lang w:val="en-US" w:eastAsia="zh-CN"/>
              </w:rPr>
              <w:t>在</w:t>
            </w:r>
            <w:r>
              <w:rPr>
                <w:color w:val="auto"/>
                <w:spacing w:val="8"/>
                <w:sz w:val="21"/>
                <w:szCs w:val="21"/>
                <w:highlight w:val="none"/>
              </w:rPr>
              <w:t>车间内排放</w:t>
            </w:r>
          </w:p>
        </w:tc>
        <w:tc>
          <w:tcPr>
            <w:tcW w:w="2338" w:type="dxa"/>
            <w:vMerge w:val="continue"/>
            <w:vAlign w:val="center"/>
          </w:tcPr>
          <w:p w14:paraId="2A2A2123">
            <w:pPr>
              <w:jc w:val="center"/>
              <w:rPr>
                <w:rFonts w:hint="eastAsia" w:eastAsiaTheme="minorEastAsia"/>
                <w:color w:val="auto"/>
                <w:szCs w:val="21"/>
                <w:highlight w:val="none"/>
                <w:lang w:eastAsia="zh-CN"/>
              </w:rPr>
            </w:pPr>
          </w:p>
        </w:tc>
      </w:tr>
      <w:tr w14:paraId="11D6FC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dxa"/>
            <w:vMerge w:val="continue"/>
            <w:vAlign w:val="center"/>
          </w:tcPr>
          <w:p w14:paraId="01AB4BBF">
            <w:pPr>
              <w:adjustRightInd w:val="0"/>
              <w:snapToGrid w:val="0"/>
              <w:jc w:val="center"/>
              <w:rPr>
                <w:rFonts w:eastAsiaTheme="minorEastAsia"/>
                <w:color w:val="auto"/>
                <w:szCs w:val="21"/>
                <w:highlight w:val="none"/>
              </w:rPr>
            </w:pPr>
          </w:p>
        </w:tc>
        <w:tc>
          <w:tcPr>
            <w:tcW w:w="450" w:type="dxa"/>
            <w:vMerge w:val="continue"/>
            <w:vAlign w:val="center"/>
          </w:tcPr>
          <w:p w14:paraId="3088A6B7">
            <w:pPr>
              <w:adjustRightInd w:val="0"/>
              <w:snapToGrid w:val="0"/>
              <w:jc w:val="center"/>
              <w:rPr>
                <w:rFonts w:eastAsiaTheme="minorEastAsia"/>
                <w:color w:val="auto"/>
                <w:szCs w:val="21"/>
                <w:highlight w:val="none"/>
              </w:rPr>
            </w:pPr>
          </w:p>
        </w:tc>
        <w:tc>
          <w:tcPr>
            <w:tcW w:w="1488" w:type="dxa"/>
            <w:vAlign w:val="center"/>
          </w:tcPr>
          <w:p w14:paraId="274CA129">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eastAsia" w:eastAsiaTheme="minorEastAsia"/>
                <w:color w:val="auto"/>
                <w:szCs w:val="21"/>
                <w:highlight w:val="none"/>
                <w:lang w:val="en-US" w:eastAsia="zh-CN"/>
              </w:rPr>
            </w:pPr>
            <w:r>
              <w:rPr>
                <w:rFonts w:hint="eastAsia" w:ascii="宋体" w:hAnsi="宋体" w:eastAsia="宋体" w:cs="宋体"/>
                <w:color w:val="auto"/>
                <w:kern w:val="0"/>
                <w:sz w:val="21"/>
                <w:szCs w:val="21"/>
                <w:highlight w:val="none"/>
                <w:lang w:val="en-US" w:eastAsia="zh-CN"/>
              </w:rPr>
              <w:t>袋装粉尘</w:t>
            </w:r>
          </w:p>
        </w:tc>
        <w:tc>
          <w:tcPr>
            <w:tcW w:w="1150" w:type="dxa"/>
            <w:shd w:val="clear" w:color="auto" w:fill="auto"/>
            <w:vAlign w:val="center"/>
          </w:tcPr>
          <w:p w14:paraId="7DFAADFD">
            <w:pPr>
              <w:adjustRightInd w:val="0"/>
              <w:snapToGrid w:val="0"/>
              <w:jc w:val="center"/>
              <w:rPr>
                <w:rFonts w:hint="eastAsia" w:eastAsiaTheme="minorEastAsia"/>
                <w:color w:val="auto"/>
                <w:szCs w:val="21"/>
                <w:highlight w:val="none"/>
                <w:lang w:val="en-US" w:eastAsia="zh-CN"/>
              </w:rPr>
            </w:pPr>
            <w:r>
              <w:rPr>
                <w:rFonts w:hint="eastAsia" w:eastAsiaTheme="minorEastAsia"/>
                <w:color w:val="auto"/>
                <w:szCs w:val="21"/>
                <w:highlight w:val="none"/>
                <w:lang w:val="en-US" w:eastAsia="zh-CN"/>
              </w:rPr>
              <w:t>颗粒物</w:t>
            </w:r>
          </w:p>
        </w:tc>
        <w:tc>
          <w:tcPr>
            <w:tcW w:w="2966" w:type="dxa"/>
            <w:shd w:val="clear" w:color="auto" w:fill="auto"/>
            <w:vAlign w:val="center"/>
          </w:tcPr>
          <w:p w14:paraId="64E7D3E6">
            <w:pPr>
              <w:pStyle w:val="3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cs="Times New Roman"/>
                <w:color w:val="auto"/>
                <w:sz w:val="21"/>
                <w:szCs w:val="21"/>
                <w:highlight w:val="none"/>
                <w:lang w:val="en-US" w:eastAsia="zh-CN"/>
              </w:rPr>
            </w:pPr>
            <w:r>
              <w:rPr>
                <w:color w:val="auto"/>
                <w:spacing w:val="6"/>
                <w:sz w:val="21"/>
                <w:szCs w:val="21"/>
                <w:highlight w:val="none"/>
              </w:rPr>
              <w:t>普通砂浆</w:t>
            </w:r>
            <w:r>
              <w:rPr>
                <w:rFonts w:ascii="Times New Roman" w:hAnsi="Times New Roman" w:eastAsia="Times New Roman" w:cs="Times New Roman"/>
                <w:color w:val="auto"/>
                <w:spacing w:val="7"/>
                <w:sz w:val="21"/>
                <w:szCs w:val="21"/>
                <w:highlight w:val="none"/>
              </w:rPr>
              <w:t>1</w:t>
            </w:r>
            <w:r>
              <w:rPr>
                <w:color w:val="auto"/>
                <w:spacing w:val="7"/>
                <w:sz w:val="21"/>
                <w:szCs w:val="21"/>
                <w:highlight w:val="none"/>
              </w:rPr>
              <w:t>套</w:t>
            </w:r>
            <w:r>
              <w:rPr>
                <w:rFonts w:hint="eastAsia" w:ascii="Times New Roman" w:hAnsi="Times New Roman" w:cs="Times New Roman"/>
                <w:color w:val="auto"/>
                <w:sz w:val="21"/>
                <w:szCs w:val="21"/>
                <w:highlight w:val="none"/>
                <w:lang w:val="en-US" w:eastAsia="zh-CN"/>
              </w:rPr>
              <w:t>脉冲</w:t>
            </w:r>
            <w:r>
              <w:rPr>
                <w:color w:val="auto"/>
                <w:spacing w:val="7"/>
                <w:sz w:val="21"/>
                <w:szCs w:val="21"/>
                <w:highlight w:val="none"/>
              </w:rPr>
              <w:t>布袋除尘器</w:t>
            </w:r>
            <w:r>
              <w:rPr>
                <w:color w:val="auto"/>
                <w:spacing w:val="6"/>
                <w:sz w:val="21"/>
                <w:szCs w:val="21"/>
                <w:highlight w:val="none"/>
              </w:rPr>
              <w:t>，通过“集气罩</w:t>
            </w:r>
            <w:r>
              <w:rPr>
                <w:rFonts w:ascii="Times New Roman" w:hAnsi="Times New Roman" w:eastAsia="Times New Roman" w:cs="Times New Roman"/>
                <w:color w:val="auto"/>
                <w:spacing w:val="6"/>
                <w:sz w:val="21"/>
                <w:szCs w:val="21"/>
                <w:highlight w:val="none"/>
              </w:rPr>
              <w:t>+</w:t>
            </w:r>
            <w:r>
              <w:rPr>
                <w:color w:val="auto"/>
                <w:spacing w:val="6"/>
                <w:sz w:val="21"/>
                <w:szCs w:val="21"/>
                <w:highlight w:val="none"/>
              </w:rPr>
              <w:t>布袋除尘”处理后</w:t>
            </w:r>
            <w:r>
              <w:rPr>
                <w:rFonts w:hint="eastAsia"/>
                <w:lang w:val="en-US" w:eastAsia="zh-CN"/>
              </w:rPr>
              <w:t>在</w:t>
            </w:r>
            <w:r>
              <w:rPr>
                <w:color w:val="auto"/>
                <w:spacing w:val="6"/>
                <w:sz w:val="21"/>
                <w:szCs w:val="21"/>
                <w:highlight w:val="none"/>
              </w:rPr>
              <w:t>车间内排放</w:t>
            </w:r>
          </w:p>
        </w:tc>
        <w:tc>
          <w:tcPr>
            <w:tcW w:w="2338" w:type="dxa"/>
            <w:vMerge w:val="continue"/>
            <w:vAlign w:val="center"/>
          </w:tcPr>
          <w:p w14:paraId="29CFD3D4">
            <w:pPr>
              <w:jc w:val="center"/>
              <w:rPr>
                <w:rFonts w:hint="eastAsia" w:eastAsiaTheme="minorEastAsia"/>
                <w:color w:val="auto"/>
                <w:szCs w:val="21"/>
                <w:highlight w:val="none"/>
                <w:lang w:eastAsia="zh-CN"/>
              </w:rPr>
            </w:pPr>
          </w:p>
        </w:tc>
      </w:tr>
      <w:tr w14:paraId="3A3568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3" w:type="dxa"/>
            <w:vMerge w:val="continue"/>
            <w:vAlign w:val="center"/>
          </w:tcPr>
          <w:p w14:paraId="634762DD">
            <w:pPr>
              <w:adjustRightInd w:val="0"/>
              <w:snapToGrid w:val="0"/>
              <w:jc w:val="center"/>
              <w:rPr>
                <w:rFonts w:eastAsiaTheme="minorEastAsia"/>
                <w:color w:val="auto"/>
                <w:szCs w:val="21"/>
                <w:highlight w:val="none"/>
              </w:rPr>
            </w:pPr>
          </w:p>
        </w:tc>
        <w:tc>
          <w:tcPr>
            <w:tcW w:w="1938" w:type="dxa"/>
            <w:gridSpan w:val="2"/>
            <w:vAlign w:val="center"/>
          </w:tcPr>
          <w:p w14:paraId="10E615CC">
            <w:pPr>
              <w:widowControl/>
              <w:jc w:val="center"/>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车辆运输扬尘</w:t>
            </w:r>
          </w:p>
        </w:tc>
        <w:tc>
          <w:tcPr>
            <w:tcW w:w="1150" w:type="dxa"/>
            <w:shd w:val="clear" w:color="auto" w:fill="auto"/>
            <w:vAlign w:val="center"/>
          </w:tcPr>
          <w:p w14:paraId="3F3555BA">
            <w:pPr>
              <w:adjustRightInd w:val="0"/>
              <w:snapToGrid w:val="0"/>
              <w:jc w:val="center"/>
              <w:rPr>
                <w:rFonts w:hint="default" w:eastAsiaTheme="minorEastAsia"/>
                <w:color w:val="auto"/>
                <w:szCs w:val="21"/>
                <w:highlight w:val="none"/>
                <w:lang w:val="en-US" w:eastAsia="zh-CN"/>
              </w:rPr>
            </w:pPr>
            <w:r>
              <w:rPr>
                <w:rFonts w:hint="eastAsia" w:eastAsiaTheme="minorEastAsia"/>
                <w:color w:val="auto"/>
                <w:szCs w:val="21"/>
                <w:highlight w:val="none"/>
                <w:lang w:val="en-US" w:eastAsia="zh-CN"/>
              </w:rPr>
              <w:t>颗粒物</w:t>
            </w:r>
          </w:p>
        </w:tc>
        <w:tc>
          <w:tcPr>
            <w:tcW w:w="2966" w:type="dxa"/>
            <w:shd w:val="clear" w:color="auto" w:fill="auto"/>
            <w:vAlign w:val="center"/>
          </w:tcPr>
          <w:p w14:paraId="34CF8894">
            <w:pPr>
              <w:adjustRightInd w:val="0"/>
              <w:snapToGrid w:val="0"/>
              <w:jc w:val="center"/>
              <w:rPr>
                <w:rFonts w:hint="eastAsia" w:eastAsiaTheme="minorEastAsia"/>
                <w:color w:val="auto"/>
                <w:szCs w:val="21"/>
                <w:highlight w:val="none"/>
                <w:lang w:val="en-US" w:eastAsia="zh-CN"/>
              </w:rPr>
            </w:pPr>
            <w:r>
              <w:rPr>
                <w:rFonts w:hint="eastAsia" w:cs="Times New Roman" w:eastAsiaTheme="minorEastAsia"/>
                <w:color w:val="auto"/>
                <w:kern w:val="2"/>
                <w:sz w:val="21"/>
                <w:szCs w:val="21"/>
                <w:highlight w:val="none"/>
                <w:lang w:val="en-US" w:eastAsia="zh-CN" w:bidi="ar-SA"/>
              </w:rPr>
              <w:t>采取覆盖等封闭方式进行运输，设置洗车台，厂区地面硬化并加大对地面的清扫和洒水频率，控制车速等措施</w:t>
            </w:r>
          </w:p>
        </w:tc>
        <w:tc>
          <w:tcPr>
            <w:tcW w:w="2338" w:type="dxa"/>
            <w:vAlign w:val="center"/>
          </w:tcPr>
          <w:p w14:paraId="649B337F">
            <w:pPr>
              <w:jc w:val="center"/>
              <w:rPr>
                <w:rFonts w:hint="eastAsia" w:eastAsiaTheme="minorEastAsia"/>
                <w:color w:val="auto"/>
                <w:szCs w:val="21"/>
                <w:highlight w:val="none"/>
                <w:lang w:eastAsia="zh-CN"/>
              </w:rPr>
            </w:pPr>
            <w:r>
              <w:rPr>
                <w:rFonts w:ascii="Times New Roman" w:hAnsi="Times New Roman" w:cs="Times New Roman" w:eastAsiaTheme="minorEastAsia"/>
                <w:color w:val="auto"/>
                <w:kern w:val="0"/>
                <w:sz w:val="21"/>
                <w:szCs w:val="21"/>
                <w:highlight w:val="none"/>
              </w:rPr>
              <w:t>《</w:t>
            </w:r>
            <w:r>
              <w:rPr>
                <w:rFonts w:hint="eastAsia" w:ascii="Times New Roman" w:hAnsi="Times New Roman" w:cs="Times New Roman" w:eastAsiaTheme="minorEastAsia"/>
                <w:color w:val="auto"/>
                <w:kern w:val="0"/>
                <w:sz w:val="21"/>
                <w:szCs w:val="21"/>
                <w:highlight w:val="none"/>
                <w:lang w:val="en-US" w:eastAsia="zh-CN"/>
              </w:rPr>
              <w:t>大气污染物综合排放标准</w:t>
            </w:r>
            <w:r>
              <w:rPr>
                <w:rFonts w:ascii="Times New Roman" w:hAnsi="Times New Roman" w:cs="Times New Roman" w:eastAsiaTheme="minorEastAsia"/>
                <w:color w:val="auto"/>
                <w:kern w:val="0"/>
                <w:sz w:val="21"/>
                <w:szCs w:val="21"/>
                <w:highlight w:val="none"/>
              </w:rPr>
              <w:t>》（</w:t>
            </w:r>
            <w:r>
              <w:rPr>
                <w:rFonts w:hint="eastAsia" w:ascii="Times New Roman" w:hAnsi="Times New Roman" w:cs="Times New Roman" w:eastAsiaTheme="minorEastAsia"/>
                <w:color w:val="auto"/>
                <w:kern w:val="0"/>
                <w:sz w:val="21"/>
                <w:szCs w:val="21"/>
                <w:highlight w:val="none"/>
                <w:lang w:val="en-US" w:eastAsia="zh-CN"/>
              </w:rPr>
              <w:t>GB16297-1996</w:t>
            </w:r>
            <w:r>
              <w:rPr>
                <w:rFonts w:ascii="Times New Roman" w:hAnsi="Times New Roman" w:cs="Times New Roman" w:eastAsiaTheme="minorEastAsia"/>
                <w:color w:val="auto"/>
                <w:kern w:val="0"/>
                <w:sz w:val="21"/>
                <w:szCs w:val="21"/>
                <w:highlight w:val="none"/>
              </w:rPr>
              <w:t>）</w:t>
            </w:r>
            <w:r>
              <w:rPr>
                <w:rFonts w:hint="eastAsia" w:ascii="Times New Roman" w:hAnsi="Times New Roman" w:cs="Times New Roman" w:eastAsiaTheme="minorEastAsia"/>
                <w:color w:val="auto"/>
                <w:kern w:val="0"/>
                <w:sz w:val="21"/>
                <w:szCs w:val="21"/>
                <w:highlight w:val="none"/>
                <w:lang w:val="en-US" w:eastAsia="zh-CN"/>
              </w:rPr>
              <w:t>表2中无组织排放监控浓度限值要求</w:t>
            </w:r>
          </w:p>
        </w:tc>
      </w:tr>
      <w:tr w14:paraId="53EA9D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3" w:type="dxa"/>
            <w:gridSpan w:val="2"/>
            <w:vAlign w:val="center"/>
          </w:tcPr>
          <w:p w14:paraId="6BF4FE49">
            <w:pPr>
              <w:adjustRightInd w:val="0"/>
              <w:snapToGrid w:val="0"/>
              <w:jc w:val="center"/>
              <w:rPr>
                <w:rFonts w:eastAsiaTheme="minorEastAsia"/>
                <w:color w:val="auto"/>
                <w:szCs w:val="21"/>
                <w:highlight w:val="none"/>
              </w:rPr>
            </w:pPr>
            <w:r>
              <w:rPr>
                <w:rFonts w:eastAsiaTheme="minorEastAsia"/>
                <w:color w:val="auto"/>
                <w:szCs w:val="21"/>
                <w:highlight w:val="none"/>
              </w:rPr>
              <w:t>地表水环境</w:t>
            </w:r>
          </w:p>
        </w:tc>
        <w:tc>
          <w:tcPr>
            <w:tcW w:w="1488" w:type="dxa"/>
            <w:vAlign w:val="center"/>
          </w:tcPr>
          <w:p w14:paraId="041A1A0B">
            <w:pPr>
              <w:adjustRightInd w:val="0"/>
              <w:snapToGrid w:val="0"/>
              <w:jc w:val="center"/>
              <w:rPr>
                <w:rFonts w:hint="default" w:eastAsiaTheme="minorEastAsia"/>
                <w:color w:val="auto"/>
                <w:szCs w:val="21"/>
                <w:highlight w:val="none"/>
                <w:lang w:val="en-US" w:eastAsia="zh-CN"/>
              </w:rPr>
            </w:pPr>
            <w:r>
              <w:rPr>
                <w:rFonts w:hint="eastAsia" w:ascii="Times New Roman" w:hAnsi="Times New Roman" w:cs="Times New Roman" w:eastAsiaTheme="minorEastAsia"/>
                <w:color w:val="auto"/>
                <w:szCs w:val="21"/>
                <w:highlight w:val="none"/>
                <w:lang w:val="en-US" w:eastAsia="zh-CN"/>
              </w:rPr>
              <w:t>车辆冲洗废水</w:t>
            </w:r>
          </w:p>
        </w:tc>
        <w:tc>
          <w:tcPr>
            <w:tcW w:w="1150" w:type="dxa"/>
            <w:vAlign w:val="center"/>
          </w:tcPr>
          <w:p w14:paraId="1B0F5298">
            <w:pPr>
              <w:adjustRightInd w:val="0"/>
              <w:snapToGrid w:val="0"/>
              <w:jc w:val="center"/>
              <w:rPr>
                <w:rFonts w:hint="default" w:eastAsiaTheme="minorEastAsia"/>
                <w:color w:val="auto"/>
                <w:szCs w:val="21"/>
                <w:highlight w:val="none"/>
                <w:lang w:val="en-US" w:eastAsia="zh-CN"/>
              </w:rPr>
            </w:pPr>
            <w:r>
              <w:rPr>
                <w:rFonts w:hint="eastAsia" w:ascii="Times New Roman" w:hAnsi="Times New Roman" w:cs="Times New Roman" w:eastAsiaTheme="minorEastAsia"/>
                <w:color w:val="auto"/>
                <w:szCs w:val="21"/>
                <w:highlight w:val="none"/>
                <w:lang w:val="en-US" w:eastAsia="zh-CN"/>
              </w:rPr>
              <w:t>COD、SS</w:t>
            </w:r>
          </w:p>
        </w:tc>
        <w:tc>
          <w:tcPr>
            <w:tcW w:w="2966" w:type="dxa"/>
            <w:vAlign w:val="center"/>
          </w:tcPr>
          <w:p w14:paraId="0B8BFD65">
            <w:pPr>
              <w:adjustRightInd w:val="0"/>
              <w:snapToGrid w:val="0"/>
              <w:jc w:val="center"/>
              <w:rPr>
                <w:rFonts w:hint="default" w:eastAsiaTheme="minorEastAsia"/>
                <w:color w:val="auto"/>
                <w:sz w:val="21"/>
                <w:szCs w:val="21"/>
                <w:highlight w:val="none"/>
                <w:lang w:val="en-US" w:eastAsia="zh-CN"/>
              </w:rPr>
            </w:pPr>
            <w:r>
              <w:rPr>
                <w:rFonts w:hint="eastAsia" w:ascii="Times New Roman" w:hAnsi="Times New Roman" w:cs="Times New Roman" w:eastAsiaTheme="minorEastAsia"/>
                <w:color w:val="auto"/>
                <w:szCs w:val="21"/>
                <w:highlight w:val="none"/>
                <w:lang w:val="en-US" w:eastAsia="zh-CN"/>
              </w:rPr>
              <w:t>洗车台+沉淀池</w:t>
            </w:r>
          </w:p>
        </w:tc>
        <w:tc>
          <w:tcPr>
            <w:tcW w:w="2338" w:type="dxa"/>
            <w:vAlign w:val="center"/>
          </w:tcPr>
          <w:p w14:paraId="29452D32">
            <w:pPr>
              <w:adjustRightInd w:val="0"/>
              <w:snapToGrid w:val="0"/>
              <w:jc w:val="center"/>
              <w:rPr>
                <w:rFonts w:hint="default" w:eastAsiaTheme="minorEastAsia"/>
                <w:color w:val="auto"/>
                <w:szCs w:val="21"/>
                <w:highlight w:val="none"/>
                <w:lang w:val="en-US" w:eastAsia="zh-CN"/>
              </w:rPr>
            </w:pPr>
            <w:r>
              <w:rPr>
                <w:rFonts w:hint="eastAsia" w:ascii="Times New Roman" w:hAnsi="Times New Roman" w:cs="Times New Roman" w:eastAsiaTheme="minorEastAsia"/>
                <w:color w:val="auto"/>
                <w:szCs w:val="21"/>
                <w:highlight w:val="none"/>
                <w:lang w:val="en-US" w:eastAsia="zh-CN"/>
              </w:rPr>
              <w:t>经沉淀后循环利用，不外排</w:t>
            </w:r>
          </w:p>
        </w:tc>
      </w:tr>
      <w:tr w14:paraId="4349C9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3" w:type="dxa"/>
            <w:gridSpan w:val="2"/>
            <w:vAlign w:val="center"/>
          </w:tcPr>
          <w:p w14:paraId="7672DCDF">
            <w:pPr>
              <w:adjustRightInd w:val="0"/>
              <w:snapToGrid w:val="0"/>
              <w:jc w:val="center"/>
              <w:rPr>
                <w:rFonts w:eastAsiaTheme="minorEastAsia"/>
                <w:color w:val="auto"/>
                <w:szCs w:val="21"/>
                <w:highlight w:val="none"/>
              </w:rPr>
            </w:pPr>
            <w:r>
              <w:rPr>
                <w:rFonts w:eastAsiaTheme="minorEastAsia"/>
                <w:color w:val="auto"/>
                <w:szCs w:val="21"/>
                <w:highlight w:val="none"/>
              </w:rPr>
              <w:t>声环境</w:t>
            </w:r>
          </w:p>
        </w:tc>
        <w:tc>
          <w:tcPr>
            <w:tcW w:w="1488" w:type="dxa"/>
            <w:vAlign w:val="center"/>
          </w:tcPr>
          <w:p w14:paraId="1792F2C9">
            <w:pPr>
              <w:widowControl/>
              <w:jc w:val="center"/>
              <w:rPr>
                <w:rFonts w:eastAsiaTheme="minorEastAsia"/>
                <w:color w:val="auto"/>
                <w:szCs w:val="21"/>
                <w:highlight w:val="none"/>
              </w:rPr>
            </w:pPr>
            <w:r>
              <w:rPr>
                <w:rFonts w:eastAsiaTheme="minorEastAsia"/>
                <w:color w:val="auto"/>
                <w:szCs w:val="21"/>
                <w:highlight w:val="none"/>
              </w:rPr>
              <w:t>生产设备</w:t>
            </w:r>
          </w:p>
        </w:tc>
        <w:tc>
          <w:tcPr>
            <w:tcW w:w="1150" w:type="dxa"/>
            <w:vAlign w:val="center"/>
          </w:tcPr>
          <w:p w14:paraId="1B8C5064">
            <w:pPr>
              <w:adjustRightInd w:val="0"/>
              <w:snapToGrid w:val="0"/>
              <w:jc w:val="center"/>
              <w:rPr>
                <w:rFonts w:eastAsiaTheme="minorEastAsia"/>
                <w:color w:val="auto"/>
                <w:szCs w:val="21"/>
                <w:highlight w:val="none"/>
              </w:rPr>
            </w:pPr>
            <w:r>
              <w:rPr>
                <w:rFonts w:eastAsiaTheme="minorEastAsia"/>
                <w:color w:val="auto"/>
                <w:szCs w:val="21"/>
                <w:highlight w:val="none"/>
              </w:rPr>
              <w:t>等效连续A声级</w:t>
            </w:r>
          </w:p>
        </w:tc>
        <w:tc>
          <w:tcPr>
            <w:tcW w:w="2966" w:type="dxa"/>
            <w:vAlign w:val="center"/>
          </w:tcPr>
          <w:p w14:paraId="2D4EA3BB">
            <w:pPr>
              <w:jc w:val="center"/>
              <w:rPr>
                <w:rFonts w:hint="default" w:eastAsiaTheme="minorEastAsia"/>
                <w:color w:val="auto"/>
                <w:szCs w:val="21"/>
                <w:highlight w:val="none"/>
                <w:lang w:val="en-US" w:eastAsia="zh-CN"/>
              </w:rPr>
            </w:pPr>
            <w:r>
              <w:rPr>
                <w:rFonts w:hint="eastAsia" w:eastAsiaTheme="minorEastAsia"/>
                <w:color w:val="auto"/>
                <w:kern w:val="0"/>
                <w:szCs w:val="21"/>
                <w:highlight w:val="none"/>
                <w:lang w:val="en-US" w:eastAsia="zh-CN"/>
              </w:rPr>
              <w:t>选用</w:t>
            </w:r>
            <w:r>
              <w:rPr>
                <w:rFonts w:eastAsiaTheme="minorEastAsia"/>
                <w:color w:val="auto"/>
                <w:kern w:val="0"/>
                <w:szCs w:val="21"/>
                <w:highlight w:val="none"/>
              </w:rPr>
              <w:t>低噪声设备</w:t>
            </w:r>
            <w:r>
              <w:rPr>
                <w:rFonts w:hint="eastAsia" w:eastAsiaTheme="minorEastAsia"/>
                <w:color w:val="auto"/>
                <w:kern w:val="0"/>
                <w:szCs w:val="21"/>
                <w:highlight w:val="none"/>
                <w:lang w:eastAsia="zh-CN"/>
              </w:rPr>
              <w:t>、</w:t>
            </w:r>
            <w:r>
              <w:rPr>
                <w:rFonts w:hint="eastAsia" w:eastAsiaTheme="minorEastAsia"/>
                <w:color w:val="auto"/>
                <w:kern w:val="0"/>
                <w:szCs w:val="21"/>
                <w:highlight w:val="none"/>
                <w:lang w:val="en-US" w:eastAsia="zh-CN"/>
              </w:rPr>
              <w:t>厂房隔声、基础减振、风机加装消声器、隔声房、</w:t>
            </w:r>
            <w:r>
              <w:rPr>
                <w:rFonts w:eastAsiaTheme="minorEastAsia"/>
                <w:color w:val="auto"/>
                <w:kern w:val="0"/>
                <w:szCs w:val="21"/>
                <w:highlight w:val="none"/>
              </w:rPr>
              <w:t>设备定期</w:t>
            </w:r>
            <w:r>
              <w:rPr>
                <w:rFonts w:hint="eastAsia" w:eastAsiaTheme="minorEastAsia"/>
                <w:color w:val="auto"/>
                <w:kern w:val="0"/>
                <w:szCs w:val="21"/>
                <w:highlight w:val="none"/>
                <w:lang w:val="en-US" w:eastAsia="zh-CN"/>
              </w:rPr>
              <w:t>维护保养等减振措施</w:t>
            </w:r>
          </w:p>
        </w:tc>
        <w:tc>
          <w:tcPr>
            <w:tcW w:w="2338" w:type="dxa"/>
            <w:vAlign w:val="center"/>
          </w:tcPr>
          <w:p w14:paraId="74E9971B">
            <w:pPr>
              <w:adjustRightInd w:val="0"/>
              <w:snapToGrid w:val="0"/>
              <w:jc w:val="center"/>
              <w:rPr>
                <w:rFonts w:eastAsiaTheme="minorEastAsia"/>
                <w:color w:val="auto"/>
                <w:szCs w:val="21"/>
                <w:highlight w:val="none"/>
              </w:rPr>
            </w:pPr>
            <w:r>
              <w:rPr>
                <w:rFonts w:eastAsiaTheme="minorEastAsia"/>
                <w:color w:val="auto"/>
                <w:szCs w:val="21"/>
                <w:highlight w:val="none"/>
              </w:rPr>
              <w:t>《工业企业厂界环境噪声排放标准》（GB12348-2008）</w:t>
            </w:r>
            <w:r>
              <w:rPr>
                <w:rFonts w:hint="eastAsia" w:eastAsiaTheme="minorEastAsia"/>
                <w:color w:val="auto"/>
                <w:szCs w:val="21"/>
                <w:highlight w:val="none"/>
                <w:lang w:val="en-US" w:eastAsia="zh-CN"/>
              </w:rPr>
              <w:t>表1中3</w:t>
            </w:r>
            <w:r>
              <w:rPr>
                <w:rFonts w:eastAsiaTheme="minorEastAsia"/>
                <w:color w:val="auto"/>
                <w:szCs w:val="21"/>
                <w:highlight w:val="none"/>
              </w:rPr>
              <w:t>类标准</w:t>
            </w:r>
          </w:p>
        </w:tc>
      </w:tr>
      <w:tr w14:paraId="75474D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3" w:type="dxa"/>
            <w:gridSpan w:val="2"/>
            <w:vAlign w:val="center"/>
          </w:tcPr>
          <w:p w14:paraId="19AC3D04">
            <w:pPr>
              <w:adjustRightInd w:val="0"/>
              <w:snapToGrid w:val="0"/>
              <w:jc w:val="center"/>
              <w:rPr>
                <w:rFonts w:eastAsiaTheme="minorEastAsia"/>
                <w:color w:val="auto"/>
                <w:szCs w:val="21"/>
                <w:highlight w:val="none"/>
              </w:rPr>
            </w:pPr>
            <w:r>
              <w:rPr>
                <w:rFonts w:eastAsiaTheme="minorEastAsia"/>
                <w:color w:val="auto"/>
                <w:szCs w:val="21"/>
                <w:highlight w:val="none"/>
              </w:rPr>
              <w:t>固体废物</w:t>
            </w:r>
          </w:p>
        </w:tc>
        <w:tc>
          <w:tcPr>
            <w:tcW w:w="7942" w:type="dxa"/>
            <w:gridSpan w:val="4"/>
            <w:vAlign w:val="center"/>
          </w:tcPr>
          <w:p w14:paraId="23C8FA87">
            <w:pPr>
              <w:pStyle w:val="27"/>
              <w:spacing w:line="240" w:lineRule="auto"/>
              <w:jc w:val="both"/>
              <w:rPr>
                <w:rFonts w:hint="default" w:ascii="Times New Roman" w:hAnsi="Times New Roman" w:cs="Times New Roman"/>
                <w:b w:val="0"/>
                <w:bCs w:val="0"/>
                <w:color w:val="auto"/>
                <w:kern w:val="0"/>
                <w:sz w:val="21"/>
                <w:szCs w:val="21"/>
                <w:highlight w:val="none"/>
                <w:lang w:val="en-US" w:eastAsia="zh-CN"/>
              </w:rPr>
            </w:pPr>
            <w:r>
              <w:rPr>
                <w:rFonts w:hint="eastAsia" w:ascii="宋体" w:hAnsi="宋体" w:eastAsia="宋体" w:cs="宋体"/>
                <w:color w:val="auto"/>
                <w:sz w:val="21"/>
                <w:szCs w:val="21"/>
                <w:highlight w:val="none"/>
                <w:lang w:eastAsia="zh-CN"/>
              </w:rPr>
              <w:t>①</w:t>
            </w:r>
            <w:r>
              <w:rPr>
                <w:rFonts w:hint="eastAsia" w:ascii="宋体" w:hAnsi="宋体" w:eastAsia="宋体" w:cs="宋体"/>
                <w:color w:val="auto"/>
                <w:sz w:val="21"/>
                <w:szCs w:val="21"/>
                <w:highlight w:val="none"/>
                <w:lang w:val="en-US" w:eastAsia="zh-CN"/>
              </w:rPr>
              <w:t>除尘器收集粉尘</w:t>
            </w:r>
            <w:r>
              <w:rPr>
                <w:rFonts w:hint="default" w:ascii="Times New Roman" w:hAnsi="Times New Roman" w:cs="Times New Roman"/>
                <w:color w:val="auto"/>
                <w:sz w:val="21"/>
                <w:szCs w:val="21"/>
                <w:highlight w:val="none"/>
                <w:lang w:eastAsia="zh-CN"/>
              </w:rPr>
              <w:t>经收集后全部回用于生产工序中作为生产原料使用</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其余一般固废收集后经专业公司回收处理。</w:t>
            </w:r>
            <w:r>
              <w:rPr>
                <w:rFonts w:hint="default" w:ascii="Times New Roman" w:hAnsi="Times New Roman" w:cs="Times New Roman"/>
                <w:b w:val="0"/>
                <w:bCs w:val="0"/>
                <w:color w:val="auto"/>
                <w:kern w:val="0"/>
                <w:sz w:val="21"/>
                <w:szCs w:val="21"/>
                <w:highlight w:val="none"/>
                <w:lang w:val="en-US" w:eastAsia="zh-CN"/>
              </w:rPr>
              <w:t>固体废物的处理、处置执行《一般工业固体废物贮存和填埋污染控制标准》（GB18599-2020）；</w:t>
            </w:r>
          </w:p>
          <w:p w14:paraId="71710971">
            <w:pPr>
              <w:adjustRightInd w:val="0"/>
              <w:snapToGrid w:val="0"/>
              <w:jc w:val="left"/>
              <w:rPr>
                <w:rFonts w:eastAsiaTheme="minorEastAsia"/>
                <w:color w:val="auto"/>
                <w:szCs w:val="21"/>
                <w:highlight w:val="none"/>
              </w:rPr>
            </w:pPr>
            <w:r>
              <w:rPr>
                <w:rFonts w:hint="default" w:ascii="Times New Roman" w:hAnsi="Times New Roman" w:eastAsia="宋体" w:cs="Times New Roman"/>
                <w:color w:val="auto"/>
                <w:sz w:val="21"/>
                <w:szCs w:val="21"/>
                <w:highlight w:val="none"/>
                <w:lang w:eastAsia="zh-CN"/>
              </w:rPr>
              <w:t>②</w:t>
            </w:r>
            <w:r>
              <w:rPr>
                <w:rFonts w:hint="eastAsia" w:cs="Times New Roman"/>
                <w:color w:val="auto"/>
                <w:sz w:val="21"/>
                <w:szCs w:val="21"/>
                <w:highlight w:val="none"/>
                <w:lang w:val="en-US" w:eastAsia="zh-CN"/>
              </w:rPr>
              <w:t>危险废物</w:t>
            </w:r>
            <w:r>
              <w:rPr>
                <w:rFonts w:hint="default" w:ascii="Times New Roman" w:hAnsi="Times New Roman" w:cs="Times New Roman"/>
                <w:color w:val="auto"/>
                <w:sz w:val="21"/>
                <w:szCs w:val="21"/>
                <w:highlight w:val="none"/>
                <w:lang w:eastAsia="zh-CN"/>
              </w:rPr>
              <w:t>经收集后送至厂区现有危废贮存库暂存，依托现有水泥窑协同处置100000t/a危险废物项目进行协同处置</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危险废物执行《危险废物贮存污染控制标准》（GB18597-2023）中的有关规定。</w:t>
            </w:r>
          </w:p>
        </w:tc>
      </w:tr>
      <w:tr w14:paraId="51161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3" w:type="dxa"/>
            <w:gridSpan w:val="2"/>
            <w:vAlign w:val="center"/>
          </w:tcPr>
          <w:p w14:paraId="013F4DF2">
            <w:pPr>
              <w:adjustRightInd w:val="0"/>
              <w:snapToGrid w:val="0"/>
              <w:jc w:val="center"/>
              <w:rPr>
                <w:rFonts w:eastAsiaTheme="minorEastAsia"/>
                <w:color w:val="auto"/>
                <w:szCs w:val="21"/>
                <w:highlight w:val="none"/>
              </w:rPr>
            </w:pPr>
            <w:r>
              <w:rPr>
                <w:rFonts w:eastAsiaTheme="minorEastAsia"/>
                <w:color w:val="auto"/>
                <w:szCs w:val="21"/>
                <w:highlight w:val="none"/>
              </w:rPr>
              <w:t>土壤及地下水污染防治措施</w:t>
            </w:r>
          </w:p>
        </w:tc>
        <w:tc>
          <w:tcPr>
            <w:tcW w:w="7942" w:type="dxa"/>
            <w:gridSpan w:val="4"/>
            <w:vAlign w:val="center"/>
          </w:tcPr>
          <w:p w14:paraId="1B7DEA8F">
            <w:pPr>
              <w:pStyle w:val="27"/>
              <w:spacing w:line="240" w:lineRule="auto"/>
              <w:jc w:val="both"/>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①</w:t>
            </w:r>
            <w:r>
              <w:rPr>
                <w:rFonts w:hint="eastAsia" w:ascii="Times New Roman" w:hAnsi="Times New Roman" w:eastAsia="宋体" w:cs="Times New Roman"/>
                <w:color w:val="auto"/>
                <w:sz w:val="21"/>
                <w:szCs w:val="21"/>
                <w:highlight w:val="none"/>
                <w:lang w:eastAsia="zh-CN"/>
              </w:rPr>
              <w:t>严格按照分区防渗要求，做好重点防渗区（</w:t>
            </w:r>
            <w:r>
              <w:rPr>
                <w:rFonts w:hint="eastAsia" w:ascii="Times New Roman" w:hAnsi="Times New Roman" w:cs="Times New Roman"/>
                <w:color w:val="auto"/>
                <w:sz w:val="21"/>
                <w:szCs w:val="21"/>
                <w:highlight w:val="none"/>
                <w:lang w:val="en-US" w:eastAsia="zh-CN"/>
              </w:rPr>
              <w:t>危废贮存库</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和</w:t>
            </w:r>
            <w:r>
              <w:rPr>
                <w:rFonts w:hint="eastAsia" w:ascii="Times New Roman" w:hAnsi="Times New Roman" w:eastAsia="宋体" w:cs="Times New Roman"/>
                <w:color w:val="auto"/>
                <w:sz w:val="21"/>
                <w:szCs w:val="21"/>
                <w:highlight w:val="none"/>
                <w:lang w:eastAsia="zh-CN"/>
              </w:rPr>
              <w:t>一般防渗区的</w:t>
            </w:r>
            <w:r>
              <w:rPr>
                <w:rFonts w:hint="default" w:ascii="Times New Roman" w:hAnsi="Times New Roman" w:eastAsia="宋体" w:cs="Times New Roman"/>
                <w:color w:val="auto"/>
                <w:sz w:val="21"/>
                <w:szCs w:val="21"/>
                <w:highlight w:val="none"/>
              </w:rPr>
              <w:t>分区防渗</w:t>
            </w:r>
            <w:r>
              <w:rPr>
                <w:rFonts w:hint="eastAsia" w:ascii="Times New Roman" w:hAnsi="Times New Roman" w:eastAsia="宋体" w:cs="Times New Roman"/>
                <w:color w:val="auto"/>
                <w:sz w:val="21"/>
                <w:szCs w:val="21"/>
                <w:highlight w:val="none"/>
                <w:lang w:eastAsia="zh-CN"/>
              </w:rPr>
              <w:t>与</w:t>
            </w:r>
            <w:r>
              <w:rPr>
                <w:rFonts w:hint="default" w:ascii="Times New Roman" w:hAnsi="Times New Roman" w:eastAsia="宋体" w:cs="Times New Roman"/>
                <w:color w:val="auto"/>
                <w:sz w:val="21"/>
                <w:szCs w:val="21"/>
                <w:highlight w:val="none"/>
              </w:rPr>
              <w:t>硬化；</w:t>
            </w:r>
          </w:p>
          <w:p w14:paraId="7E19E590">
            <w:pPr>
              <w:pStyle w:val="27"/>
              <w:spacing w:line="240" w:lineRule="auto"/>
              <w:jc w:val="both"/>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②</w:t>
            </w:r>
            <w:r>
              <w:rPr>
                <w:rFonts w:hint="default" w:ascii="Times New Roman" w:hAnsi="Times New Roman" w:eastAsia="宋体" w:cs="Times New Roman"/>
                <w:color w:val="auto"/>
                <w:sz w:val="21"/>
                <w:szCs w:val="21"/>
                <w:highlight w:val="none"/>
              </w:rPr>
              <w:t>加强固体废物</w:t>
            </w:r>
            <w:r>
              <w:rPr>
                <w:rFonts w:hint="eastAsia" w:ascii="Times New Roman" w:hAnsi="Times New Roman" w:eastAsia="宋体" w:cs="Times New Roman"/>
                <w:color w:val="auto"/>
                <w:sz w:val="21"/>
                <w:szCs w:val="21"/>
                <w:highlight w:val="none"/>
                <w:lang w:eastAsia="zh-CN"/>
              </w:rPr>
              <w:t>尤其是</w:t>
            </w:r>
            <w:r>
              <w:rPr>
                <w:rFonts w:hint="eastAsia" w:ascii="Times New Roman" w:hAnsi="Times New Roman" w:cs="Times New Roman"/>
                <w:color w:val="auto"/>
                <w:sz w:val="21"/>
                <w:szCs w:val="21"/>
                <w:highlight w:val="none"/>
                <w:lang w:val="en-US" w:eastAsia="zh-CN"/>
              </w:rPr>
              <w:t>危废贮存库</w:t>
            </w:r>
            <w:r>
              <w:rPr>
                <w:rFonts w:hint="eastAsia" w:ascii="Times New Roman" w:hAnsi="Times New Roman" w:eastAsia="宋体" w:cs="Times New Roman"/>
                <w:color w:val="auto"/>
                <w:sz w:val="21"/>
                <w:szCs w:val="21"/>
                <w:highlight w:val="none"/>
                <w:lang w:eastAsia="zh-CN"/>
              </w:rPr>
              <w:t>的</w:t>
            </w:r>
            <w:r>
              <w:rPr>
                <w:rFonts w:hint="default" w:ascii="Times New Roman" w:hAnsi="Times New Roman" w:eastAsia="宋体" w:cs="Times New Roman"/>
                <w:color w:val="auto"/>
                <w:sz w:val="21"/>
                <w:szCs w:val="21"/>
                <w:highlight w:val="none"/>
              </w:rPr>
              <w:t>管理，避免</w:t>
            </w:r>
            <w:r>
              <w:rPr>
                <w:rFonts w:hint="eastAsia" w:ascii="Times New Roman" w:hAnsi="Times New Roman" w:eastAsia="宋体" w:cs="Times New Roman"/>
                <w:color w:val="auto"/>
                <w:sz w:val="21"/>
                <w:szCs w:val="21"/>
                <w:highlight w:val="none"/>
                <w:lang w:eastAsia="zh-CN"/>
              </w:rPr>
              <w:t>长时间</w:t>
            </w:r>
            <w:r>
              <w:rPr>
                <w:rFonts w:hint="default" w:ascii="Times New Roman" w:hAnsi="Times New Roman" w:eastAsia="宋体" w:cs="Times New Roman"/>
                <w:color w:val="auto"/>
                <w:sz w:val="21"/>
                <w:szCs w:val="21"/>
                <w:highlight w:val="none"/>
              </w:rPr>
              <w:t>大量堆积</w:t>
            </w:r>
            <w:r>
              <w:rPr>
                <w:rFonts w:hint="eastAsia" w:ascii="Times New Roman" w:hAnsi="Times New Roman" w:eastAsia="宋体" w:cs="Times New Roman"/>
                <w:color w:val="auto"/>
                <w:sz w:val="21"/>
                <w:szCs w:val="21"/>
                <w:highlight w:val="none"/>
                <w:lang w:eastAsia="zh-CN"/>
              </w:rPr>
              <w:t>；</w:t>
            </w:r>
          </w:p>
          <w:p w14:paraId="3AAC908E">
            <w:pPr>
              <w:jc w:val="left"/>
              <w:rPr>
                <w:rFonts w:eastAsiaTheme="minorEastAsia"/>
                <w:color w:val="auto"/>
                <w:szCs w:val="21"/>
                <w:highlight w:val="none"/>
              </w:rPr>
            </w:pPr>
            <w:r>
              <w:rPr>
                <w:rFonts w:hint="eastAsia" w:ascii="Times New Roman" w:hAnsi="Times New Roman" w:eastAsia="宋体" w:cs="Times New Roman"/>
                <w:color w:val="auto"/>
                <w:sz w:val="21"/>
                <w:szCs w:val="21"/>
                <w:highlight w:val="none"/>
                <w:lang w:eastAsia="zh-CN"/>
              </w:rPr>
              <w:t>③采取源头控制、过程防控等措施。</w:t>
            </w:r>
          </w:p>
        </w:tc>
      </w:tr>
      <w:tr w14:paraId="681871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3" w:type="dxa"/>
            <w:gridSpan w:val="2"/>
            <w:vAlign w:val="center"/>
          </w:tcPr>
          <w:p w14:paraId="74F07C86">
            <w:pPr>
              <w:adjustRightInd w:val="0"/>
              <w:snapToGrid w:val="0"/>
              <w:jc w:val="center"/>
              <w:rPr>
                <w:rFonts w:eastAsiaTheme="minorEastAsia"/>
                <w:color w:val="auto"/>
                <w:szCs w:val="21"/>
                <w:highlight w:val="none"/>
              </w:rPr>
            </w:pPr>
            <w:r>
              <w:rPr>
                <w:rFonts w:eastAsiaTheme="minorEastAsia"/>
                <w:color w:val="auto"/>
                <w:szCs w:val="21"/>
                <w:highlight w:val="none"/>
              </w:rPr>
              <w:t>生态保护措施</w:t>
            </w:r>
          </w:p>
        </w:tc>
        <w:tc>
          <w:tcPr>
            <w:tcW w:w="7942" w:type="dxa"/>
            <w:gridSpan w:val="4"/>
            <w:vAlign w:val="center"/>
          </w:tcPr>
          <w:p w14:paraId="6C653C03">
            <w:pPr>
              <w:adjustRightInd w:val="0"/>
              <w:snapToGrid w:val="0"/>
              <w:jc w:val="center"/>
              <w:rPr>
                <w:rFonts w:eastAsiaTheme="minorEastAsia"/>
                <w:color w:val="auto"/>
                <w:szCs w:val="21"/>
                <w:highlight w:val="none"/>
              </w:rPr>
            </w:pPr>
            <w:r>
              <w:rPr>
                <w:rFonts w:eastAsiaTheme="minorEastAsia"/>
                <w:color w:val="auto"/>
                <w:szCs w:val="21"/>
                <w:highlight w:val="none"/>
              </w:rPr>
              <w:t>/</w:t>
            </w:r>
          </w:p>
        </w:tc>
      </w:tr>
      <w:tr w14:paraId="280084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3" w:type="dxa"/>
            <w:gridSpan w:val="2"/>
            <w:vAlign w:val="center"/>
          </w:tcPr>
          <w:p w14:paraId="23CC6706">
            <w:pPr>
              <w:adjustRightInd w:val="0"/>
              <w:snapToGrid w:val="0"/>
              <w:jc w:val="center"/>
              <w:rPr>
                <w:rFonts w:eastAsiaTheme="minorEastAsia"/>
                <w:color w:val="auto"/>
                <w:spacing w:val="-8"/>
                <w:szCs w:val="21"/>
                <w:highlight w:val="none"/>
              </w:rPr>
            </w:pPr>
            <w:r>
              <w:rPr>
                <w:rFonts w:eastAsiaTheme="minorEastAsia"/>
                <w:color w:val="auto"/>
                <w:spacing w:val="-8"/>
                <w:szCs w:val="21"/>
                <w:highlight w:val="none"/>
              </w:rPr>
              <w:t>环境风险</w:t>
            </w:r>
          </w:p>
          <w:p w14:paraId="5A726700">
            <w:pPr>
              <w:adjustRightInd w:val="0"/>
              <w:snapToGrid w:val="0"/>
              <w:jc w:val="center"/>
              <w:rPr>
                <w:rFonts w:eastAsiaTheme="minorEastAsia"/>
                <w:color w:val="auto"/>
                <w:spacing w:val="-8"/>
                <w:szCs w:val="21"/>
                <w:highlight w:val="none"/>
              </w:rPr>
            </w:pPr>
            <w:r>
              <w:rPr>
                <w:rFonts w:eastAsiaTheme="minorEastAsia"/>
                <w:color w:val="auto"/>
                <w:spacing w:val="-8"/>
                <w:szCs w:val="21"/>
                <w:highlight w:val="none"/>
              </w:rPr>
              <w:t>防范措施</w:t>
            </w:r>
          </w:p>
        </w:tc>
        <w:tc>
          <w:tcPr>
            <w:tcW w:w="7942" w:type="dxa"/>
            <w:gridSpan w:val="4"/>
            <w:vAlign w:val="center"/>
          </w:tcPr>
          <w:p w14:paraId="41C98740">
            <w:pPr>
              <w:widowControl/>
              <w:adjustRightInd w:val="0"/>
              <w:snapToGrid w:val="0"/>
              <w:rPr>
                <w:color w:val="auto"/>
                <w:szCs w:val="21"/>
                <w:highlight w:val="none"/>
              </w:rPr>
            </w:pPr>
            <w:r>
              <w:rPr>
                <w:rFonts w:hint="eastAsia" w:ascii="宋体" w:hAnsi="宋体" w:eastAsia="宋体" w:cs="宋体"/>
                <w:color w:val="auto"/>
                <w:kern w:val="0"/>
                <w:szCs w:val="21"/>
                <w:highlight w:val="none"/>
              </w:rPr>
              <w:t>①</w:t>
            </w:r>
            <w:r>
              <w:rPr>
                <w:color w:val="auto"/>
                <w:szCs w:val="21"/>
                <w:highlight w:val="none"/>
              </w:rPr>
              <w:t>严格</w:t>
            </w:r>
            <w:r>
              <w:rPr>
                <w:rFonts w:hint="eastAsia"/>
                <w:color w:val="auto"/>
                <w:szCs w:val="21"/>
                <w:highlight w:val="none"/>
                <w:lang w:val="en-US" w:eastAsia="zh-CN"/>
              </w:rPr>
              <w:t>执行</w:t>
            </w:r>
            <w:r>
              <w:rPr>
                <w:color w:val="auto"/>
                <w:szCs w:val="21"/>
                <w:highlight w:val="none"/>
              </w:rPr>
              <w:t>《危险废物贮存污染控制标准》</w:t>
            </w:r>
            <w:r>
              <w:rPr>
                <w:rFonts w:hint="eastAsia"/>
                <w:color w:val="auto"/>
                <w:szCs w:val="21"/>
                <w:highlight w:val="none"/>
              </w:rPr>
              <w:t>（</w:t>
            </w:r>
            <w:r>
              <w:rPr>
                <w:color w:val="auto"/>
                <w:szCs w:val="21"/>
                <w:highlight w:val="none"/>
              </w:rPr>
              <w:t>GB18597-2023</w:t>
            </w:r>
            <w:r>
              <w:rPr>
                <w:rFonts w:hint="eastAsia"/>
                <w:color w:val="auto"/>
                <w:szCs w:val="21"/>
                <w:highlight w:val="none"/>
              </w:rPr>
              <w:t>）</w:t>
            </w:r>
            <w:r>
              <w:rPr>
                <w:color w:val="auto"/>
                <w:szCs w:val="21"/>
                <w:highlight w:val="none"/>
              </w:rPr>
              <w:t>中的相关要求，用专用容器集中</w:t>
            </w:r>
            <w:r>
              <w:rPr>
                <w:rFonts w:hint="eastAsia"/>
                <w:color w:val="auto"/>
                <w:szCs w:val="21"/>
                <w:highlight w:val="none"/>
                <w:lang w:val="en-US" w:eastAsia="zh-CN"/>
              </w:rPr>
              <w:t>分类</w:t>
            </w:r>
            <w:r>
              <w:rPr>
                <w:color w:val="auto"/>
                <w:szCs w:val="21"/>
                <w:highlight w:val="none"/>
              </w:rPr>
              <w:t>收集，</w:t>
            </w:r>
            <w:r>
              <w:rPr>
                <w:rFonts w:hint="eastAsia"/>
                <w:color w:val="auto"/>
                <w:szCs w:val="21"/>
                <w:highlight w:val="none"/>
                <w:lang w:val="en-US" w:eastAsia="zh-CN"/>
              </w:rPr>
              <w:t>分区存放，</w:t>
            </w:r>
            <w:r>
              <w:rPr>
                <w:color w:val="auto"/>
                <w:szCs w:val="21"/>
                <w:highlight w:val="none"/>
              </w:rPr>
              <w:t>同时由专人管理，定期</w:t>
            </w:r>
            <w:r>
              <w:rPr>
                <w:rFonts w:hint="eastAsia"/>
                <w:color w:val="auto"/>
                <w:szCs w:val="21"/>
                <w:highlight w:val="none"/>
                <w:lang w:val="en-US" w:eastAsia="zh-CN"/>
              </w:rPr>
              <w:t>利用</w:t>
            </w:r>
            <w:r>
              <w:rPr>
                <w:rFonts w:hint="default" w:ascii="Times New Roman" w:hAnsi="Times New Roman" w:cs="Times New Roman"/>
                <w:color w:val="auto"/>
                <w:sz w:val="21"/>
                <w:szCs w:val="21"/>
                <w:highlight w:val="none"/>
                <w:lang w:eastAsia="zh-CN"/>
              </w:rPr>
              <w:t>水泥窑协同处置100000t/a危险废物项目进行协同处置</w:t>
            </w:r>
            <w:r>
              <w:rPr>
                <w:color w:val="auto"/>
                <w:szCs w:val="21"/>
                <w:highlight w:val="none"/>
              </w:rPr>
              <w:t>。</w:t>
            </w:r>
          </w:p>
          <w:p w14:paraId="3295C9AF">
            <w:pPr>
              <w:widowControl/>
              <w:adjustRightInd w:val="0"/>
              <w:snapToGrid w:val="0"/>
              <w:rPr>
                <w:color w:val="auto"/>
                <w:szCs w:val="21"/>
                <w:highlight w:val="none"/>
              </w:rPr>
            </w:pPr>
            <w:r>
              <w:rPr>
                <w:rFonts w:hint="eastAsia" w:ascii="宋体" w:hAnsi="宋体" w:eastAsia="宋体" w:cs="宋体"/>
                <w:color w:val="auto"/>
                <w:szCs w:val="21"/>
                <w:highlight w:val="none"/>
              </w:rPr>
              <w:t>②</w:t>
            </w:r>
            <w:r>
              <w:rPr>
                <w:rFonts w:hint="eastAsia"/>
                <w:color w:val="auto"/>
                <w:szCs w:val="21"/>
                <w:highlight w:val="none"/>
                <w:lang w:eastAsia="zh-CN"/>
              </w:rPr>
              <w:t>危废贮存库</w:t>
            </w:r>
            <w:r>
              <w:rPr>
                <w:color w:val="auto"/>
                <w:szCs w:val="21"/>
                <w:highlight w:val="none"/>
              </w:rPr>
              <w:t>应做到以下防范措施：存放地面墙裙达到</w:t>
            </w:r>
            <w:r>
              <w:rPr>
                <w:rFonts w:hint="eastAsia"/>
                <w:color w:val="auto"/>
                <w:szCs w:val="21"/>
                <w:highlight w:val="none"/>
                <w:lang w:val="en-US" w:eastAsia="zh-CN"/>
              </w:rPr>
              <w:t>重点</w:t>
            </w:r>
            <w:r>
              <w:rPr>
                <w:color w:val="auto"/>
                <w:szCs w:val="21"/>
                <w:highlight w:val="none"/>
              </w:rPr>
              <w:t>防渗要求，设置防渗漏托盘</w:t>
            </w:r>
            <w:r>
              <w:rPr>
                <w:rFonts w:hint="eastAsia"/>
                <w:color w:val="auto"/>
                <w:szCs w:val="21"/>
                <w:highlight w:val="none"/>
                <w:lang w:eastAsia="zh-CN"/>
              </w:rPr>
              <w:t>，</w:t>
            </w:r>
            <w:r>
              <w:rPr>
                <w:color w:val="auto"/>
                <w:szCs w:val="21"/>
                <w:highlight w:val="none"/>
              </w:rPr>
              <w:t>定期检查清运，配备灭火器等消防器材并定期检查更换。</w:t>
            </w:r>
          </w:p>
          <w:p w14:paraId="296C777B">
            <w:pPr>
              <w:widowControl/>
              <w:adjustRightInd w:val="0"/>
              <w:snapToGrid w:val="0"/>
              <w:rPr>
                <w:rFonts w:eastAsiaTheme="minorEastAsia"/>
                <w:color w:val="auto"/>
                <w:szCs w:val="21"/>
                <w:highlight w:val="none"/>
              </w:rPr>
            </w:pPr>
            <w:r>
              <w:rPr>
                <w:rFonts w:hint="eastAsia" w:ascii="宋体" w:hAnsi="宋体" w:eastAsia="宋体" w:cs="宋体"/>
                <w:color w:val="auto"/>
                <w:kern w:val="0"/>
                <w:szCs w:val="21"/>
                <w:highlight w:val="none"/>
              </w:rPr>
              <w:t>③</w:t>
            </w:r>
            <w:r>
              <w:rPr>
                <w:rFonts w:hint="eastAsia" w:eastAsiaTheme="minorEastAsia"/>
                <w:color w:val="auto"/>
                <w:kern w:val="0"/>
                <w:szCs w:val="21"/>
                <w:highlight w:val="none"/>
              </w:rPr>
              <w:t>企业应依法</w:t>
            </w:r>
            <w:r>
              <w:rPr>
                <w:rFonts w:hint="eastAsia" w:eastAsiaTheme="minorEastAsia"/>
                <w:color w:val="auto"/>
                <w:kern w:val="0"/>
                <w:szCs w:val="21"/>
                <w:highlight w:val="none"/>
                <w:lang w:val="en-US" w:eastAsia="zh-CN"/>
              </w:rPr>
              <w:t>修编</w:t>
            </w:r>
            <w:r>
              <w:rPr>
                <w:rFonts w:hint="eastAsia" w:eastAsiaTheme="minorEastAsia"/>
                <w:color w:val="auto"/>
                <w:kern w:val="0"/>
                <w:szCs w:val="21"/>
                <w:highlight w:val="none"/>
              </w:rPr>
              <w:t>突发环境事件应急预案并报环境主管部门进行备案，积极防范各类风险事故的发生，定期进行风险事故应急演练并存档记录。</w:t>
            </w:r>
          </w:p>
        </w:tc>
      </w:tr>
      <w:tr w14:paraId="474F6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3" w:type="dxa"/>
            <w:gridSpan w:val="2"/>
            <w:vAlign w:val="center"/>
          </w:tcPr>
          <w:p w14:paraId="1E9110CA">
            <w:pPr>
              <w:adjustRightInd w:val="0"/>
              <w:snapToGrid w:val="0"/>
              <w:jc w:val="center"/>
              <w:rPr>
                <w:rFonts w:eastAsiaTheme="minorEastAsia"/>
                <w:color w:val="auto"/>
                <w:spacing w:val="-8"/>
                <w:szCs w:val="21"/>
                <w:highlight w:val="none"/>
              </w:rPr>
            </w:pPr>
            <w:r>
              <w:rPr>
                <w:rFonts w:eastAsiaTheme="minorEastAsia"/>
                <w:color w:val="auto"/>
                <w:spacing w:val="-8"/>
                <w:szCs w:val="21"/>
                <w:highlight w:val="none"/>
              </w:rPr>
              <w:t>其他环境</w:t>
            </w:r>
          </w:p>
          <w:p w14:paraId="74BC1BE9">
            <w:pPr>
              <w:adjustRightInd w:val="0"/>
              <w:snapToGrid w:val="0"/>
              <w:jc w:val="center"/>
              <w:rPr>
                <w:rFonts w:eastAsiaTheme="minorEastAsia"/>
                <w:color w:val="auto"/>
                <w:spacing w:val="-8"/>
                <w:szCs w:val="21"/>
                <w:highlight w:val="none"/>
              </w:rPr>
            </w:pPr>
            <w:r>
              <w:rPr>
                <w:rFonts w:eastAsiaTheme="minorEastAsia"/>
                <w:color w:val="auto"/>
                <w:spacing w:val="-8"/>
                <w:szCs w:val="21"/>
                <w:highlight w:val="none"/>
              </w:rPr>
              <w:t>管理要求</w:t>
            </w:r>
          </w:p>
        </w:tc>
        <w:tc>
          <w:tcPr>
            <w:tcW w:w="7942" w:type="dxa"/>
            <w:gridSpan w:val="4"/>
            <w:vAlign w:val="center"/>
          </w:tcPr>
          <w:p w14:paraId="32D3333A">
            <w:pPr>
              <w:pStyle w:val="27"/>
              <w:keepNext w:val="0"/>
              <w:keepLines w:val="0"/>
              <w:pageBreakBefore w:val="0"/>
              <w:widowControl w:val="0"/>
              <w:numPr>
                <w:ilvl w:val="0"/>
                <w:numId w:val="0"/>
              </w:numPr>
              <w:kinsoku/>
              <w:wordWrap/>
              <w:overflowPunct/>
              <w:topLinePunct w:val="0"/>
              <w:autoSpaceDE/>
              <w:autoSpaceDN/>
              <w:bidi w:val="0"/>
              <w:snapToGrid w:val="0"/>
              <w:spacing w:line="240" w:lineRule="auto"/>
              <w:ind w:firstLine="422" w:firstLineChars="20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eastAsiaTheme="minorEastAsia"/>
                <w:b/>
                <w:bCs/>
                <w:color w:val="auto"/>
                <w:sz w:val="21"/>
                <w:szCs w:val="21"/>
                <w:highlight w:val="none"/>
                <w:lang w:val="en-US" w:eastAsia="zh-CN"/>
              </w:rPr>
              <w:t>1</w:t>
            </w:r>
            <w:r>
              <w:rPr>
                <w:rFonts w:hint="eastAsia" w:ascii="Times New Roman" w:hAnsi="Times New Roman" w:cs="Times New Roman" w:eastAsiaTheme="minorEastAsia"/>
                <w:b/>
                <w:bCs/>
                <w:color w:val="auto"/>
                <w:sz w:val="21"/>
                <w:szCs w:val="21"/>
                <w:highlight w:val="none"/>
                <w:lang w:val="en-US" w:eastAsia="zh-CN"/>
              </w:rPr>
              <w:t>.</w:t>
            </w:r>
            <w:r>
              <w:rPr>
                <w:rFonts w:hint="eastAsia" w:asciiTheme="minorEastAsia" w:hAnsiTheme="minorEastAsia" w:eastAsiaTheme="minorEastAsia" w:cstheme="minorEastAsia"/>
                <w:b/>
                <w:bCs/>
                <w:color w:val="auto"/>
                <w:sz w:val="21"/>
                <w:szCs w:val="21"/>
                <w:highlight w:val="none"/>
              </w:rPr>
              <w:t>“三同时”</w:t>
            </w:r>
            <w:r>
              <w:rPr>
                <w:rFonts w:hint="default" w:ascii="Times New Roman" w:hAnsi="Times New Roman" w:eastAsia="宋体" w:cs="Times New Roman"/>
                <w:b/>
                <w:bCs/>
                <w:color w:val="auto"/>
                <w:sz w:val="21"/>
                <w:szCs w:val="21"/>
                <w:highlight w:val="none"/>
              </w:rPr>
              <w:t>制度</w:t>
            </w:r>
          </w:p>
          <w:p w14:paraId="6F3BCD72">
            <w:pPr>
              <w:pStyle w:val="27"/>
              <w:keepNext w:val="0"/>
              <w:keepLines w:val="0"/>
              <w:pageBreakBefore w:val="0"/>
              <w:widowControl w:val="0"/>
              <w:numPr>
                <w:ilvl w:val="0"/>
                <w:numId w:val="0"/>
              </w:numPr>
              <w:kinsoku/>
              <w:wordWrap/>
              <w:overflowPunct/>
              <w:topLinePunct w:val="0"/>
              <w:autoSpaceDE/>
              <w:autoSpaceDN/>
              <w:bidi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建设单位认真落实与废气、废水、</w:t>
            </w:r>
            <w:r>
              <w:rPr>
                <w:rFonts w:hint="eastAsia" w:ascii="Times New Roman" w:hAnsi="Times New Roman" w:cs="Times New Roman"/>
                <w:color w:val="auto"/>
                <w:sz w:val="21"/>
                <w:szCs w:val="21"/>
                <w:highlight w:val="none"/>
                <w:lang w:val="en-US" w:eastAsia="zh-CN"/>
              </w:rPr>
              <w:t>噪声</w:t>
            </w:r>
            <w:r>
              <w:rPr>
                <w:rFonts w:hint="default" w:ascii="Times New Roman" w:hAnsi="Times New Roman" w:eastAsia="宋体"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固体废物</w:t>
            </w:r>
            <w:r>
              <w:rPr>
                <w:rFonts w:hint="default" w:ascii="Times New Roman" w:hAnsi="Times New Roman" w:eastAsia="宋体" w:cs="Times New Roman"/>
                <w:color w:val="auto"/>
                <w:sz w:val="21"/>
                <w:szCs w:val="21"/>
                <w:highlight w:val="none"/>
                <w:lang w:val="en-US" w:eastAsia="zh-CN"/>
              </w:rPr>
              <w:t>污染</w:t>
            </w:r>
            <w:r>
              <w:rPr>
                <w:rFonts w:hint="default" w:ascii="Times New Roman" w:hAnsi="Times New Roman" w:eastAsia="宋体" w:cs="Times New Roman"/>
                <w:color w:val="auto"/>
                <w:sz w:val="21"/>
                <w:szCs w:val="21"/>
                <w:highlight w:val="none"/>
              </w:rPr>
              <w:t>防治措施同时设计、同时施工、同时投产使用</w:t>
            </w:r>
            <w:r>
              <w:rPr>
                <w:rFonts w:hint="eastAsia" w:ascii="Times New Roman" w:hAnsi="Times New Roman" w:cs="Times New Roman"/>
                <w:color w:val="auto"/>
                <w:sz w:val="21"/>
                <w:szCs w:val="21"/>
                <w:highlight w:val="none"/>
                <w:lang w:val="en-US" w:eastAsia="zh-CN"/>
              </w:rPr>
              <w:t>的</w:t>
            </w:r>
            <w:r>
              <w:rPr>
                <w:rFonts w:hint="eastAsia" w:asciiTheme="minorEastAsia" w:hAnsiTheme="minorEastAsia" w:eastAsiaTheme="minorEastAsia" w:cstheme="minorEastAsia"/>
                <w:color w:val="auto"/>
                <w:sz w:val="21"/>
                <w:szCs w:val="21"/>
                <w:highlight w:val="none"/>
              </w:rPr>
              <w:t>“三同时”制</w:t>
            </w:r>
            <w:r>
              <w:rPr>
                <w:rFonts w:hint="default" w:ascii="Times New Roman" w:hAnsi="Times New Roman" w:eastAsia="宋体" w:cs="Times New Roman"/>
                <w:color w:val="auto"/>
                <w:sz w:val="21"/>
                <w:szCs w:val="21"/>
                <w:highlight w:val="none"/>
              </w:rPr>
              <w:t>度。</w:t>
            </w:r>
          </w:p>
          <w:p w14:paraId="79B7D17B">
            <w:pPr>
              <w:pStyle w:val="27"/>
              <w:keepNext w:val="0"/>
              <w:keepLines w:val="0"/>
              <w:pageBreakBefore w:val="0"/>
              <w:widowControl w:val="0"/>
              <w:kinsoku/>
              <w:wordWrap/>
              <w:overflowPunct/>
              <w:topLinePunct w:val="0"/>
              <w:autoSpaceDE/>
              <w:autoSpaceDN/>
              <w:bidi w:val="0"/>
              <w:snapToGrid w:val="0"/>
              <w:spacing w:line="240" w:lineRule="auto"/>
              <w:ind w:firstLine="422" w:firstLineChars="20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2</w:t>
            </w:r>
            <w:r>
              <w:rPr>
                <w:rFonts w:hint="eastAsia" w:ascii="Times New Roman" w:hAnsi="Times New Roman"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环境管理制度</w:t>
            </w:r>
          </w:p>
          <w:p w14:paraId="4EBF2BD7">
            <w:pPr>
              <w:pStyle w:val="27"/>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Cs w:val="21"/>
                <w:highlight w:val="none"/>
              </w:rPr>
              <w:t>①</w:t>
            </w:r>
            <w:r>
              <w:rPr>
                <w:rFonts w:hint="default" w:ascii="Times New Roman" w:hAnsi="Times New Roman" w:eastAsia="宋体" w:cs="Times New Roman"/>
                <w:color w:val="auto"/>
                <w:sz w:val="21"/>
                <w:szCs w:val="21"/>
                <w:highlight w:val="none"/>
              </w:rPr>
              <w:t>贯彻执行国家和地方各项环保方针、政策和法规，将环境指标纳入生产计划指标，建立企业内部的环境保护机构、制定与其相适应的</w:t>
            </w:r>
            <w:r>
              <w:rPr>
                <w:rFonts w:hint="eastAsia" w:ascii="Times New Roman" w:hAnsi="Times New Roman" w:eastAsia="宋体" w:cs="Times New Roman"/>
                <w:color w:val="auto"/>
                <w:sz w:val="21"/>
                <w:szCs w:val="21"/>
                <w:highlight w:val="none"/>
                <w:lang w:val="en-US" w:eastAsia="zh-CN"/>
              </w:rPr>
              <w:t>环保</w:t>
            </w:r>
            <w:r>
              <w:rPr>
                <w:rFonts w:hint="default" w:ascii="Times New Roman" w:hAnsi="Times New Roman" w:eastAsia="宋体" w:cs="Times New Roman"/>
                <w:color w:val="auto"/>
                <w:sz w:val="21"/>
                <w:szCs w:val="21"/>
                <w:highlight w:val="none"/>
              </w:rPr>
              <w:t>管理规章制度及细则；</w:t>
            </w:r>
          </w:p>
          <w:p w14:paraId="2B23C749">
            <w:pPr>
              <w:pStyle w:val="27"/>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color w:val="auto"/>
                <w:szCs w:val="21"/>
                <w:highlight w:val="none"/>
              </w:rPr>
              <w:t>②</w:t>
            </w:r>
            <w:r>
              <w:rPr>
                <w:rFonts w:hint="default" w:ascii="Times New Roman" w:hAnsi="Times New Roman" w:eastAsia="宋体" w:cs="Times New Roman"/>
                <w:color w:val="auto"/>
                <w:sz w:val="21"/>
                <w:szCs w:val="21"/>
                <w:highlight w:val="none"/>
              </w:rPr>
              <w:t>加强对</w:t>
            </w:r>
            <w:r>
              <w:rPr>
                <w:rFonts w:hint="eastAsia" w:ascii="Times New Roman" w:hAnsi="Times New Roman" w:eastAsia="宋体" w:cs="Times New Roman"/>
                <w:color w:val="auto"/>
                <w:sz w:val="21"/>
                <w:szCs w:val="21"/>
                <w:highlight w:val="none"/>
                <w:lang w:val="en-US" w:eastAsia="zh-CN"/>
              </w:rPr>
              <w:t>员工</w:t>
            </w:r>
            <w:r>
              <w:rPr>
                <w:rFonts w:hint="default" w:ascii="Times New Roman" w:hAnsi="Times New Roman" w:eastAsia="宋体" w:cs="Times New Roman"/>
                <w:color w:val="auto"/>
                <w:sz w:val="21"/>
                <w:szCs w:val="21"/>
                <w:highlight w:val="none"/>
              </w:rPr>
              <w:t>的环保教育，包括业务能力、操作技术、环保管理知识的教育，以增强</w:t>
            </w:r>
            <w:r>
              <w:rPr>
                <w:rFonts w:hint="eastAsia" w:ascii="Times New Roman" w:hAnsi="Times New Roman" w:eastAsia="宋体" w:cs="Times New Roman"/>
                <w:color w:val="auto"/>
                <w:sz w:val="21"/>
                <w:szCs w:val="21"/>
                <w:highlight w:val="none"/>
                <w:lang w:val="en-US" w:eastAsia="zh-CN"/>
              </w:rPr>
              <w:t>员工</w:t>
            </w:r>
            <w:r>
              <w:rPr>
                <w:rFonts w:hint="default" w:ascii="Times New Roman" w:hAnsi="Times New Roman" w:eastAsia="宋体" w:cs="Times New Roman"/>
                <w:color w:val="auto"/>
                <w:sz w:val="21"/>
                <w:szCs w:val="21"/>
                <w:highlight w:val="none"/>
              </w:rPr>
              <w:t>的环保意识，提高管理水平；</w:t>
            </w:r>
          </w:p>
          <w:p w14:paraId="1FE1D8F3">
            <w:pPr>
              <w:pStyle w:val="27"/>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color w:val="auto"/>
                <w:kern w:val="0"/>
                <w:szCs w:val="21"/>
                <w:highlight w:val="none"/>
              </w:rPr>
              <w:t>③</w:t>
            </w:r>
            <w:r>
              <w:rPr>
                <w:rFonts w:hint="default" w:ascii="Times New Roman" w:hAnsi="Times New Roman" w:eastAsia="宋体" w:cs="Times New Roman"/>
                <w:color w:val="auto"/>
                <w:sz w:val="21"/>
                <w:szCs w:val="21"/>
                <w:highlight w:val="none"/>
              </w:rPr>
              <w:t>建立全厂设备维护</w:t>
            </w:r>
            <w:r>
              <w:rPr>
                <w:rFonts w:hint="eastAsia" w:ascii="Times New Roman" w:hAnsi="Times New Roman" w:eastAsia="宋体" w:cs="Times New Roman"/>
                <w:color w:val="auto"/>
                <w:sz w:val="21"/>
                <w:szCs w:val="21"/>
                <w:highlight w:val="none"/>
                <w:lang w:val="en-US" w:eastAsia="zh-CN"/>
              </w:rPr>
              <w:t>及保养</w:t>
            </w:r>
            <w:r>
              <w:rPr>
                <w:rFonts w:hint="default" w:ascii="Times New Roman" w:hAnsi="Times New Roman" w:eastAsia="宋体" w:cs="Times New Roman"/>
                <w:color w:val="auto"/>
                <w:sz w:val="21"/>
                <w:szCs w:val="21"/>
                <w:highlight w:val="none"/>
              </w:rPr>
              <w:t>制度，定期检查各设备运行情况，杜绝事故发生；</w:t>
            </w:r>
          </w:p>
          <w:p w14:paraId="7F9F5A58">
            <w:pPr>
              <w:pStyle w:val="27"/>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eastAsia" w:ascii="宋体" w:hAnsi="宋体" w:eastAsia="宋体" w:cs="宋体"/>
                <w:color w:val="auto"/>
                <w:kern w:val="0"/>
                <w:szCs w:val="21"/>
                <w:highlight w:val="none"/>
              </w:rPr>
              <w:t>④</w:t>
            </w:r>
            <w:r>
              <w:rPr>
                <w:rFonts w:hint="default" w:ascii="Times New Roman" w:hAnsi="Times New Roman" w:eastAsia="宋体" w:cs="Times New Roman"/>
                <w:color w:val="auto"/>
                <w:sz w:val="21"/>
                <w:szCs w:val="21"/>
                <w:highlight w:val="none"/>
              </w:rPr>
              <w:t>应按规范进行台账记录，主要内容包括</w:t>
            </w:r>
            <w:r>
              <w:rPr>
                <w:rFonts w:hint="eastAsia" w:ascii="Times New Roman" w:hAnsi="Times New Roman" w:eastAsia="宋体" w:cs="Times New Roman"/>
                <w:color w:val="auto"/>
                <w:sz w:val="21"/>
                <w:szCs w:val="21"/>
                <w:highlight w:val="none"/>
                <w:lang w:val="en-US" w:eastAsia="zh-CN"/>
              </w:rPr>
              <w:t>生产信息</w:t>
            </w:r>
            <w:r>
              <w:rPr>
                <w:rFonts w:hint="default" w:ascii="Times New Roman" w:hAnsi="Times New Roman" w:eastAsia="宋体" w:cs="Times New Roman"/>
                <w:color w:val="auto"/>
                <w:sz w:val="21"/>
                <w:szCs w:val="21"/>
                <w:highlight w:val="none"/>
              </w:rPr>
              <w:t>、原辅材料使用情况、污染防治设施运行记录、监测数据等</w:t>
            </w:r>
            <w:r>
              <w:rPr>
                <w:rFonts w:hint="eastAsia" w:ascii="Times New Roman" w:hAnsi="Times New Roman" w:cs="Times New Roman"/>
                <w:color w:val="auto"/>
                <w:sz w:val="21"/>
                <w:szCs w:val="21"/>
                <w:highlight w:val="none"/>
                <w:lang w:eastAsia="zh-CN"/>
              </w:rPr>
              <w:t>。</w:t>
            </w:r>
          </w:p>
          <w:p w14:paraId="5EF0C38C">
            <w:pPr>
              <w:keepNext w:val="0"/>
              <w:keepLines w:val="0"/>
              <w:pageBreakBefore w:val="0"/>
              <w:widowControl w:val="0"/>
              <w:numPr>
                <w:ilvl w:val="0"/>
                <w:numId w:val="0"/>
              </w:numPr>
              <w:kinsoku/>
              <w:wordWrap/>
              <w:overflowPunct/>
              <w:topLinePunct w:val="0"/>
              <w:autoSpaceDE/>
              <w:autoSpaceDN/>
              <w:bidi w:val="0"/>
              <w:adjustRightInd w:val="0"/>
              <w:snapToGrid w:val="0"/>
              <w:ind w:firstLine="422" w:firstLineChars="200"/>
              <w:jc w:val="left"/>
              <w:textAlignment w:val="auto"/>
              <w:rPr>
                <w:rFonts w:hint="eastAsia" w:eastAsiaTheme="minorEastAsia"/>
                <w:b/>
                <w:bCs/>
                <w:color w:val="auto"/>
                <w:szCs w:val="21"/>
                <w:highlight w:val="none"/>
                <w:lang w:val="en-US" w:eastAsia="zh-CN"/>
              </w:rPr>
            </w:pPr>
            <w:r>
              <w:rPr>
                <w:rFonts w:hint="eastAsia" w:eastAsiaTheme="minorEastAsia"/>
                <w:b/>
                <w:bCs/>
                <w:color w:val="auto"/>
                <w:szCs w:val="21"/>
                <w:highlight w:val="none"/>
                <w:lang w:val="en-US" w:eastAsia="zh-CN"/>
              </w:rPr>
              <w:t>3.排污许可制度</w:t>
            </w:r>
          </w:p>
          <w:p w14:paraId="7C64B3EB">
            <w:pPr>
              <w:keepNext w:val="0"/>
              <w:keepLines w:val="0"/>
              <w:pageBreakBefore w:val="0"/>
              <w:widowControl w:val="0"/>
              <w:numPr>
                <w:ilvl w:val="0"/>
                <w:numId w:val="0"/>
              </w:numPr>
              <w:kinsoku/>
              <w:wordWrap/>
              <w:overflowPunct/>
              <w:topLinePunct w:val="0"/>
              <w:autoSpaceDE/>
              <w:autoSpaceDN/>
              <w:bidi w:val="0"/>
              <w:adjustRightInd w:val="0"/>
              <w:snapToGrid w:val="0"/>
              <w:ind w:firstLine="420" w:firstLineChars="200"/>
              <w:jc w:val="left"/>
              <w:textAlignment w:val="auto"/>
              <w:rPr>
                <w:rFonts w:eastAsiaTheme="minorEastAsia"/>
                <w:color w:val="auto"/>
                <w:szCs w:val="21"/>
                <w:highlight w:val="none"/>
              </w:rPr>
            </w:pPr>
            <w:r>
              <w:rPr>
                <w:rFonts w:hint="eastAsia" w:eastAsiaTheme="minorEastAsia"/>
                <w:color w:val="auto"/>
                <w:szCs w:val="21"/>
                <w:highlight w:val="none"/>
                <w:lang w:val="en-US" w:eastAsia="zh-CN"/>
              </w:rPr>
              <w:t>企业目前已准备开始办理排污许可变更手续，依法持证排污，后续将严格按照环评报告中的要求依法开展污染源自行监测，并不断完善相关环境管理台账要求。</w:t>
            </w:r>
          </w:p>
          <w:p w14:paraId="4EC2BFB7">
            <w:pPr>
              <w:pStyle w:val="27"/>
              <w:keepNext w:val="0"/>
              <w:keepLines w:val="0"/>
              <w:pageBreakBefore w:val="0"/>
              <w:widowControl w:val="0"/>
              <w:kinsoku/>
              <w:wordWrap/>
              <w:overflowPunct/>
              <w:topLinePunct w:val="0"/>
              <w:autoSpaceDE/>
              <w:autoSpaceDN/>
              <w:bidi w:val="0"/>
              <w:snapToGrid w:val="0"/>
              <w:spacing w:line="240" w:lineRule="auto"/>
              <w:ind w:firstLine="422" w:firstLineChars="20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4</w:t>
            </w:r>
            <w:r>
              <w:rPr>
                <w:rFonts w:hint="eastAsia" w:ascii="Times New Roman" w:hAnsi="Times New Roman"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环境监测</w:t>
            </w:r>
          </w:p>
          <w:p w14:paraId="156F3621">
            <w:pPr>
              <w:pStyle w:val="27"/>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严格</w:t>
            </w:r>
            <w:r>
              <w:rPr>
                <w:rFonts w:hint="default" w:ascii="Times New Roman" w:hAnsi="Times New Roman" w:eastAsia="宋体" w:cs="Times New Roman"/>
                <w:color w:val="auto"/>
                <w:sz w:val="21"/>
                <w:szCs w:val="21"/>
                <w:highlight w:val="none"/>
              </w:rPr>
              <w:t>按照监测计划的频次和要求进行监测，并保留监测原始记录</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每次监测数据应及时由专人整理、统计，如有异常，立即向上级有关部门通报，并做好监测资料的归档、备查工作</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建议建设单位定期将监测数据上墙公示，接受公众监督。</w:t>
            </w:r>
          </w:p>
          <w:p w14:paraId="39CD281F">
            <w:pPr>
              <w:keepNext w:val="0"/>
              <w:keepLines w:val="0"/>
              <w:pageBreakBefore w:val="0"/>
              <w:widowControl w:val="0"/>
              <w:kinsoku/>
              <w:wordWrap/>
              <w:overflowPunct/>
              <w:topLinePunct w:val="0"/>
              <w:autoSpaceDE/>
              <w:autoSpaceDN/>
              <w:bidi w:val="0"/>
              <w:adjustRightInd w:val="0"/>
              <w:snapToGrid w:val="0"/>
              <w:ind w:firstLine="422" w:firstLineChars="200"/>
              <w:jc w:val="left"/>
              <w:textAlignment w:val="auto"/>
              <w:rPr>
                <w:rFonts w:eastAsiaTheme="minorEastAsia"/>
                <w:b/>
                <w:color w:val="auto"/>
                <w:szCs w:val="21"/>
                <w:highlight w:val="none"/>
              </w:rPr>
            </w:pPr>
            <w:r>
              <w:rPr>
                <w:rFonts w:hint="eastAsia" w:eastAsiaTheme="minorEastAsia"/>
                <w:b/>
                <w:color w:val="auto"/>
                <w:szCs w:val="21"/>
                <w:highlight w:val="none"/>
                <w:lang w:val="en-US" w:eastAsia="zh-CN"/>
              </w:rPr>
              <w:t>5.</w:t>
            </w:r>
            <w:r>
              <w:rPr>
                <w:rFonts w:eastAsiaTheme="minorEastAsia"/>
                <w:b/>
                <w:color w:val="auto"/>
                <w:szCs w:val="21"/>
                <w:highlight w:val="none"/>
              </w:rPr>
              <w:t>排污口规范化</w:t>
            </w:r>
          </w:p>
          <w:p w14:paraId="0D93F8A4">
            <w:pPr>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eastAsiaTheme="minorEastAsia"/>
                <w:color w:val="auto"/>
                <w:szCs w:val="21"/>
                <w:highlight w:val="none"/>
              </w:rPr>
            </w:pPr>
            <w:r>
              <w:rPr>
                <w:rFonts w:eastAsiaTheme="minorEastAsia"/>
                <w:color w:val="auto"/>
                <w:szCs w:val="21"/>
                <w:highlight w:val="none"/>
              </w:rPr>
              <w:t>（1）废气排气筒</w:t>
            </w:r>
          </w:p>
          <w:p w14:paraId="714DF6DB">
            <w:pPr>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eastAsiaTheme="minorEastAsia"/>
                <w:color w:val="auto"/>
                <w:szCs w:val="21"/>
                <w:highlight w:val="none"/>
              </w:rPr>
            </w:pPr>
            <w:r>
              <w:rPr>
                <w:rFonts w:hint="eastAsia" w:ascii="宋体" w:hAnsi="宋体" w:cs="宋体"/>
                <w:color w:val="auto"/>
                <w:szCs w:val="21"/>
                <w:highlight w:val="none"/>
              </w:rPr>
              <w:t>①</w:t>
            </w:r>
            <w:r>
              <w:rPr>
                <w:rFonts w:eastAsiaTheme="minorEastAsia"/>
                <w:color w:val="auto"/>
                <w:szCs w:val="21"/>
                <w:highlight w:val="none"/>
              </w:rPr>
              <w:t>排气筒设置便于采样、监测的采样口和采样监测平台。本项目排气筒需监测气态污染物，依据《固定污染源排气中颗粒物测定与气态污染物采样方法》（GB/T16157-1996）及其修改单的要求，其</w:t>
            </w:r>
            <w:r>
              <w:rPr>
                <w:rFonts w:hint="eastAsia" w:eastAsiaTheme="minorEastAsia"/>
                <w:color w:val="auto"/>
                <w:szCs w:val="21"/>
                <w:highlight w:val="none"/>
                <w:lang w:eastAsia="zh-CN"/>
              </w:rPr>
              <w:t>采样</w:t>
            </w:r>
            <w:r>
              <w:rPr>
                <w:rFonts w:eastAsiaTheme="minorEastAsia"/>
                <w:color w:val="auto"/>
                <w:szCs w:val="21"/>
                <w:highlight w:val="none"/>
              </w:rPr>
              <w:t>位置优先选择在垂直管段，并设置在距离弯头、阀门、变径管下游方向不小于6倍直径和距离上述部件上游方向不小于3倍直径处。采样口内径应不小于80mm，长度应不大于50mm，不使用时采用盖板、管堵或管帽封闭。</w:t>
            </w:r>
          </w:p>
          <w:p w14:paraId="2C5B807E">
            <w:pPr>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eastAsiaTheme="minorEastAsia"/>
                <w:color w:val="auto"/>
                <w:szCs w:val="21"/>
                <w:highlight w:val="none"/>
              </w:rPr>
            </w:pPr>
            <w:r>
              <w:rPr>
                <w:rFonts w:hint="eastAsia" w:ascii="宋体" w:hAnsi="宋体" w:cs="宋体"/>
                <w:color w:val="auto"/>
                <w:szCs w:val="21"/>
                <w:highlight w:val="none"/>
              </w:rPr>
              <w:t>③</w:t>
            </w:r>
            <w:r>
              <w:rPr>
                <w:rFonts w:eastAsiaTheme="minorEastAsia"/>
                <w:color w:val="auto"/>
                <w:szCs w:val="21"/>
                <w:highlight w:val="none"/>
              </w:rPr>
              <w:t>在排气筒附近地面醒目处设置环境保护图形标志牌。</w:t>
            </w:r>
          </w:p>
          <w:p w14:paraId="47BD9502">
            <w:pPr>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eastAsiaTheme="minorEastAsia"/>
                <w:color w:val="auto"/>
                <w:szCs w:val="21"/>
                <w:highlight w:val="none"/>
              </w:rPr>
            </w:pPr>
            <w:r>
              <w:rPr>
                <w:rFonts w:eastAsiaTheme="minorEastAsia"/>
                <w:color w:val="auto"/>
                <w:szCs w:val="21"/>
                <w:highlight w:val="none"/>
              </w:rPr>
              <w:t>（2）固定噪声源</w:t>
            </w:r>
          </w:p>
          <w:p w14:paraId="57BBEBD8">
            <w:pPr>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eastAsiaTheme="minorEastAsia"/>
                <w:color w:val="auto"/>
                <w:szCs w:val="21"/>
                <w:highlight w:val="none"/>
              </w:rPr>
            </w:pPr>
            <w:r>
              <w:rPr>
                <w:rFonts w:eastAsiaTheme="minorEastAsia"/>
                <w:color w:val="auto"/>
                <w:szCs w:val="21"/>
                <w:highlight w:val="none"/>
              </w:rPr>
              <w:t>在固定噪声源（</w:t>
            </w:r>
            <w:r>
              <w:rPr>
                <w:rFonts w:hint="eastAsia" w:eastAsiaTheme="minorEastAsia"/>
                <w:color w:val="auto"/>
                <w:szCs w:val="21"/>
                <w:highlight w:val="none"/>
                <w:lang w:val="en-US" w:eastAsia="zh-CN"/>
              </w:rPr>
              <w:t>如搅拌机、破碎机、风机等</w:t>
            </w:r>
            <w:r>
              <w:rPr>
                <w:rFonts w:eastAsiaTheme="minorEastAsia"/>
                <w:color w:val="auto"/>
                <w:szCs w:val="21"/>
                <w:highlight w:val="none"/>
              </w:rPr>
              <w:t>）对厂界噪声影响最大处，设置环境保护图形标志牌。</w:t>
            </w:r>
          </w:p>
          <w:p w14:paraId="4C86E271">
            <w:pPr>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eastAsiaTheme="minorEastAsia"/>
                <w:color w:val="auto"/>
                <w:szCs w:val="21"/>
                <w:highlight w:val="none"/>
              </w:rPr>
            </w:pPr>
            <w:r>
              <w:rPr>
                <w:rFonts w:eastAsiaTheme="minorEastAsia"/>
                <w:color w:val="auto"/>
                <w:szCs w:val="21"/>
                <w:highlight w:val="none"/>
              </w:rPr>
              <w:t>（3）固体废物贮存场所</w:t>
            </w:r>
          </w:p>
          <w:p w14:paraId="29F13790">
            <w:pPr>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eastAsiaTheme="minorEastAsia"/>
                <w:color w:val="auto"/>
                <w:szCs w:val="21"/>
                <w:highlight w:val="none"/>
              </w:rPr>
            </w:pPr>
            <w:r>
              <w:rPr>
                <w:rFonts w:eastAsiaTheme="minorEastAsia"/>
                <w:color w:val="auto"/>
                <w:szCs w:val="21"/>
                <w:highlight w:val="none"/>
              </w:rPr>
              <w:t>固废贮存场所要求：</w:t>
            </w:r>
            <w:r>
              <w:rPr>
                <w:rFonts w:hint="eastAsia" w:ascii="宋体" w:hAnsi="宋体" w:cs="宋体"/>
                <w:color w:val="auto"/>
                <w:szCs w:val="21"/>
                <w:highlight w:val="none"/>
              </w:rPr>
              <w:t>①</w:t>
            </w:r>
            <w:r>
              <w:rPr>
                <w:rFonts w:eastAsiaTheme="minorEastAsia"/>
                <w:color w:val="auto"/>
                <w:szCs w:val="21"/>
                <w:highlight w:val="none"/>
              </w:rPr>
              <w:t>固体废物贮存场所要有防火、防扬散、防流失、防渗漏、防雨</w:t>
            </w:r>
            <w:r>
              <w:rPr>
                <w:rFonts w:hint="eastAsia" w:eastAsiaTheme="minorEastAsia"/>
                <w:color w:val="auto"/>
                <w:szCs w:val="21"/>
                <w:highlight w:val="none"/>
                <w:lang w:val="en-US" w:eastAsia="zh-CN"/>
              </w:rPr>
              <w:t>等</w:t>
            </w:r>
            <w:r>
              <w:rPr>
                <w:rFonts w:eastAsiaTheme="minorEastAsia"/>
                <w:color w:val="auto"/>
                <w:szCs w:val="21"/>
                <w:highlight w:val="none"/>
              </w:rPr>
              <w:t>措施；</w:t>
            </w:r>
            <w:r>
              <w:rPr>
                <w:rFonts w:hint="eastAsia" w:ascii="宋体" w:hAnsi="宋体" w:cs="宋体"/>
                <w:color w:val="auto"/>
                <w:szCs w:val="21"/>
                <w:highlight w:val="none"/>
              </w:rPr>
              <w:t>②</w:t>
            </w:r>
            <w:r>
              <w:rPr>
                <w:rFonts w:eastAsiaTheme="minorEastAsia"/>
                <w:color w:val="auto"/>
                <w:szCs w:val="21"/>
                <w:highlight w:val="none"/>
              </w:rPr>
              <w:t>固体废物贮存场所在醒目处设置一个标志牌，具体按照《环境保护图形标志》规定制作。</w:t>
            </w:r>
          </w:p>
          <w:p w14:paraId="04C21DCF">
            <w:pPr>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（4）环境保护图形标志</w:t>
            </w:r>
          </w:p>
          <w:p w14:paraId="6F7EB41D">
            <w:pPr>
              <w:pStyle w:val="27"/>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在废气排放口、噪声排放源、固体废物贮存处置场应设置环境保护图形标志，图形符号分为</w:t>
            </w:r>
            <w:r>
              <w:rPr>
                <w:rFonts w:hint="eastAsia" w:ascii="Times New Roman" w:hAnsi="Times New Roman" w:cs="Times New Roman" w:eastAsiaTheme="minorEastAsia"/>
                <w:color w:val="auto"/>
                <w:szCs w:val="21"/>
                <w:highlight w:val="none"/>
                <w:lang w:val="en-US" w:eastAsia="zh-CN"/>
              </w:rPr>
              <w:t>提示</w:t>
            </w:r>
            <w:r>
              <w:rPr>
                <w:rFonts w:hint="default" w:ascii="Times New Roman" w:hAnsi="Times New Roman" w:cs="Times New Roman" w:eastAsiaTheme="minorEastAsia"/>
                <w:color w:val="auto"/>
                <w:szCs w:val="21"/>
                <w:highlight w:val="none"/>
              </w:rPr>
              <w:t>图形符号和警告图形符号两种，分别按GB15562.1-1995、GB15562.2-1995执行。</w:t>
            </w:r>
          </w:p>
          <w:p w14:paraId="60E21D8C">
            <w:pPr>
              <w:pStyle w:val="27"/>
              <w:keepNext w:val="0"/>
              <w:keepLines w:val="0"/>
              <w:pageBreakBefore w:val="0"/>
              <w:widowControl w:val="0"/>
              <w:kinsoku/>
              <w:wordWrap/>
              <w:overflowPunct/>
              <w:topLinePunct w:val="0"/>
              <w:autoSpaceDE/>
              <w:autoSpaceDN/>
              <w:bidi w:val="0"/>
              <w:snapToGrid w:val="0"/>
              <w:spacing w:line="240" w:lineRule="auto"/>
              <w:ind w:firstLine="422" w:firstLineChars="200"/>
              <w:jc w:val="both"/>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rPr>
              <w:t>竣工验收</w:t>
            </w:r>
          </w:p>
          <w:p w14:paraId="14342F34">
            <w:pPr>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eastAsiaTheme="minorEastAsia"/>
                <w:color w:val="auto"/>
                <w:szCs w:val="21"/>
                <w:highlight w:val="none"/>
              </w:rPr>
            </w:pPr>
            <w:r>
              <w:rPr>
                <w:rFonts w:hint="default" w:ascii="Times New Roman" w:hAnsi="Times New Roman" w:eastAsia="宋体" w:cs="Times New Roman"/>
                <w:color w:val="auto"/>
                <w:sz w:val="21"/>
                <w:szCs w:val="21"/>
                <w:highlight w:val="none"/>
              </w:rPr>
              <w:t>根据《建设项目竣工环境保护验收暂行办法》（国环规环评〔201</w:t>
            </w:r>
            <w:r>
              <w:rPr>
                <w:rFonts w:hint="eastAsia"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〕4号），建设单位</w:t>
            </w:r>
            <w:r>
              <w:rPr>
                <w:rFonts w:hint="eastAsia" w:cs="Times New Roman"/>
                <w:color w:val="auto"/>
                <w:sz w:val="21"/>
                <w:szCs w:val="21"/>
                <w:highlight w:val="none"/>
                <w:lang w:val="en-US" w:eastAsia="zh-CN"/>
              </w:rPr>
              <w:t>应及时组织</w:t>
            </w:r>
            <w:r>
              <w:rPr>
                <w:rFonts w:hint="default" w:ascii="Times New Roman" w:hAnsi="Times New Roman" w:eastAsia="宋体" w:cs="Times New Roman"/>
                <w:color w:val="auto"/>
                <w:sz w:val="21"/>
                <w:szCs w:val="21"/>
                <w:highlight w:val="none"/>
              </w:rPr>
              <w:t>自行验收。验收合格后，方可投入</w:t>
            </w:r>
            <w:r>
              <w:rPr>
                <w:rFonts w:hint="eastAsia" w:cs="Times New Roman"/>
                <w:color w:val="auto"/>
                <w:sz w:val="21"/>
                <w:szCs w:val="21"/>
                <w:highlight w:val="none"/>
                <w:lang w:val="en-US" w:eastAsia="zh-CN"/>
              </w:rPr>
              <w:t>正式</w:t>
            </w:r>
            <w:r>
              <w:rPr>
                <w:rFonts w:hint="default" w:ascii="Times New Roman" w:hAnsi="Times New Roman" w:eastAsia="宋体" w:cs="Times New Roman"/>
                <w:color w:val="auto"/>
                <w:sz w:val="21"/>
                <w:szCs w:val="21"/>
                <w:highlight w:val="none"/>
              </w:rPr>
              <w:t>生产</w:t>
            </w:r>
            <w:r>
              <w:rPr>
                <w:rFonts w:hint="eastAsia" w:cs="Times New Roman"/>
                <w:color w:val="auto"/>
                <w:sz w:val="21"/>
                <w:szCs w:val="21"/>
                <w:highlight w:val="none"/>
                <w:lang w:eastAsia="zh-CN"/>
              </w:rPr>
              <w:t>或</w:t>
            </w:r>
            <w:r>
              <w:rPr>
                <w:rFonts w:hint="default" w:ascii="Times New Roman" w:hAnsi="Times New Roman" w:eastAsia="宋体" w:cs="Times New Roman"/>
                <w:color w:val="auto"/>
                <w:sz w:val="21"/>
                <w:szCs w:val="21"/>
                <w:highlight w:val="none"/>
              </w:rPr>
              <w:t>使用。</w:t>
            </w:r>
          </w:p>
          <w:p w14:paraId="15F9C465">
            <w:pPr>
              <w:widowControl/>
              <w:jc w:val="center"/>
              <w:rPr>
                <w:rFonts w:eastAsiaTheme="minorEastAsia"/>
                <w:color w:val="auto"/>
                <w:szCs w:val="21"/>
                <w:highlight w:val="none"/>
              </w:rPr>
            </w:pPr>
          </w:p>
          <w:p w14:paraId="6A1C6432">
            <w:pPr>
              <w:pStyle w:val="15"/>
              <w:rPr>
                <w:rFonts w:eastAsiaTheme="minorEastAsia"/>
                <w:color w:val="auto"/>
                <w:szCs w:val="21"/>
                <w:highlight w:val="none"/>
              </w:rPr>
            </w:pPr>
          </w:p>
          <w:p w14:paraId="64D618FF">
            <w:pPr>
              <w:rPr>
                <w:rFonts w:eastAsiaTheme="minorEastAsia"/>
                <w:color w:val="auto"/>
                <w:szCs w:val="21"/>
                <w:highlight w:val="none"/>
              </w:rPr>
            </w:pPr>
          </w:p>
          <w:p w14:paraId="33C55D53">
            <w:pPr>
              <w:pStyle w:val="15"/>
              <w:rPr>
                <w:rFonts w:eastAsiaTheme="minorEastAsia"/>
                <w:color w:val="auto"/>
                <w:szCs w:val="21"/>
                <w:highlight w:val="none"/>
              </w:rPr>
            </w:pPr>
          </w:p>
          <w:p w14:paraId="6CD93520">
            <w:pPr>
              <w:rPr>
                <w:rFonts w:eastAsiaTheme="minorEastAsia"/>
                <w:color w:val="auto"/>
                <w:szCs w:val="21"/>
                <w:highlight w:val="none"/>
              </w:rPr>
            </w:pPr>
          </w:p>
          <w:p w14:paraId="39BA854E">
            <w:pPr>
              <w:pStyle w:val="15"/>
              <w:ind w:left="0" w:leftChars="0" w:firstLine="0" w:firstLineChars="0"/>
              <w:rPr>
                <w:color w:val="auto"/>
                <w:highlight w:val="none"/>
              </w:rPr>
            </w:pPr>
          </w:p>
          <w:p w14:paraId="7E4D9C16">
            <w:pPr>
              <w:rPr>
                <w:color w:val="auto"/>
                <w:highlight w:val="none"/>
              </w:rPr>
            </w:pPr>
          </w:p>
          <w:p w14:paraId="0D137FB5">
            <w:pPr>
              <w:pStyle w:val="15"/>
              <w:rPr>
                <w:color w:val="auto"/>
                <w:highlight w:val="none"/>
              </w:rPr>
            </w:pPr>
          </w:p>
          <w:p w14:paraId="39287ABB">
            <w:pPr>
              <w:rPr>
                <w:color w:val="auto"/>
                <w:highlight w:val="none"/>
              </w:rPr>
            </w:pPr>
          </w:p>
          <w:p w14:paraId="524D07BE">
            <w:pPr>
              <w:pStyle w:val="15"/>
              <w:rPr>
                <w:color w:val="auto"/>
                <w:highlight w:val="none"/>
              </w:rPr>
            </w:pPr>
          </w:p>
          <w:p w14:paraId="66CB47C4">
            <w:pPr>
              <w:rPr>
                <w:color w:val="auto"/>
                <w:highlight w:val="none"/>
              </w:rPr>
            </w:pPr>
          </w:p>
          <w:p w14:paraId="0DB310D7">
            <w:pPr>
              <w:pStyle w:val="15"/>
              <w:rPr>
                <w:color w:val="auto"/>
                <w:highlight w:val="none"/>
              </w:rPr>
            </w:pPr>
          </w:p>
          <w:p w14:paraId="308DDD8E">
            <w:pPr>
              <w:rPr>
                <w:color w:val="auto"/>
                <w:highlight w:val="none"/>
              </w:rPr>
            </w:pPr>
          </w:p>
          <w:p w14:paraId="3D34B1D1">
            <w:pPr>
              <w:pStyle w:val="15"/>
              <w:rPr>
                <w:color w:val="auto"/>
                <w:highlight w:val="none"/>
              </w:rPr>
            </w:pPr>
          </w:p>
          <w:p w14:paraId="2EE63FAF">
            <w:pPr>
              <w:rPr>
                <w:color w:val="auto"/>
                <w:highlight w:val="none"/>
              </w:rPr>
            </w:pPr>
          </w:p>
          <w:p w14:paraId="2B37D9F2">
            <w:pPr>
              <w:pStyle w:val="15"/>
              <w:rPr>
                <w:color w:val="auto"/>
                <w:highlight w:val="none"/>
              </w:rPr>
            </w:pPr>
          </w:p>
          <w:p w14:paraId="3005EE3A">
            <w:pPr>
              <w:rPr>
                <w:color w:val="auto"/>
                <w:highlight w:val="none"/>
              </w:rPr>
            </w:pPr>
          </w:p>
          <w:p w14:paraId="5ABB6F89">
            <w:pPr>
              <w:pStyle w:val="15"/>
              <w:rPr>
                <w:color w:val="auto"/>
                <w:highlight w:val="none"/>
              </w:rPr>
            </w:pPr>
          </w:p>
          <w:p w14:paraId="2C6B4E3D">
            <w:pPr>
              <w:rPr>
                <w:color w:val="auto"/>
                <w:highlight w:val="none"/>
              </w:rPr>
            </w:pPr>
          </w:p>
          <w:p w14:paraId="7F79B208">
            <w:pPr>
              <w:pStyle w:val="15"/>
              <w:rPr>
                <w:color w:val="auto"/>
                <w:highlight w:val="none"/>
              </w:rPr>
            </w:pPr>
          </w:p>
          <w:p w14:paraId="62F09D7D">
            <w:pPr>
              <w:rPr>
                <w:color w:val="auto"/>
                <w:highlight w:val="none"/>
              </w:rPr>
            </w:pPr>
          </w:p>
          <w:p w14:paraId="6A1891B3">
            <w:pPr>
              <w:pStyle w:val="15"/>
              <w:rPr>
                <w:color w:val="auto"/>
                <w:highlight w:val="none"/>
              </w:rPr>
            </w:pPr>
          </w:p>
          <w:p w14:paraId="6003197F">
            <w:pPr>
              <w:rPr>
                <w:color w:val="auto"/>
                <w:highlight w:val="none"/>
              </w:rPr>
            </w:pPr>
          </w:p>
          <w:p w14:paraId="36F0C22A">
            <w:pPr>
              <w:pStyle w:val="15"/>
              <w:rPr>
                <w:color w:val="auto"/>
                <w:highlight w:val="none"/>
              </w:rPr>
            </w:pPr>
          </w:p>
          <w:p w14:paraId="4FEEF600">
            <w:pPr>
              <w:rPr>
                <w:color w:val="auto"/>
                <w:highlight w:val="none"/>
              </w:rPr>
            </w:pPr>
          </w:p>
          <w:p w14:paraId="225EB5BA">
            <w:pPr>
              <w:pStyle w:val="15"/>
              <w:rPr>
                <w:color w:val="auto"/>
                <w:highlight w:val="none"/>
              </w:rPr>
            </w:pPr>
          </w:p>
          <w:p w14:paraId="73138382">
            <w:pPr>
              <w:rPr>
                <w:color w:val="auto"/>
                <w:highlight w:val="none"/>
              </w:rPr>
            </w:pPr>
          </w:p>
          <w:p w14:paraId="12B7F6D8">
            <w:pPr>
              <w:pStyle w:val="15"/>
              <w:rPr>
                <w:color w:val="auto"/>
                <w:highlight w:val="none"/>
              </w:rPr>
            </w:pPr>
          </w:p>
          <w:p w14:paraId="522A8F0A">
            <w:pPr>
              <w:rPr>
                <w:color w:val="auto"/>
                <w:highlight w:val="none"/>
              </w:rPr>
            </w:pPr>
          </w:p>
          <w:p w14:paraId="3BF8B8BA">
            <w:pPr>
              <w:pStyle w:val="15"/>
              <w:rPr>
                <w:color w:val="auto"/>
                <w:highlight w:val="none"/>
              </w:rPr>
            </w:pPr>
          </w:p>
          <w:p w14:paraId="7E88D83B">
            <w:pPr>
              <w:rPr>
                <w:color w:val="auto"/>
                <w:highlight w:val="none"/>
              </w:rPr>
            </w:pPr>
          </w:p>
          <w:p w14:paraId="75A80F42">
            <w:pPr>
              <w:pStyle w:val="15"/>
              <w:rPr>
                <w:color w:val="auto"/>
                <w:highlight w:val="none"/>
              </w:rPr>
            </w:pPr>
          </w:p>
          <w:p w14:paraId="4B8069AC">
            <w:pPr>
              <w:rPr>
                <w:color w:val="auto"/>
                <w:highlight w:val="none"/>
              </w:rPr>
            </w:pPr>
          </w:p>
          <w:p w14:paraId="757B8FF2">
            <w:pPr>
              <w:pStyle w:val="15"/>
              <w:rPr>
                <w:color w:val="auto"/>
                <w:highlight w:val="none"/>
              </w:rPr>
            </w:pPr>
          </w:p>
          <w:p w14:paraId="5DAD4650">
            <w:pPr>
              <w:rPr>
                <w:color w:val="auto"/>
                <w:highlight w:val="none"/>
              </w:rPr>
            </w:pPr>
          </w:p>
          <w:p w14:paraId="12626DC0">
            <w:pPr>
              <w:pStyle w:val="15"/>
              <w:rPr>
                <w:color w:val="auto"/>
                <w:highlight w:val="none"/>
              </w:rPr>
            </w:pPr>
          </w:p>
          <w:p w14:paraId="53A7C307">
            <w:pPr>
              <w:rPr>
                <w:color w:val="auto"/>
                <w:highlight w:val="none"/>
              </w:rPr>
            </w:pPr>
          </w:p>
          <w:p w14:paraId="314D078D">
            <w:pPr>
              <w:rPr>
                <w:color w:val="auto"/>
                <w:highlight w:val="none"/>
              </w:rPr>
            </w:pPr>
          </w:p>
          <w:p w14:paraId="69AE69D0">
            <w:pPr>
              <w:pStyle w:val="24"/>
              <w:rPr>
                <w:color w:val="auto"/>
                <w:highlight w:val="none"/>
              </w:rPr>
            </w:pPr>
          </w:p>
          <w:p w14:paraId="25ED81F2">
            <w:pPr>
              <w:rPr>
                <w:color w:val="auto"/>
                <w:highlight w:val="none"/>
              </w:rPr>
            </w:pPr>
          </w:p>
        </w:tc>
      </w:tr>
    </w:tbl>
    <w:p w14:paraId="4E859B41">
      <w:pPr>
        <w:ind w:firstLine="420" w:firstLineChars="0"/>
        <w:rPr>
          <w:rFonts w:hint="eastAsia" w:eastAsia="宋体"/>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56F8C37">
      <w:pPr>
        <w:pStyle w:val="17"/>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ascii="Times New Roman" w:hAnsi="Times New Roman" w:eastAsiaTheme="minorEastAsia"/>
          <w:snapToGrid w:val="0"/>
          <w:color w:val="auto"/>
          <w:sz w:val="30"/>
          <w:szCs w:val="30"/>
          <w:highlight w:val="none"/>
        </w:rPr>
      </w:pPr>
      <w:bookmarkStart w:id="55" w:name="_Toc4376"/>
      <w:bookmarkStart w:id="56" w:name="_Toc16508"/>
      <w:bookmarkStart w:id="57" w:name="_Toc28040"/>
      <w:r>
        <w:rPr>
          <w:rFonts w:ascii="Times New Roman" w:hAnsi="Times New Roman" w:eastAsiaTheme="minorEastAsia"/>
          <w:snapToGrid w:val="0"/>
          <w:color w:val="auto"/>
          <w:sz w:val="30"/>
          <w:szCs w:val="30"/>
          <w:highlight w:val="none"/>
        </w:rPr>
        <w:t>六、结论</w:t>
      </w:r>
      <w:bookmarkEnd w:id="55"/>
      <w:bookmarkEnd w:id="56"/>
      <w:bookmarkEnd w:id="57"/>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CEA12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l2br w:val="nil"/>
              <w:tr2bl w:val="nil"/>
            </w:tcBorders>
            <w:noWrap/>
          </w:tcPr>
          <w:p w14:paraId="25AB77B2">
            <w:pPr>
              <w:spacing w:line="360" w:lineRule="auto"/>
              <w:ind w:firstLine="480" w:firstLineChars="200"/>
              <w:rPr>
                <w:rFonts w:eastAsiaTheme="minorEastAsia"/>
                <w:color w:val="auto"/>
                <w:sz w:val="24"/>
                <w:highlight w:val="none"/>
              </w:rPr>
            </w:pPr>
            <w:r>
              <w:rPr>
                <w:rFonts w:eastAsiaTheme="minorEastAsia"/>
                <w:bCs/>
                <w:color w:val="auto"/>
                <w:sz w:val="24"/>
                <w:highlight w:val="none"/>
              </w:rPr>
              <w:t>综上所述，</w:t>
            </w:r>
            <w:r>
              <w:rPr>
                <w:rFonts w:hint="eastAsia" w:eastAsiaTheme="minorEastAsia"/>
                <w:bCs/>
                <w:color w:val="auto"/>
                <w:sz w:val="24"/>
                <w:highlight w:val="none"/>
                <w:lang w:val="en-US" w:eastAsia="zh-CN"/>
              </w:rPr>
              <w:t>本</w:t>
            </w:r>
            <w:r>
              <w:rPr>
                <w:rFonts w:hint="eastAsia" w:eastAsiaTheme="minorEastAsia"/>
                <w:bCs/>
                <w:color w:val="auto"/>
                <w:sz w:val="24"/>
                <w:highlight w:val="none"/>
                <w:lang w:eastAsia="zh-CN"/>
              </w:rPr>
              <w:t>项目</w:t>
            </w:r>
            <w:r>
              <w:rPr>
                <w:rFonts w:eastAsiaTheme="minorEastAsia"/>
                <w:bCs/>
                <w:color w:val="auto"/>
                <w:sz w:val="24"/>
                <w:highlight w:val="none"/>
              </w:rPr>
              <w:t>符合国家产业政策，对项目进行环境影响分析，其产生的污染对周围环境影响较小，采取的污染防治措施有效可行，产生的废水、废气、噪声能够达标排放，固体废物得到合理有效处置。</w:t>
            </w:r>
            <w:r>
              <w:rPr>
                <w:rFonts w:hint="eastAsia" w:ascii="Times New Roman" w:hAnsi="Times New Roman" w:cs="Times New Roman"/>
                <w:color w:val="auto"/>
                <w:sz w:val="24"/>
                <w:highlight w:val="none"/>
                <w:lang w:val="en-US" w:eastAsia="zh-CN"/>
              </w:rPr>
              <w:t>在落实本报告提出的各项污染防治措施后，可减少项目实施对环境的不利影响，且环境风险可控，从环境保护角度，项目环境影响可行</w:t>
            </w:r>
            <w:r>
              <w:rPr>
                <w:rFonts w:eastAsiaTheme="minorEastAsia"/>
                <w:bCs/>
                <w:color w:val="auto"/>
                <w:sz w:val="24"/>
                <w:highlight w:val="none"/>
              </w:rPr>
              <w:t>。</w:t>
            </w:r>
          </w:p>
        </w:tc>
      </w:tr>
    </w:tbl>
    <w:p w14:paraId="43672742">
      <w:pPr>
        <w:pStyle w:val="24"/>
        <w:rPr>
          <w:rFonts w:hint="eastAsia"/>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C3DFF59">
      <w:pPr>
        <w:pStyle w:val="17"/>
        <w:adjustRightInd w:val="0"/>
        <w:snapToGrid w:val="0"/>
        <w:spacing w:before="0" w:beforeAutospacing="0" w:after="0" w:afterAutospacing="0" w:line="240" w:lineRule="auto"/>
        <w:outlineLvl w:val="0"/>
        <w:rPr>
          <w:rFonts w:hint="eastAsia" w:ascii="黑体" w:hAnsi="黑体" w:eastAsia="黑体"/>
          <w:snapToGrid w:val="0"/>
          <w:color w:val="auto"/>
          <w:sz w:val="32"/>
          <w:szCs w:val="32"/>
          <w:highlight w:val="none"/>
        </w:rPr>
      </w:pPr>
      <w:bookmarkStart w:id="58" w:name="_Toc8336"/>
      <w:r>
        <w:rPr>
          <w:rFonts w:hint="eastAsia" w:ascii="黑体" w:hAnsi="黑体" w:eastAsia="黑体"/>
          <w:snapToGrid w:val="0"/>
          <w:color w:val="auto"/>
          <w:sz w:val="32"/>
          <w:szCs w:val="32"/>
          <w:highlight w:val="none"/>
        </w:rPr>
        <w:t>附表</w:t>
      </w:r>
      <w:bookmarkEnd w:id="58"/>
    </w:p>
    <w:p w14:paraId="22471292">
      <w:pPr>
        <w:pStyle w:val="17"/>
        <w:tabs>
          <w:tab w:val="left" w:pos="4851"/>
        </w:tabs>
        <w:adjustRightInd w:val="0"/>
        <w:snapToGrid w:val="0"/>
        <w:spacing w:before="0" w:beforeAutospacing="0" w:after="0" w:afterAutospacing="0" w:line="240" w:lineRule="auto"/>
        <w:jc w:val="center"/>
        <w:outlineLvl w:val="0"/>
        <w:rPr>
          <w:rFonts w:hint="eastAsia" w:ascii="黑体" w:hAnsi="黑体" w:eastAsia="黑体"/>
          <w:snapToGrid w:val="0"/>
          <w:color w:val="auto"/>
          <w:sz w:val="32"/>
          <w:szCs w:val="32"/>
          <w:highlight w:val="none"/>
          <w:lang w:eastAsia="zh-CN"/>
        </w:rPr>
      </w:pPr>
      <w:bookmarkStart w:id="59" w:name="_Toc19937"/>
      <w:r>
        <w:rPr>
          <w:rFonts w:hint="eastAsia" w:ascii="黑体" w:hAnsi="黑体" w:eastAsia="黑体"/>
          <w:snapToGrid w:val="0"/>
          <w:color w:val="auto"/>
          <w:sz w:val="32"/>
          <w:szCs w:val="32"/>
          <w:highlight w:val="none"/>
        </w:rPr>
        <w:t>建设项目污染物排放量汇总表</w:t>
      </w:r>
      <w:bookmarkEnd w:id="59"/>
    </w:p>
    <w:tbl>
      <w:tblPr>
        <w:tblStyle w:val="19"/>
        <w:tblW w:w="142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2080"/>
        <w:gridCol w:w="1574"/>
        <w:gridCol w:w="1276"/>
        <w:gridCol w:w="1701"/>
        <w:gridCol w:w="1559"/>
        <w:gridCol w:w="1761"/>
        <w:gridCol w:w="1910"/>
        <w:gridCol w:w="979"/>
      </w:tblGrid>
      <w:tr w14:paraId="05B611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379" w:type="dxa"/>
            <w:tcBorders>
              <w:tl2br w:val="single" w:color="auto" w:sz="4" w:space="0"/>
            </w:tcBorders>
            <w:tcMar>
              <w:top w:w="0" w:type="dxa"/>
              <w:left w:w="28" w:type="dxa"/>
              <w:bottom w:w="0" w:type="dxa"/>
              <w:right w:w="28" w:type="dxa"/>
            </w:tcMar>
            <w:vAlign w:val="center"/>
          </w:tcPr>
          <w:p w14:paraId="496E657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 xml:space="preserve">        项目</w:t>
            </w:r>
          </w:p>
          <w:p w14:paraId="277E5EB9">
            <w:pPr>
              <w:keepNext w:val="0"/>
              <w:keepLines w:val="0"/>
              <w:pageBreakBefore w:val="0"/>
              <w:widowControl w:val="0"/>
              <w:kinsoku/>
              <w:wordWrap/>
              <w:overflowPunct/>
              <w:topLinePunct w:val="0"/>
              <w:autoSpaceDE/>
              <w:autoSpaceDN/>
              <w:bidi w:val="0"/>
              <w:adjustRightInd w:val="0"/>
              <w:snapToGrid w:val="0"/>
              <w:spacing w:line="240" w:lineRule="atLeast"/>
              <w:jc w:val="both"/>
              <w:textAlignment w:val="auto"/>
              <w:rPr>
                <w:rFonts w:hint="eastAsia"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分类</w:t>
            </w:r>
          </w:p>
        </w:tc>
        <w:tc>
          <w:tcPr>
            <w:tcW w:w="2080" w:type="dxa"/>
            <w:tcMar>
              <w:top w:w="0" w:type="dxa"/>
              <w:left w:w="28" w:type="dxa"/>
              <w:bottom w:w="0" w:type="dxa"/>
              <w:right w:w="28" w:type="dxa"/>
            </w:tcMar>
            <w:vAlign w:val="center"/>
          </w:tcPr>
          <w:p w14:paraId="519D616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污染物名称</w:t>
            </w:r>
          </w:p>
        </w:tc>
        <w:tc>
          <w:tcPr>
            <w:tcW w:w="1574" w:type="dxa"/>
            <w:tcMar>
              <w:top w:w="0" w:type="dxa"/>
              <w:left w:w="28" w:type="dxa"/>
              <w:bottom w:w="0" w:type="dxa"/>
              <w:right w:w="28" w:type="dxa"/>
            </w:tcMar>
            <w:vAlign w:val="center"/>
          </w:tcPr>
          <w:p w14:paraId="04CD592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现有工程排放量（固体废物产生量）</w:t>
            </w:r>
            <w:r>
              <w:rPr>
                <w:rFonts w:hint="eastAsia" w:ascii="Times New Roman" w:hAnsi="Times New Roman" w:cs="Times New Roman" w:eastAsiaTheme="minorEastAsia"/>
                <w:b/>
                <w:bCs/>
                <w:color w:val="auto"/>
                <w:sz w:val="21"/>
                <w:szCs w:val="21"/>
                <w:highlight w:val="none"/>
                <w:lang w:val="en-US" w:eastAsia="zh-CN"/>
              </w:rPr>
              <w:fldChar w:fldCharType="begin" w:fldLock="1"/>
            </w:r>
            <w:r>
              <w:rPr>
                <w:rFonts w:hint="eastAsia" w:ascii="Times New Roman" w:hAnsi="Times New Roman" w:cs="Times New Roman" w:eastAsiaTheme="minorEastAsia"/>
                <w:b/>
                <w:bCs/>
                <w:color w:val="auto"/>
                <w:sz w:val="21"/>
                <w:szCs w:val="21"/>
                <w:highlight w:val="none"/>
                <w:lang w:val="en-US" w:eastAsia="zh-CN"/>
              </w:rPr>
              <w:instrText xml:space="preserve"> = 1 \* GB3 \* MERGEFORMAT </w:instrText>
            </w:r>
            <w:r>
              <w:rPr>
                <w:rFonts w:hint="eastAsia" w:ascii="Times New Roman" w:hAnsi="Times New Roman" w:cs="Times New Roman" w:eastAsiaTheme="minorEastAsia"/>
                <w:b/>
                <w:bCs/>
                <w:color w:val="auto"/>
                <w:sz w:val="21"/>
                <w:szCs w:val="21"/>
                <w:highlight w:val="none"/>
                <w:lang w:val="en-US" w:eastAsia="zh-CN"/>
              </w:rPr>
              <w:fldChar w:fldCharType="separate"/>
            </w:r>
            <w:r>
              <w:rPr>
                <w:rFonts w:hint="eastAsia" w:ascii="Times New Roman" w:hAnsi="Times New Roman" w:cs="Times New Roman" w:eastAsiaTheme="minorEastAsia"/>
                <w:b/>
                <w:bCs/>
                <w:color w:val="auto"/>
                <w:sz w:val="21"/>
                <w:szCs w:val="21"/>
                <w:highlight w:val="none"/>
                <w:lang w:val="en-US" w:eastAsia="zh-CN"/>
              </w:rPr>
              <w:t>①</w:t>
            </w:r>
            <w:r>
              <w:rPr>
                <w:rFonts w:hint="eastAsia" w:ascii="Times New Roman" w:hAnsi="Times New Roman" w:cs="Times New Roman" w:eastAsiaTheme="minorEastAsia"/>
                <w:b/>
                <w:bCs/>
                <w:color w:val="auto"/>
                <w:sz w:val="21"/>
                <w:szCs w:val="21"/>
                <w:highlight w:val="none"/>
                <w:lang w:val="en-US" w:eastAsia="zh-CN"/>
              </w:rPr>
              <w:fldChar w:fldCharType="end"/>
            </w:r>
          </w:p>
        </w:tc>
        <w:tc>
          <w:tcPr>
            <w:tcW w:w="1276" w:type="dxa"/>
            <w:tcMar>
              <w:top w:w="0" w:type="dxa"/>
              <w:left w:w="28" w:type="dxa"/>
              <w:bottom w:w="0" w:type="dxa"/>
              <w:right w:w="28" w:type="dxa"/>
            </w:tcMar>
            <w:vAlign w:val="center"/>
          </w:tcPr>
          <w:p w14:paraId="04E2F44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现有工程许可排放量</w:t>
            </w:r>
          </w:p>
          <w:p w14:paraId="163A350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fldChar w:fldCharType="begin" w:fldLock="1"/>
            </w:r>
            <w:r>
              <w:rPr>
                <w:rFonts w:hint="eastAsia" w:ascii="Times New Roman" w:hAnsi="Times New Roman" w:cs="Times New Roman" w:eastAsiaTheme="minorEastAsia"/>
                <w:b/>
                <w:bCs/>
                <w:color w:val="auto"/>
                <w:sz w:val="21"/>
                <w:szCs w:val="21"/>
                <w:highlight w:val="none"/>
                <w:lang w:val="en-US" w:eastAsia="zh-CN"/>
              </w:rPr>
              <w:instrText xml:space="preserve"> = 2 \* GB3 \* MERGEFORMAT </w:instrText>
            </w:r>
            <w:r>
              <w:rPr>
                <w:rFonts w:hint="eastAsia" w:ascii="Times New Roman" w:hAnsi="Times New Roman" w:cs="Times New Roman" w:eastAsiaTheme="minorEastAsia"/>
                <w:b/>
                <w:bCs/>
                <w:color w:val="auto"/>
                <w:sz w:val="21"/>
                <w:szCs w:val="21"/>
                <w:highlight w:val="none"/>
                <w:lang w:val="en-US" w:eastAsia="zh-CN"/>
              </w:rPr>
              <w:fldChar w:fldCharType="separate"/>
            </w:r>
            <w:r>
              <w:rPr>
                <w:rFonts w:hint="eastAsia" w:ascii="Times New Roman" w:hAnsi="Times New Roman" w:cs="Times New Roman" w:eastAsiaTheme="minorEastAsia"/>
                <w:b/>
                <w:bCs/>
                <w:color w:val="auto"/>
                <w:sz w:val="21"/>
                <w:szCs w:val="21"/>
                <w:highlight w:val="none"/>
                <w:lang w:val="en-US" w:eastAsia="zh-CN"/>
              </w:rPr>
              <w:t>②</w:t>
            </w:r>
            <w:r>
              <w:rPr>
                <w:rFonts w:hint="eastAsia" w:ascii="Times New Roman" w:hAnsi="Times New Roman" w:cs="Times New Roman" w:eastAsiaTheme="minorEastAsia"/>
                <w:b/>
                <w:bCs/>
                <w:color w:val="auto"/>
                <w:sz w:val="21"/>
                <w:szCs w:val="21"/>
                <w:highlight w:val="none"/>
                <w:lang w:val="en-US" w:eastAsia="zh-CN"/>
              </w:rPr>
              <w:fldChar w:fldCharType="end"/>
            </w:r>
          </w:p>
        </w:tc>
        <w:tc>
          <w:tcPr>
            <w:tcW w:w="1701" w:type="dxa"/>
            <w:tcMar>
              <w:top w:w="0" w:type="dxa"/>
              <w:left w:w="28" w:type="dxa"/>
              <w:bottom w:w="0" w:type="dxa"/>
              <w:right w:w="28" w:type="dxa"/>
            </w:tcMar>
            <w:vAlign w:val="center"/>
          </w:tcPr>
          <w:p w14:paraId="0A48573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在建工程排放量（固体废物产生量）</w:t>
            </w:r>
            <w:r>
              <w:rPr>
                <w:rFonts w:hint="eastAsia" w:ascii="Times New Roman" w:hAnsi="Times New Roman" w:cs="Times New Roman" w:eastAsiaTheme="minorEastAsia"/>
                <w:b/>
                <w:bCs/>
                <w:color w:val="auto"/>
                <w:sz w:val="21"/>
                <w:szCs w:val="21"/>
                <w:highlight w:val="none"/>
                <w:lang w:val="en-US" w:eastAsia="zh-CN"/>
              </w:rPr>
              <w:fldChar w:fldCharType="begin" w:fldLock="1"/>
            </w:r>
            <w:r>
              <w:rPr>
                <w:rFonts w:hint="eastAsia" w:ascii="Times New Roman" w:hAnsi="Times New Roman" w:cs="Times New Roman" w:eastAsiaTheme="minorEastAsia"/>
                <w:b/>
                <w:bCs/>
                <w:color w:val="auto"/>
                <w:sz w:val="21"/>
                <w:szCs w:val="21"/>
                <w:highlight w:val="none"/>
                <w:lang w:val="en-US" w:eastAsia="zh-CN"/>
              </w:rPr>
              <w:instrText xml:space="preserve"> = 3 \* GB3 \* MERGEFORMAT </w:instrText>
            </w:r>
            <w:r>
              <w:rPr>
                <w:rFonts w:hint="eastAsia" w:ascii="Times New Roman" w:hAnsi="Times New Roman" w:cs="Times New Roman" w:eastAsiaTheme="minorEastAsia"/>
                <w:b/>
                <w:bCs/>
                <w:color w:val="auto"/>
                <w:sz w:val="21"/>
                <w:szCs w:val="21"/>
                <w:highlight w:val="none"/>
                <w:lang w:val="en-US" w:eastAsia="zh-CN"/>
              </w:rPr>
              <w:fldChar w:fldCharType="separate"/>
            </w:r>
            <w:r>
              <w:rPr>
                <w:rFonts w:hint="eastAsia" w:ascii="Times New Roman" w:hAnsi="Times New Roman" w:cs="Times New Roman" w:eastAsiaTheme="minorEastAsia"/>
                <w:b/>
                <w:bCs/>
                <w:color w:val="auto"/>
                <w:sz w:val="21"/>
                <w:szCs w:val="21"/>
                <w:highlight w:val="none"/>
                <w:lang w:val="en-US" w:eastAsia="zh-CN"/>
              </w:rPr>
              <w:t>③</w:t>
            </w:r>
            <w:r>
              <w:rPr>
                <w:rFonts w:hint="eastAsia" w:ascii="Times New Roman" w:hAnsi="Times New Roman" w:cs="Times New Roman" w:eastAsiaTheme="minorEastAsia"/>
                <w:b/>
                <w:bCs/>
                <w:color w:val="auto"/>
                <w:sz w:val="21"/>
                <w:szCs w:val="21"/>
                <w:highlight w:val="none"/>
                <w:lang w:val="en-US" w:eastAsia="zh-CN"/>
              </w:rPr>
              <w:fldChar w:fldCharType="end"/>
            </w:r>
          </w:p>
        </w:tc>
        <w:tc>
          <w:tcPr>
            <w:tcW w:w="1559" w:type="dxa"/>
            <w:tcMar>
              <w:top w:w="0" w:type="dxa"/>
              <w:left w:w="28" w:type="dxa"/>
              <w:bottom w:w="0" w:type="dxa"/>
              <w:right w:w="28" w:type="dxa"/>
            </w:tcMar>
            <w:vAlign w:val="center"/>
          </w:tcPr>
          <w:p w14:paraId="5B9E6EB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本项目排放量（固体废物产生量）</w:t>
            </w:r>
            <w:r>
              <w:rPr>
                <w:rFonts w:hint="eastAsia" w:ascii="Times New Roman" w:hAnsi="Times New Roman" w:cs="Times New Roman" w:eastAsiaTheme="minorEastAsia"/>
                <w:b/>
                <w:bCs/>
                <w:color w:val="auto"/>
                <w:sz w:val="21"/>
                <w:szCs w:val="21"/>
                <w:highlight w:val="none"/>
                <w:lang w:val="en-US" w:eastAsia="zh-CN"/>
              </w:rPr>
              <w:fldChar w:fldCharType="begin" w:fldLock="1"/>
            </w:r>
            <w:r>
              <w:rPr>
                <w:rFonts w:hint="eastAsia" w:ascii="Times New Roman" w:hAnsi="Times New Roman" w:cs="Times New Roman" w:eastAsiaTheme="minorEastAsia"/>
                <w:b/>
                <w:bCs/>
                <w:color w:val="auto"/>
                <w:sz w:val="21"/>
                <w:szCs w:val="21"/>
                <w:highlight w:val="none"/>
                <w:lang w:val="en-US" w:eastAsia="zh-CN"/>
              </w:rPr>
              <w:instrText xml:space="preserve"> = 4 \* GB3 \* MERGEFORMAT </w:instrText>
            </w:r>
            <w:r>
              <w:rPr>
                <w:rFonts w:hint="eastAsia" w:ascii="Times New Roman" w:hAnsi="Times New Roman" w:cs="Times New Roman" w:eastAsiaTheme="minorEastAsia"/>
                <w:b/>
                <w:bCs/>
                <w:color w:val="auto"/>
                <w:sz w:val="21"/>
                <w:szCs w:val="21"/>
                <w:highlight w:val="none"/>
                <w:lang w:val="en-US" w:eastAsia="zh-CN"/>
              </w:rPr>
              <w:fldChar w:fldCharType="separate"/>
            </w:r>
            <w:r>
              <w:rPr>
                <w:rFonts w:hint="eastAsia" w:ascii="Times New Roman" w:hAnsi="Times New Roman" w:cs="Times New Roman" w:eastAsiaTheme="minorEastAsia"/>
                <w:b/>
                <w:bCs/>
                <w:color w:val="auto"/>
                <w:sz w:val="21"/>
                <w:szCs w:val="21"/>
                <w:highlight w:val="none"/>
                <w:lang w:val="en-US" w:eastAsia="zh-CN"/>
              </w:rPr>
              <w:t>④</w:t>
            </w:r>
            <w:r>
              <w:rPr>
                <w:rFonts w:hint="eastAsia" w:ascii="Times New Roman" w:hAnsi="Times New Roman" w:cs="Times New Roman" w:eastAsiaTheme="minorEastAsia"/>
                <w:b/>
                <w:bCs/>
                <w:color w:val="auto"/>
                <w:sz w:val="21"/>
                <w:szCs w:val="21"/>
                <w:highlight w:val="none"/>
                <w:lang w:val="en-US" w:eastAsia="zh-CN"/>
              </w:rPr>
              <w:fldChar w:fldCharType="end"/>
            </w:r>
          </w:p>
        </w:tc>
        <w:tc>
          <w:tcPr>
            <w:tcW w:w="1761" w:type="dxa"/>
            <w:tcMar>
              <w:top w:w="0" w:type="dxa"/>
              <w:left w:w="28" w:type="dxa"/>
              <w:bottom w:w="0" w:type="dxa"/>
              <w:right w:w="28" w:type="dxa"/>
            </w:tcMar>
            <w:vAlign w:val="center"/>
          </w:tcPr>
          <w:p w14:paraId="140E11D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以新带老削减量（新建项目不填）</w:t>
            </w:r>
            <w:r>
              <w:rPr>
                <w:rFonts w:hint="eastAsia" w:ascii="Times New Roman" w:hAnsi="Times New Roman" w:cs="Times New Roman" w:eastAsiaTheme="minorEastAsia"/>
                <w:b/>
                <w:bCs/>
                <w:color w:val="auto"/>
                <w:sz w:val="21"/>
                <w:szCs w:val="21"/>
                <w:highlight w:val="none"/>
                <w:lang w:val="en-US" w:eastAsia="zh-CN"/>
              </w:rPr>
              <w:fldChar w:fldCharType="begin" w:fldLock="1"/>
            </w:r>
            <w:r>
              <w:rPr>
                <w:rFonts w:hint="eastAsia" w:ascii="Times New Roman" w:hAnsi="Times New Roman" w:cs="Times New Roman" w:eastAsiaTheme="minorEastAsia"/>
                <w:b/>
                <w:bCs/>
                <w:color w:val="auto"/>
                <w:sz w:val="21"/>
                <w:szCs w:val="21"/>
                <w:highlight w:val="none"/>
                <w:lang w:val="en-US" w:eastAsia="zh-CN"/>
              </w:rPr>
              <w:instrText xml:space="preserve"> = 5 \* GB3 \* MERGEFORMAT </w:instrText>
            </w:r>
            <w:r>
              <w:rPr>
                <w:rFonts w:hint="eastAsia" w:ascii="Times New Roman" w:hAnsi="Times New Roman" w:cs="Times New Roman" w:eastAsiaTheme="minorEastAsia"/>
                <w:b/>
                <w:bCs/>
                <w:color w:val="auto"/>
                <w:sz w:val="21"/>
                <w:szCs w:val="21"/>
                <w:highlight w:val="none"/>
                <w:lang w:val="en-US" w:eastAsia="zh-CN"/>
              </w:rPr>
              <w:fldChar w:fldCharType="separate"/>
            </w:r>
            <w:r>
              <w:rPr>
                <w:rFonts w:hint="eastAsia" w:ascii="Times New Roman" w:hAnsi="Times New Roman" w:cs="Times New Roman" w:eastAsiaTheme="minorEastAsia"/>
                <w:b/>
                <w:bCs/>
                <w:color w:val="auto"/>
                <w:sz w:val="21"/>
                <w:szCs w:val="21"/>
                <w:highlight w:val="none"/>
                <w:lang w:val="en-US" w:eastAsia="zh-CN"/>
              </w:rPr>
              <w:t>⑤</w:t>
            </w:r>
            <w:r>
              <w:rPr>
                <w:rFonts w:hint="eastAsia" w:ascii="Times New Roman" w:hAnsi="Times New Roman" w:cs="Times New Roman" w:eastAsiaTheme="minorEastAsia"/>
                <w:b/>
                <w:bCs/>
                <w:color w:val="auto"/>
                <w:sz w:val="21"/>
                <w:szCs w:val="21"/>
                <w:highlight w:val="none"/>
                <w:lang w:val="en-US" w:eastAsia="zh-CN"/>
              </w:rPr>
              <w:fldChar w:fldCharType="end"/>
            </w:r>
          </w:p>
        </w:tc>
        <w:tc>
          <w:tcPr>
            <w:tcW w:w="1910" w:type="dxa"/>
            <w:tcMar>
              <w:top w:w="0" w:type="dxa"/>
              <w:left w:w="28" w:type="dxa"/>
              <w:bottom w:w="0" w:type="dxa"/>
              <w:right w:w="28" w:type="dxa"/>
            </w:tcMar>
            <w:vAlign w:val="center"/>
          </w:tcPr>
          <w:p w14:paraId="306D3BA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本项目建成后全厂排放量（固体废物产生量）</w:t>
            </w:r>
            <w:r>
              <w:rPr>
                <w:rFonts w:hint="eastAsia" w:ascii="Times New Roman" w:hAnsi="Times New Roman" w:cs="Times New Roman" w:eastAsiaTheme="minorEastAsia"/>
                <w:b/>
                <w:bCs/>
                <w:color w:val="auto"/>
                <w:sz w:val="21"/>
                <w:szCs w:val="21"/>
                <w:highlight w:val="none"/>
                <w:lang w:val="en-US" w:eastAsia="zh-CN"/>
              </w:rPr>
              <w:fldChar w:fldCharType="begin" w:fldLock="1"/>
            </w:r>
            <w:r>
              <w:rPr>
                <w:rFonts w:hint="eastAsia" w:ascii="Times New Roman" w:hAnsi="Times New Roman" w:cs="Times New Roman" w:eastAsiaTheme="minorEastAsia"/>
                <w:b/>
                <w:bCs/>
                <w:color w:val="auto"/>
                <w:sz w:val="21"/>
                <w:szCs w:val="21"/>
                <w:highlight w:val="none"/>
                <w:lang w:val="en-US" w:eastAsia="zh-CN"/>
              </w:rPr>
              <w:instrText xml:space="preserve"> = 6 \* GB3 \* MERGEFORMAT </w:instrText>
            </w:r>
            <w:r>
              <w:rPr>
                <w:rFonts w:hint="eastAsia" w:ascii="Times New Roman" w:hAnsi="Times New Roman" w:cs="Times New Roman" w:eastAsiaTheme="minorEastAsia"/>
                <w:b/>
                <w:bCs/>
                <w:color w:val="auto"/>
                <w:sz w:val="21"/>
                <w:szCs w:val="21"/>
                <w:highlight w:val="none"/>
                <w:lang w:val="en-US" w:eastAsia="zh-CN"/>
              </w:rPr>
              <w:fldChar w:fldCharType="separate"/>
            </w:r>
            <w:r>
              <w:rPr>
                <w:rFonts w:hint="eastAsia" w:ascii="Times New Roman" w:hAnsi="Times New Roman" w:cs="Times New Roman" w:eastAsiaTheme="minorEastAsia"/>
                <w:b/>
                <w:bCs/>
                <w:color w:val="auto"/>
                <w:sz w:val="21"/>
                <w:szCs w:val="21"/>
                <w:highlight w:val="none"/>
                <w:lang w:val="en-US" w:eastAsia="zh-CN"/>
              </w:rPr>
              <w:t>⑥</w:t>
            </w:r>
            <w:r>
              <w:rPr>
                <w:rFonts w:hint="eastAsia" w:ascii="Times New Roman" w:hAnsi="Times New Roman" w:cs="Times New Roman" w:eastAsiaTheme="minorEastAsia"/>
                <w:b/>
                <w:bCs/>
                <w:color w:val="auto"/>
                <w:sz w:val="21"/>
                <w:szCs w:val="21"/>
                <w:highlight w:val="none"/>
                <w:lang w:val="en-US" w:eastAsia="zh-CN"/>
              </w:rPr>
              <w:fldChar w:fldCharType="end"/>
            </w:r>
          </w:p>
        </w:tc>
        <w:tc>
          <w:tcPr>
            <w:tcW w:w="979" w:type="dxa"/>
            <w:tcMar>
              <w:top w:w="0" w:type="dxa"/>
              <w:left w:w="28" w:type="dxa"/>
              <w:bottom w:w="0" w:type="dxa"/>
              <w:right w:w="28" w:type="dxa"/>
            </w:tcMar>
            <w:vAlign w:val="center"/>
          </w:tcPr>
          <w:p w14:paraId="3A52F0F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t>变化量</w:t>
            </w:r>
          </w:p>
          <w:p w14:paraId="18187DC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eastAsiaTheme="minorEastAsia"/>
                <w:b/>
                <w:bCs/>
                <w:color w:val="auto"/>
                <w:sz w:val="21"/>
                <w:szCs w:val="21"/>
                <w:highlight w:val="none"/>
                <w:lang w:val="en-US" w:eastAsia="zh-CN"/>
              </w:rPr>
              <w:fldChar w:fldCharType="begin" w:fldLock="1"/>
            </w:r>
            <w:r>
              <w:rPr>
                <w:rFonts w:hint="eastAsia" w:ascii="Times New Roman" w:hAnsi="Times New Roman" w:cs="Times New Roman" w:eastAsiaTheme="minorEastAsia"/>
                <w:b/>
                <w:bCs/>
                <w:color w:val="auto"/>
                <w:sz w:val="21"/>
                <w:szCs w:val="21"/>
                <w:highlight w:val="none"/>
                <w:lang w:val="en-US" w:eastAsia="zh-CN"/>
              </w:rPr>
              <w:instrText xml:space="preserve"> = 7 \* GB3 \* MERGEFORMAT </w:instrText>
            </w:r>
            <w:r>
              <w:rPr>
                <w:rFonts w:hint="eastAsia" w:ascii="Times New Roman" w:hAnsi="Times New Roman" w:cs="Times New Roman" w:eastAsiaTheme="minorEastAsia"/>
                <w:b/>
                <w:bCs/>
                <w:color w:val="auto"/>
                <w:sz w:val="21"/>
                <w:szCs w:val="21"/>
                <w:highlight w:val="none"/>
                <w:lang w:val="en-US" w:eastAsia="zh-CN"/>
              </w:rPr>
              <w:fldChar w:fldCharType="separate"/>
            </w:r>
            <w:r>
              <w:rPr>
                <w:rFonts w:hint="eastAsia" w:ascii="Times New Roman" w:hAnsi="Times New Roman" w:cs="Times New Roman" w:eastAsiaTheme="minorEastAsia"/>
                <w:b/>
                <w:bCs/>
                <w:color w:val="auto"/>
                <w:sz w:val="21"/>
                <w:szCs w:val="21"/>
                <w:highlight w:val="none"/>
                <w:lang w:val="en-US" w:eastAsia="zh-CN"/>
              </w:rPr>
              <w:t>⑦</w:t>
            </w:r>
            <w:r>
              <w:rPr>
                <w:rFonts w:hint="eastAsia" w:ascii="Times New Roman" w:hAnsi="Times New Roman" w:cs="Times New Roman" w:eastAsiaTheme="minorEastAsia"/>
                <w:b/>
                <w:bCs/>
                <w:color w:val="auto"/>
                <w:sz w:val="21"/>
                <w:szCs w:val="21"/>
                <w:highlight w:val="none"/>
                <w:lang w:val="en-US" w:eastAsia="zh-CN"/>
              </w:rPr>
              <w:fldChar w:fldCharType="end"/>
            </w:r>
          </w:p>
        </w:tc>
      </w:tr>
      <w:tr w14:paraId="3D2567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restart"/>
            <w:vAlign w:val="center"/>
          </w:tcPr>
          <w:p w14:paraId="0A52278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废气</w:t>
            </w:r>
          </w:p>
        </w:tc>
        <w:tc>
          <w:tcPr>
            <w:tcW w:w="2080" w:type="dxa"/>
            <w:vAlign w:val="center"/>
          </w:tcPr>
          <w:p w14:paraId="70971B9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颗粒物</w:t>
            </w:r>
          </w:p>
        </w:tc>
        <w:tc>
          <w:tcPr>
            <w:tcW w:w="1574" w:type="dxa"/>
            <w:vAlign w:val="center"/>
          </w:tcPr>
          <w:p w14:paraId="591DB13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101.757</w:t>
            </w:r>
            <w:r>
              <w:rPr>
                <w:rFonts w:hint="eastAsia" w:ascii="Times New Roman" w:hAnsi="Times New Roman" w:cs="Times New Roman" w:eastAsiaTheme="minorEastAsia"/>
                <w:color w:val="auto"/>
                <w:sz w:val="21"/>
                <w:szCs w:val="21"/>
                <w:highlight w:val="none"/>
                <w:lang w:val="en-US" w:eastAsia="zh-CN"/>
              </w:rPr>
              <w:t>t/a</w:t>
            </w:r>
          </w:p>
        </w:tc>
        <w:tc>
          <w:tcPr>
            <w:tcW w:w="1276" w:type="dxa"/>
            <w:vAlign w:val="center"/>
          </w:tcPr>
          <w:p w14:paraId="4E5970A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w:t>
            </w:r>
            <w:r>
              <w:rPr>
                <w:rFonts w:hint="eastAsia" w:cs="Times New Roman" w:eastAsiaTheme="minorEastAsia"/>
                <w:color w:val="auto"/>
                <w:sz w:val="21"/>
                <w:szCs w:val="21"/>
                <w:highlight w:val="none"/>
                <w:lang w:val="en-US" w:eastAsia="zh-CN"/>
              </w:rPr>
              <w:t>25.76</w:t>
            </w:r>
            <w:r>
              <w:rPr>
                <w:rFonts w:hint="eastAsia" w:ascii="Times New Roman" w:hAnsi="Times New Roman" w:cs="Times New Roman" w:eastAsiaTheme="minorEastAsia"/>
                <w:color w:val="auto"/>
                <w:sz w:val="21"/>
                <w:szCs w:val="21"/>
                <w:highlight w:val="none"/>
                <w:lang w:val="en-US" w:eastAsia="zh-CN"/>
              </w:rPr>
              <w:t>t/a</w:t>
            </w:r>
          </w:p>
        </w:tc>
        <w:tc>
          <w:tcPr>
            <w:tcW w:w="1701" w:type="dxa"/>
            <w:vAlign w:val="center"/>
          </w:tcPr>
          <w:p w14:paraId="567D665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559" w:type="dxa"/>
            <w:vAlign w:val="center"/>
          </w:tcPr>
          <w:p w14:paraId="1369F27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0.33</w:t>
            </w:r>
            <w:r>
              <w:rPr>
                <w:rFonts w:hint="eastAsia" w:ascii="Times New Roman" w:hAnsi="Times New Roman" w:cs="Times New Roman" w:eastAsiaTheme="minorEastAsia"/>
                <w:color w:val="auto"/>
                <w:sz w:val="21"/>
                <w:szCs w:val="21"/>
                <w:highlight w:val="none"/>
                <w:lang w:val="en-US" w:eastAsia="zh-CN"/>
              </w:rPr>
              <w:t>t/a</w:t>
            </w:r>
          </w:p>
        </w:tc>
        <w:tc>
          <w:tcPr>
            <w:tcW w:w="1761" w:type="dxa"/>
            <w:vAlign w:val="center"/>
          </w:tcPr>
          <w:p w14:paraId="7FC0137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910" w:type="dxa"/>
            <w:vAlign w:val="center"/>
          </w:tcPr>
          <w:p w14:paraId="56C4E18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102.087</w:t>
            </w:r>
            <w:r>
              <w:rPr>
                <w:rFonts w:hint="eastAsia" w:ascii="Times New Roman" w:hAnsi="Times New Roman" w:cs="Times New Roman" w:eastAsiaTheme="minorEastAsia"/>
                <w:color w:val="auto"/>
                <w:sz w:val="21"/>
                <w:szCs w:val="21"/>
                <w:highlight w:val="none"/>
                <w:lang w:val="en-US" w:eastAsia="zh-CN"/>
              </w:rPr>
              <w:t>t/a</w:t>
            </w:r>
          </w:p>
        </w:tc>
        <w:tc>
          <w:tcPr>
            <w:tcW w:w="979" w:type="dxa"/>
            <w:vAlign w:val="center"/>
          </w:tcPr>
          <w:p w14:paraId="7F2660F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+0.33</w:t>
            </w:r>
            <w:r>
              <w:rPr>
                <w:rFonts w:hint="eastAsia" w:ascii="Times New Roman" w:hAnsi="Times New Roman" w:cs="Times New Roman" w:eastAsiaTheme="minorEastAsia"/>
                <w:color w:val="auto"/>
                <w:sz w:val="21"/>
                <w:szCs w:val="21"/>
                <w:highlight w:val="none"/>
                <w:lang w:val="en-US" w:eastAsia="zh-CN"/>
              </w:rPr>
              <w:t>t/a</w:t>
            </w:r>
          </w:p>
        </w:tc>
      </w:tr>
      <w:tr w14:paraId="6F8AB8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continue"/>
            <w:vAlign w:val="center"/>
          </w:tcPr>
          <w:p w14:paraId="46A86F7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2080" w:type="dxa"/>
            <w:vAlign w:val="center"/>
          </w:tcPr>
          <w:p w14:paraId="7363908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SO</w:t>
            </w:r>
            <w:r>
              <w:rPr>
                <w:rFonts w:hint="eastAsia" w:ascii="Times New Roman" w:hAnsi="Times New Roman" w:cs="Times New Roman" w:eastAsiaTheme="minorEastAsia"/>
                <w:color w:val="auto"/>
                <w:sz w:val="21"/>
                <w:szCs w:val="21"/>
                <w:highlight w:val="none"/>
                <w:vertAlign w:val="subscript"/>
                <w:lang w:val="en-US" w:eastAsia="zh-CN"/>
              </w:rPr>
              <w:t>2</w:t>
            </w:r>
          </w:p>
        </w:tc>
        <w:tc>
          <w:tcPr>
            <w:tcW w:w="1574" w:type="dxa"/>
            <w:vAlign w:val="center"/>
          </w:tcPr>
          <w:p w14:paraId="3420A87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52.74</w:t>
            </w:r>
            <w:r>
              <w:rPr>
                <w:rFonts w:hint="eastAsia" w:ascii="Times New Roman" w:hAnsi="Times New Roman" w:cs="Times New Roman" w:eastAsiaTheme="minorEastAsia"/>
                <w:color w:val="auto"/>
                <w:sz w:val="21"/>
                <w:szCs w:val="21"/>
                <w:highlight w:val="none"/>
                <w:lang w:val="en-US" w:eastAsia="zh-CN"/>
              </w:rPr>
              <w:t>t/a</w:t>
            </w:r>
          </w:p>
        </w:tc>
        <w:tc>
          <w:tcPr>
            <w:tcW w:w="1276" w:type="dxa"/>
            <w:vAlign w:val="center"/>
          </w:tcPr>
          <w:p w14:paraId="5B3603E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63.28</w:t>
            </w:r>
            <w:r>
              <w:rPr>
                <w:rFonts w:hint="eastAsia" w:ascii="Times New Roman" w:hAnsi="Times New Roman" w:cs="Times New Roman" w:eastAsiaTheme="minorEastAsia"/>
                <w:color w:val="auto"/>
                <w:sz w:val="21"/>
                <w:szCs w:val="21"/>
                <w:highlight w:val="none"/>
                <w:lang w:val="en-US" w:eastAsia="zh-CN"/>
              </w:rPr>
              <w:t>t/a</w:t>
            </w:r>
          </w:p>
        </w:tc>
        <w:tc>
          <w:tcPr>
            <w:tcW w:w="1701" w:type="dxa"/>
            <w:shd w:val="clear" w:color="auto" w:fill="auto"/>
            <w:vAlign w:val="center"/>
          </w:tcPr>
          <w:p w14:paraId="6546A24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559" w:type="dxa"/>
            <w:shd w:val="clear" w:color="auto" w:fill="auto"/>
            <w:vAlign w:val="center"/>
          </w:tcPr>
          <w:p w14:paraId="43CD88E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61" w:type="dxa"/>
            <w:vAlign w:val="center"/>
          </w:tcPr>
          <w:p w14:paraId="3E0635C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910" w:type="dxa"/>
            <w:shd w:val="clear" w:color="auto" w:fill="auto"/>
            <w:vAlign w:val="center"/>
          </w:tcPr>
          <w:p w14:paraId="16C9CE0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52.74</w:t>
            </w:r>
            <w:r>
              <w:rPr>
                <w:rFonts w:hint="eastAsia" w:ascii="Times New Roman" w:hAnsi="Times New Roman" w:cs="Times New Roman" w:eastAsiaTheme="minorEastAsia"/>
                <w:color w:val="auto"/>
                <w:sz w:val="21"/>
                <w:szCs w:val="21"/>
                <w:highlight w:val="none"/>
                <w:lang w:val="en-US" w:eastAsia="zh-CN"/>
              </w:rPr>
              <w:t>t/a</w:t>
            </w:r>
          </w:p>
        </w:tc>
        <w:tc>
          <w:tcPr>
            <w:tcW w:w="979" w:type="dxa"/>
            <w:vAlign w:val="center"/>
          </w:tcPr>
          <w:p w14:paraId="5E6176A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w:t>
            </w:r>
          </w:p>
        </w:tc>
      </w:tr>
      <w:tr w14:paraId="56C1D2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continue"/>
            <w:vAlign w:val="center"/>
          </w:tcPr>
          <w:p w14:paraId="236C05A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2080" w:type="dxa"/>
            <w:vAlign w:val="center"/>
          </w:tcPr>
          <w:p w14:paraId="619D533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NO</w:t>
            </w:r>
            <w:r>
              <w:rPr>
                <w:rFonts w:hint="eastAsia" w:ascii="Times New Roman" w:hAnsi="Times New Roman" w:cs="Times New Roman" w:eastAsiaTheme="minorEastAsia"/>
                <w:color w:val="auto"/>
                <w:sz w:val="21"/>
                <w:szCs w:val="21"/>
                <w:highlight w:val="none"/>
                <w:vertAlign w:val="subscript"/>
                <w:lang w:val="en-US" w:eastAsia="zh-CN"/>
              </w:rPr>
              <w:t>X</w:t>
            </w:r>
          </w:p>
        </w:tc>
        <w:tc>
          <w:tcPr>
            <w:tcW w:w="1574" w:type="dxa"/>
            <w:vAlign w:val="center"/>
          </w:tcPr>
          <w:p w14:paraId="02CF6C5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421.12</w:t>
            </w:r>
            <w:r>
              <w:rPr>
                <w:rFonts w:hint="eastAsia" w:ascii="Times New Roman" w:hAnsi="Times New Roman" w:cs="Times New Roman" w:eastAsiaTheme="minorEastAsia"/>
                <w:color w:val="auto"/>
                <w:sz w:val="21"/>
                <w:szCs w:val="21"/>
                <w:highlight w:val="none"/>
                <w:lang w:val="en-US" w:eastAsia="zh-CN"/>
              </w:rPr>
              <w:t>t/a</w:t>
            </w:r>
          </w:p>
        </w:tc>
        <w:tc>
          <w:tcPr>
            <w:tcW w:w="1276" w:type="dxa"/>
            <w:vAlign w:val="center"/>
          </w:tcPr>
          <w:p w14:paraId="7574D56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651.78</w:t>
            </w:r>
            <w:r>
              <w:rPr>
                <w:rFonts w:hint="eastAsia" w:ascii="Times New Roman" w:hAnsi="Times New Roman" w:cs="Times New Roman" w:eastAsiaTheme="minorEastAsia"/>
                <w:color w:val="auto"/>
                <w:sz w:val="21"/>
                <w:szCs w:val="21"/>
                <w:highlight w:val="none"/>
                <w:lang w:val="en-US" w:eastAsia="zh-CN"/>
              </w:rPr>
              <w:t>t/a</w:t>
            </w:r>
          </w:p>
        </w:tc>
        <w:tc>
          <w:tcPr>
            <w:tcW w:w="1701" w:type="dxa"/>
            <w:shd w:val="clear" w:color="auto" w:fill="auto"/>
            <w:vAlign w:val="center"/>
          </w:tcPr>
          <w:p w14:paraId="1FB1B75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559" w:type="dxa"/>
            <w:shd w:val="clear" w:color="auto" w:fill="auto"/>
            <w:vAlign w:val="center"/>
          </w:tcPr>
          <w:p w14:paraId="4FF6626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61" w:type="dxa"/>
            <w:vAlign w:val="center"/>
          </w:tcPr>
          <w:p w14:paraId="01203F3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910" w:type="dxa"/>
            <w:shd w:val="clear" w:color="auto" w:fill="auto"/>
            <w:vAlign w:val="center"/>
          </w:tcPr>
          <w:p w14:paraId="3E3F69B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421.12</w:t>
            </w:r>
            <w:r>
              <w:rPr>
                <w:rFonts w:hint="eastAsia" w:ascii="Times New Roman" w:hAnsi="Times New Roman" w:cs="Times New Roman" w:eastAsiaTheme="minorEastAsia"/>
                <w:color w:val="auto"/>
                <w:sz w:val="21"/>
                <w:szCs w:val="21"/>
                <w:highlight w:val="none"/>
                <w:lang w:val="en-US" w:eastAsia="zh-CN"/>
              </w:rPr>
              <w:t>t/a</w:t>
            </w:r>
          </w:p>
        </w:tc>
        <w:tc>
          <w:tcPr>
            <w:tcW w:w="979" w:type="dxa"/>
            <w:vAlign w:val="center"/>
          </w:tcPr>
          <w:p w14:paraId="6626AE8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w:t>
            </w:r>
          </w:p>
        </w:tc>
      </w:tr>
      <w:tr w14:paraId="2F41D4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continue"/>
            <w:vAlign w:val="center"/>
          </w:tcPr>
          <w:p w14:paraId="0A81B030">
            <w:pPr>
              <w:pStyle w:val="43"/>
              <w:spacing w:beforeLines="0" w:afterLines="0" w:line="240" w:lineRule="auto"/>
              <w:rPr>
                <w:rFonts w:ascii="Times New Roman" w:eastAsiaTheme="minorEastAsia"/>
                <w:snapToGrid w:val="0"/>
                <w:color w:val="auto"/>
                <w:kern w:val="21"/>
                <w:szCs w:val="21"/>
                <w:highlight w:val="none"/>
              </w:rPr>
            </w:pPr>
          </w:p>
        </w:tc>
        <w:tc>
          <w:tcPr>
            <w:tcW w:w="2080" w:type="dxa"/>
            <w:vAlign w:val="center"/>
          </w:tcPr>
          <w:p w14:paraId="3FFAE40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eastAsiaTheme="minorEastAsia"/>
                <w:snapToGrid w:val="0"/>
                <w:color w:val="auto"/>
                <w:kern w:val="21"/>
                <w:szCs w:val="21"/>
                <w:highlight w:val="none"/>
                <w:lang w:val="en-US" w:eastAsia="zh-CN"/>
              </w:rPr>
            </w:pPr>
            <w:r>
              <w:rPr>
                <w:rFonts w:hint="eastAsia" w:cs="Times New Roman" w:eastAsiaTheme="minorEastAsia"/>
                <w:color w:val="auto"/>
                <w:sz w:val="21"/>
                <w:szCs w:val="21"/>
                <w:highlight w:val="none"/>
                <w:lang w:val="en-US" w:eastAsia="zh-CN"/>
              </w:rPr>
              <w:t>NH</w:t>
            </w:r>
            <w:r>
              <w:rPr>
                <w:rFonts w:hint="eastAsia" w:cs="Times New Roman" w:eastAsiaTheme="minorEastAsia"/>
                <w:color w:val="auto"/>
                <w:sz w:val="21"/>
                <w:szCs w:val="21"/>
                <w:highlight w:val="none"/>
                <w:vertAlign w:val="subscript"/>
                <w:lang w:val="en-US" w:eastAsia="zh-CN"/>
              </w:rPr>
              <w:t>3</w:t>
            </w:r>
          </w:p>
        </w:tc>
        <w:tc>
          <w:tcPr>
            <w:tcW w:w="1574" w:type="dxa"/>
            <w:vAlign w:val="center"/>
          </w:tcPr>
          <w:p w14:paraId="7170339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eastAsiaTheme="minorEastAsia"/>
                <w:snapToGrid w:val="0"/>
                <w:color w:val="auto"/>
                <w:kern w:val="21"/>
                <w:szCs w:val="21"/>
                <w:highlight w:val="none"/>
                <w:lang w:val="en-US" w:eastAsia="zh-CN"/>
              </w:rPr>
            </w:pPr>
            <w:r>
              <w:rPr>
                <w:rFonts w:hint="eastAsia" w:eastAsiaTheme="minorEastAsia"/>
                <w:snapToGrid w:val="0"/>
                <w:color w:val="auto"/>
                <w:kern w:val="21"/>
                <w:szCs w:val="21"/>
                <w:highlight w:val="none"/>
                <w:lang w:val="en-US" w:eastAsia="zh-CN"/>
              </w:rPr>
              <w:t>9.742</w:t>
            </w:r>
            <w:r>
              <w:rPr>
                <w:rFonts w:hint="eastAsia" w:ascii="Times New Roman" w:hAnsi="Times New Roman" w:cs="Times New Roman" w:eastAsiaTheme="minorEastAsia"/>
                <w:color w:val="auto"/>
                <w:sz w:val="21"/>
                <w:szCs w:val="21"/>
                <w:highlight w:val="none"/>
                <w:lang w:val="en-US" w:eastAsia="zh-CN"/>
              </w:rPr>
              <w:t>t/a</w:t>
            </w:r>
          </w:p>
        </w:tc>
        <w:tc>
          <w:tcPr>
            <w:tcW w:w="1276" w:type="dxa"/>
            <w:shd w:val="clear" w:color="auto" w:fill="auto"/>
            <w:vAlign w:val="center"/>
          </w:tcPr>
          <w:p w14:paraId="6BD692C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01" w:type="dxa"/>
            <w:shd w:val="clear" w:color="auto" w:fill="auto"/>
            <w:vAlign w:val="center"/>
          </w:tcPr>
          <w:p w14:paraId="0D02619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559" w:type="dxa"/>
            <w:shd w:val="clear" w:color="auto" w:fill="auto"/>
            <w:vAlign w:val="center"/>
          </w:tcPr>
          <w:p w14:paraId="0567A87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61" w:type="dxa"/>
            <w:vAlign w:val="center"/>
          </w:tcPr>
          <w:p w14:paraId="32EE97E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910" w:type="dxa"/>
            <w:shd w:val="clear" w:color="auto" w:fill="auto"/>
            <w:vAlign w:val="center"/>
          </w:tcPr>
          <w:p w14:paraId="7202A58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snapToGrid w:val="0"/>
                <w:color w:val="auto"/>
                <w:kern w:val="21"/>
                <w:sz w:val="21"/>
                <w:szCs w:val="21"/>
                <w:highlight w:val="none"/>
                <w:lang w:val="en-US" w:eastAsia="zh-CN" w:bidi="ar-SA"/>
              </w:rPr>
            </w:pPr>
            <w:r>
              <w:rPr>
                <w:rFonts w:hint="eastAsia" w:eastAsiaTheme="minorEastAsia"/>
                <w:snapToGrid w:val="0"/>
                <w:color w:val="auto"/>
                <w:kern w:val="21"/>
                <w:szCs w:val="21"/>
                <w:highlight w:val="none"/>
                <w:lang w:val="en-US" w:eastAsia="zh-CN"/>
              </w:rPr>
              <w:t>9.742</w:t>
            </w:r>
            <w:r>
              <w:rPr>
                <w:rFonts w:hint="eastAsia" w:ascii="Times New Roman" w:hAnsi="Times New Roman" w:cs="Times New Roman" w:eastAsiaTheme="minorEastAsia"/>
                <w:color w:val="auto"/>
                <w:sz w:val="21"/>
                <w:szCs w:val="21"/>
                <w:highlight w:val="none"/>
                <w:lang w:val="en-US" w:eastAsia="zh-CN"/>
              </w:rPr>
              <w:t>t/a</w:t>
            </w:r>
          </w:p>
        </w:tc>
        <w:tc>
          <w:tcPr>
            <w:tcW w:w="979" w:type="dxa"/>
            <w:vAlign w:val="center"/>
          </w:tcPr>
          <w:p w14:paraId="481D83E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w:t>
            </w:r>
          </w:p>
        </w:tc>
      </w:tr>
      <w:tr w14:paraId="076A35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continue"/>
            <w:vAlign w:val="center"/>
          </w:tcPr>
          <w:p w14:paraId="3EF10200">
            <w:pPr>
              <w:pStyle w:val="43"/>
              <w:spacing w:beforeLines="0" w:afterLines="0" w:line="240" w:lineRule="auto"/>
              <w:rPr>
                <w:rFonts w:ascii="Times New Roman" w:eastAsiaTheme="minorEastAsia"/>
                <w:snapToGrid w:val="0"/>
                <w:color w:val="auto"/>
                <w:kern w:val="21"/>
                <w:szCs w:val="21"/>
                <w:highlight w:val="none"/>
              </w:rPr>
            </w:pPr>
          </w:p>
        </w:tc>
        <w:tc>
          <w:tcPr>
            <w:tcW w:w="2080" w:type="dxa"/>
            <w:vAlign w:val="center"/>
          </w:tcPr>
          <w:p w14:paraId="434E329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eastAsiaTheme="minorEastAsia"/>
                <w:snapToGrid w:val="0"/>
                <w:color w:val="auto"/>
                <w:kern w:val="21"/>
                <w:szCs w:val="21"/>
                <w:highlight w:val="none"/>
                <w:lang w:val="en-US" w:eastAsia="zh-CN"/>
              </w:rPr>
            </w:pPr>
            <w:r>
              <w:rPr>
                <w:rFonts w:hint="eastAsia" w:cs="Times New Roman" w:eastAsiaTheme="minorEastAsia"/>
                <w:color w:val="auto"/>
                <w:sz w:val="21"/>
                <w:szCs w:val="21"/>
                <w:highlight w:val="none"/>
                <w:lang w:val="en-US" w:eastAsia="zh-CN"/>
              </w:rPr>
              <w:t>H</w:t>
            </w:r>
            <w:r>
              <w:rPr>
                <w:rFonts w:hint="eastAsia" w:cs="Times New Roman" w:eastAsiaTheme="minorEastAsia"/>
                <w:color w:val="auto"/>
                <w:sz w:val="21"/>
                <w:szCs w:val="21"/>
                <w:highlight w:val="none"/>
                <w:vertAlign w:val="subscript"/>
                <w:lang w:val="en-US" w:eastAsia="zh-CN"/>
              </w:rPr>
              <w:t>2</w:t>
            </w:r>
            <w:r>
              <w:rPr>
                <w:rFonts w:hint="eastAsia" w:cs="Times New Roman" w:eastAsiaTheme="minorEastAsia"/>
                <w:color w:val="auto"/>
                <w:sz w:val="21"/>
                <w:szCs w:val="21"/>
                <w:highlight w:val="none"/>
                <w:lang w:val="en-US" w:eastAsia="zh-CN"/>
              </w:rPr>
              <w:t>S</w:t>
            </w:r>
          </w:p>
        </w:tc>
        <w:tc>
          <w:tcPr>
            <w:tcW w:w="1574" w:type="dxa"/>
            <w:vAlign w:val="center"/>
          </w:tcPr>
          <w:p w14:paraId="6A04CC5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eastAsiaTheme="minorEastAsia"/>
                <w:snapToGrid w:val="0"/>
                <w:color w:val="auto"/>
                <w:kern w:val="21"/>
                <w:szCs w:val="21"/>
                <w:highlight w:val="none"/>
                <w:lang w:val="en-US" w:eastAsia="zh-CN"/>
              </w:rPr>
            </w:pPr>
            <w:r>
              <w:rPr>
                <w:rFonts w:hint="eastAsia" w:eastAsiaTheme="minorEastAsia"/>
                <w:snapToGrid w:val="0"/>
                <w:color w:val="auto"/>
                <w:kern w:val="21"/>
                <w:szCs w:val="21"/>
                <w:highlight w:val="none"/>
                <w:lang w:val="en-US" w:eastAsia="zh-CN"/>
              </w:rPr>
              <w:t>0.0404</w:t>
            </w:r>
            <w:r>
              <w:rPr>
                <w:rFonts w:hint="eastAsia" w:ascii="Times New Roman" w:hAnsi="Times New Roman" w:cs="Times New Roman" w:eastAsiaTheme="minorEastAsia"/>
                <w:color w:val="auto"/>
                <w:sz w:val="21"/>
                <w:szCs w:val="21"/>
                <w:highlight w:val="none"/>
                <w:lang w:val="en-US" w:eastAsia="zh-CN"/>
              </w:rPr>
              <w:t>t/a</w:t>
            </w:r>
          </w:p>
        </w:tc>
        <w:tc>
          <w:tcPr>
            <w:tcW w:w="1276" w:type="dxa"/>
            <w:shd w:val="clear" w:color="auto" w:fill="auto"/>
            <w:vAlign w:val="center"/>
          </w:tcPr>
          <w:p w14:paraId="3283291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01" w:type="dxa"/>
            <w:shd w:val="clear" w:color="auto" w:fill="auto"/>
            <w:vAlign w:val="center"/>
          </w:tcPr>
          <w:p w14:paraId="5CBFC10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559" w:type="dxa"/>
            <w:shd w:val="clear" w:color="auto" w:fill="auto"/>
            <w:vAlign w:val="center"/>
          </w:tcPr>
          <w:p w14:paraId="4932DF7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61" w:type="dxa"/>
            <w:vAlign w:val="center"/>
          </w:tcPr>
          <w:p w14:paraId="37D1731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910" w:type="dxa"/>
            <w:shd w:val="clear" w:color="auto" w:fill="auto"/>
            <w:vAlign w:val="center"/>
          </w:tcPr>
          <w:p w14:paraId="55B01C4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snapToGrid w:val="0"/>
                <w:color w:val="auto"/>
                <w:kern w:val="21"/>
                <w:sz w:val="21"/>
                <w:szCs w:val="21"/>
                <w:highlight w:val="none"/>
                <w:lang w:val="en-US" w:eastAsia="zh-CN" w:bidi="ar-SA"/>
              </w:rPr>
            </w:pPr>
            <w:r>
              <w:rPr>
                <w:rFonts w:hint="eastAsia" w:eastAsiaTheme="minorEastAsia"/>
                <w:snapToGrid w:val="0"/>
                <w:color w:val="auto"/>
                <w:kern w:val="21"/>
                <w:szCs w:val="21"/>
                <w:highlight w:val="none"/>
                <w:lang w:val="en-US" w:eastAsia="zh-CN"/>
              </w:rPr>
              <w:t>0.0404</w:t>
            </w:r>
            <w:r>
              <w:rPr>
                <w:rFonts w:hint="eastAsia" w:ascii="Times New Roman" w:hAnsi="Times New Roman" w:cs="Times New Roman" w:eastAsiaTheme="minorEastAsia"/>
                <w:color w:val="auto"/>
                <w:sz w:val="21"/>
                <w:szCs w:val="21"/>
                <w:highlight w:val="none"/>
                <w:lang w:val="en-US" w:eastAsia="zh-CN"/>
              </w:rPr>
              <w:t>t/a</w:t>
            </w:r>
          </w:p>
        </w:tc>
        <w:tc>
          <w:tcPr>
            <w:tcW w:w="979" w:type="dxa"/>
            <w:vAlign w:val="center"/>
          </w:tcPr>
          <w:p w14:paraId="06AB7D2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w:t>
            </w:r>
          </w:p>
        </w:tc>
      </w:tr>
      <w:tr w14:paraId="5A800E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continue"/>
            <w:vAlign w:val="center"/>
          </w:tcPr>
          <w:p w14:paraId="4F6C4563">
            <w:pPr>
              <w:pStyle w:val="43"/>
              <w:spacing w:beforeLines="0" w:afterLines="0" w:line="240" w:lineRule="auto"/>
              <w:rPr>
                <w:rFonts w:ascii="Times New Roman" w:eastAsiaTheme="minorEastAsia"/>
                <w:snapToGrid w:val="0"/>
                <w:color w:val="auto"/>
                <w:kern w:val="21"/>
                <w:szCs w:val="21"/>
                <w:highlight w:val="none"/>
              </w:rPr>
            </w:pPr>
          </w:p>
        </w:tc>
        <w:tc>
          <w:tcPr>
            <w:tcW w:w="2080" w:type="dxa"/>
            <w:vAlign w:val="center"/>
          </w:tcPr>
          <w:p w14:paraId="59F2870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eastAsiaTheme="minorEastAsia"/>
                <w:snapToGrid w:val="0"/>
                <w:color w:val="auto"/>
                <w:kern w:val="21"/>
                <w:szCs w:val="21"/>
                <w:highlight w:val="none"/>
                <w:lang w:val="en-US" w:eastAsia="zh-CN"/>
              </w:rPr>
            </w:pPr>
            <w:r>
              <w:rPr>
                <w:rFonts w:hint="eastAsia" w:cs="Times New Roman" w:eastAsiaTheme="minorEastAsia"/>
                <w:color w:val="auto"/>
                <w:sz w:val="21"/>
                <w:szCs w:val="21"/>
                <w:highlight w:val="none"/>
                <w:lang w:val="en-US" w:eastAsia="zh-CN"/>
              </w:rPr>
              <w:t>氟化物</w:t>
            </w:r>
          </w:p>
        </w:tc>
        <w:tc>
          <w:tcPr>
            <w:tcW w:w="1574" w:type="dxa"/>
            <w:vAlign w:val="center"/>
          </w:tcPr>
          <w:p w14:paraId="639A98C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eastAsiaTheme="minorEastAsia"/>
                <w:snapToGrid w:val="0"/>
                <w:color w:val="auto"/>
                <w:kern w:val="21"/>
                <w:szCs w:val="21"/>
                <w:highlight w:val="none"/>
                <w:lang w:val="en-US" w:eastAsia="zh-CN"/>
              </w:rPr>
            </w:pPr>
            <w:r>
              <w:rPr>
                <w:rFonts w:hint="eastAsia" w:eastAsiaTheme="minorEastAsia"/>
                <w:snapToGrid w:val="0"/>
                <w:color w:val="auto"/>
                <w:kern w:val="21"/>
                <w:szCs w:val="21"/>
                <w:highlight w:val="none"/>
                <w:lang w:val="en-US" w:eastAsia="zh-CN"/>
              </w:rPr>
              <w:t>3.889</w:t>
            </w:r>
            <w:r>
              <w:rPr>
                <w:rFonts w:hint="eastAsia" w:ascii="Times New Roman" w:hAnsi="Times New Roman" w:cs="Times New Roman" w:eastAsiaTheme="minorEastAsia"/>
                <w:color w:val="auto"/>
                <w:sz w:val="21"/>
                <w:szCs w:val="21"/>
                <w:highlight w:val="none"/>
                <w:lang w:val="en-US" w:eastAsia="zh-CN"/>
              </w:rPr>
              <w:t>t/a</w:t>
            </w:r>
          </w:p>
        </w:tc>
        <w:tc>
          <w:tcPr>
            <w:tcW w:w="1276" w:type="dxa"/>
            <w:shd w:val="clear" w:color="auto" w:fill="auto"/>
            <w:vAlign w:val="center"/>
          </w:tcPr>
          <w:p w14:paraId="60B16DA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01" w:type="dxa"/>
            <w:shd w:val="clear" w:color="auto" w:fill="auto"/>
            <w:vAlign w:val="center"/>
          </w:tcPr>
          <w:p w14:paraId="2B786DE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559" w:type="dxa"/>
            <w:shd w:val="clear" w:color="auto" w:fill="auto"/>
            <w:vAlign w:val="center"/>
          </w:tcPr>
          <w:p w14:paraId="751836E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61" w:type="dxa"/>
            <w:vAlign w:val="center"/>
          </w:tcPr>
          <w:p w14:paraId="704BBB4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910" w:type="dxa"/>
            <w:shd w:val="clear" w:color="auto" w:fill="auto"/>
            <w:vAlign w:val="center"/>
          </w:tcPr>
          <w:p w14:paraId="0E5E76E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snapToGrid w:val="0"/>
                <w:color w:val="auto"/>
                <w:kern w:val="21"/>
                <w:sz w:val="21"/>
                <w:szCs w:val="21"/>
                <w:highlight w:val="none"/>
                <w:lang w:val="en-US" w:eastAsia="zh-CN" w:bidi="ar-SA"/>
              </w:rPr>
            </w:pPr>
            <w:r>
              <w:rPr>
                <w:rFonts w:hint="eastAsia" w:eastAsiaTheme="minorEastAsia"/>
                <w:snapToGrid w:val="0"/>
                <w:color w:val="auto"/>
                <w:kern w:val="21"/>
                <w:szCs w:val="21"/>
                <w:highlight w:val="none"/>
                <w:lang w:val="en-US" w:eastAsia="zh-CN"/>
              </w:rPr>
              <w:t>3.889</w:t>
            </w:r>
            <w:r>
              <w:rPr>
                <w:rFonts w:hint="eastAsia" w:ascii="Times New Roman" w:hAnsi="Times New Roman" w:cs="Times New Roman" w:eastAsiaTheme="minorEastAsia"/>
                <w:color w:val="auto"/>
                <w:sz w:val="21"/>
                <w:szCs w:val="21"/>
                <w:highlight w:val="none"/>
                <w:lang w:val="en-US" w:eastAsia="zh-CN"/>
              </w:rPr>
              <w:t>t/a</w:t>
            </w:r>
          </w:p>
        </w:tc>
        <w:tc>
          <w:tcPr>
            <w:tcW w:w="979" w:type="dxa"/>
            <w:vAlign w:val="center"/>
          </w:tcPr>
          <w:p w14:paraId="08A9248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w:t>
            </w:r>
          </w:p>
        </w:tc>
      </w:tr>
      <w:tr w14:paraId="3AC554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continue"/>
            <w:vAlign w:val="center"/>
          </w:tcPr>
          <w:p w14:paraId="5D9484C6">
            <w:pPr>
              <w:pStyle w:val="43"/>
              <w:spacing w:beforeLines="0" w:afterLines="0" w:line="240" w:lineRule="auto"/>
              <w:rPr>
                <w:rFonts w:ascii="Times New Roman" w:eastAsiaTheme="minorEastAsia"/>
                <w:snapToGrid w:val="0"/>
                <w:color w:val="auto"/>
                <w:kern w:val="21"/>
                <w:szCs w:val="21"/>
                <w:highlight w:val="none"/>
              </w:rPr>
            </w:pPr>
          </w:p>
        </w:tc>
        <w:tc>
          <w:tcPr>
            <w:tcW w:w="2080" w:type="dxa"/>
            <w:vAlign w:val="center"/>
          </w:tcPr>
          <w:p w14:paraId="7D30AB3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eastAsiaTheme="minorEastAsia"/>
                <w:snapToGrid w:val="0"/>
                <w:color w:val="auto"/>
                <w:kern w:val="21"/>
                <w:szCs w:val="21"/>
                <w:highlight w:val="none"/>
                <w:lang w:val="en-US" w:eastAsia="zh-CN"/>
              </w:rPr>
            </w:pPr>
            <w:r>
              <w:rPr>
                <w:rFonts w:hint="eastAsia" w:cs="Times New Roman" w:eastAsiaTheme="minorEastAsia"/>
                <w:color w:val="auto"/>
                <w:sz w:val="21"/>
                <w:szCs w:val="21"/>
                <w:highlight w:val="none"/>
                <w:lang w:val="en-US" w:eastAsia="zh-CN"/>
              </w:rPr>
              <w:t>HF</w:t>
            </w:r>
          </w:p>
        </w:tc>
        <w:tc>
          <w:tcPr>
            <w:tcW w:w="1574" w:type="dxa"/>
            <w:vAlign w:val="center"/>
          </w:tcPr>
          <w:p w14:paraId="191C6B9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eastAsiaTheme="minorEastAsia"/>
                <w:snapToGrid w:val="0"/>
                <w:color w:val="auto"/>
                <w:kern w:val="21"/>
                <w:szCs w:val="21"/>
                <w:highlight w:val="none"/>
                <w:lang w:val="en-US" w:eastAsia="zh-CN"/>
              </w:rPr>
            </w:pPr>
            <w:r>
              <w:rPr>
                <w:rFonts w:hint="eastAsia" w:eastAsiaTheme="minorEastAsia"/>
                <w:snapToGrid w:val="0"/>
                <w:color w:val="auto"/>
                <w:kern w:val="21"/>
                <w:szCs w:val="21"/>
                <w:highlight w:val="none"/>
                <w:lang w:val="en-US" w:eastAsia="zh-CN"/>
              </w:rPr>
              <w:t>3.534</w:t>
            </w:r>
            <w:r>
              <w:rPr>
                <w:rFonts w:hint="eastAsia" w:ascii="Times New Roman" w:hAnsi="Times New Roman" w:cs="Times New Roman" w:eastAsiaTheme="minorEastAsia"/>
                <w:color w:val="auto"/>
                <w:sz w:val="21"/>
                <w:szCs w:val="21"/>
                <w:highlight w:val="none"/>
                <w:lang w:val="en-US" w:eastAsia="zh-CN"/>
              </w:rPr>
              <w:t>t/a</w:t>
            </w:r>
          </w:p>
        </w:tc>
        <w:tc>
          <w:tcPr>
            <w:tcW w:w="1276" w:type="dxa"/>
            <w:shd w:val="clear" w:color="auto" w:fill="auto"/>
            <w:vAlign w:val="center"/>
          </w:tcPr>
          <w:p w14:paraId="2189542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01" w:type="dxa"/>
            <w:shd w:val="clear" w:color="auto" w:fill="auto"/>
            <w:vAlign w:val="center"/>
          </w:tcPr>
          <w:p w14:paraId="4B1DB3C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559" w:type="dxa"/>
            <w:shd w:val="clear" w:color="auto" w:fill="auto"/>
            <w:vAlign w:val="center"/>
          </w:tcPr>
          <w:p w14:paraId="73F2125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61" w:type="dxa"/>
            <w:vAlign w:val="center"/>
          </w:tcPr>
          <w:p w14:paraId="7E8649B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910" w:type="dxa"/>
            <w:shd w:val="clear" w:color="auto" w:fill="auto"/>
            <w:vAlign w:val="center"/>
          </w:tcPr>
          <w:p w14:paraId="0E0D0DF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snapToGrid w:val="0"/>
                <w:color w:val="auto"/>
                <w:kern w:val="21"/>
                <w:sz w:val="21"/>
                <w:szCs w:val="21"/>
                <w:highlight w:val="none"/>
                <w:lang w:val="en-US" w:eastAsia="zh-CN" w:bidi="ar-SA"/>
              </w:rPr>
            </w:pPr>
            <w:r>
              <w:rPr>
                <w:rFonts w:hint="eastAsia" w:eastAsiaTheme="minorEastAsia"/>
                <w:snapToGrid w:val="0"/>
                <w:color w:val="auto"/>
                <w:kern w:val="21"/>
                <w:szCs w:val="21"/>
                <w:highlight w:val="none"/>
                <w:lang w:val="en-US" w:eastAsia="zh-CN"/>
              </w:rPr>
              <w:t>3.534</w:t>
            </w:r>
            <w:r>
              <w:rPr>
                <w:rFonts w:hint="eastAsia" w:ascii="Times New Roman" w:hAnsi="Times New Roman" w:cs="Times New Roman" w:eastAsiaTheme="minorEastAsia"/>
                <w:color w:val="auto"/>
                <w:sz w:val="21"/>
                <w:szCs w:val="21"/>
                <w:highlight w:val="none"/>
                <w:lang w:val="en-US" w:eastAsia="zh-CN"/>
              </w:rPr>
              <w:t>t/a</w:t>
            </w:r>
          </w:p>
        </w:tc>
        <w:tc>
          <w:tcPr>
            <w:tcW w:w="979" w:type="dxa"/>
            <w:vAlign w:val="center"/>
          </w:tcPr>
          <w:p w14:paraId="7D01A65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w:t>
            </w:r>
          </w:p>
        </w:tc>
      </w:tr>
      <w:tr w14:paraId="73DD85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continue"/>
            <w:vAlign w:val="center"/>
          </w:tcPr>
          <w:p w14:paraId="6DE5D533">
            <w:pPr>
              <w:pStyle w:val="43"/>
              <w:spacing w:beforeLines="0" w:afterLines="0" w:line="240" w:lineRule="auto"/>
              <w:rPr>
                <w:rFonts w:ascii="Times New Roman" w:eastAsiaTheme="minorEastAsia"/>
                <w:snapToGrid w:val="0"/>
                <w:color w:val="auto"/>
                <w:kern w:val="21"/>
                <w:szCs w:val="21"/>
                <w:highlight w:val="none"/>
              </w:rPr>
            </w:pPr>
          </w:p>
        </w:tc>
        <w:tc>
          <w:tcPr>
            <w:tcW w:w="2080" w:type="dxa"/>
            <w:vAlign w:val="center"/>
          </w:tcPr>
          <w:p w14:paraId="1D6AB85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eastAsiaTheme="minorEastAsia"/>
                <w:snapToGrid w:val="0"/>
                <w:color w:val="auto"/>
                <w:kern w:val="21"/>
                <w:szCs w:val="21"/>
                <w:highlight w:val="none"/>
                <w:lang w:val="en-US" w:eastAsia="zh-CN"/>
              </w:rPr>
            </w:pPr>
            <w:r>
              <w:rPr>
                <w:rFonts w:hint="eastAsia" w:cs="Times New Roman" w:eastAsiaTheme="minorEastAsia"/>
                <w:color w:val="auto"/>
                <w:sz w:val="21"/>
                <w:szCs w:val="21"/>
                <w:highlight w:val="none"/>
                <w:lang w:val="en-US" w:eastAsia="zh-CN"/>
              </w:rPr>
              <w:t>HCl</w:t>
            </w:r>
          </w:p>
        </w:tc>
        <w:tc>
          <w:tcPr>
            <w:tcW w:w="1574" w:type="dxa"/>
            <w:vAlign w:val="center"/>
          </w:tcPr>
          <w:p w14:paraId="2DAA7E7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eastAsiaTheme="minorEastAsia"/>
                <w:snapToGrid w:val="0"/>
                <w:color w:val="auto"/>
                <w:kern w:val="21"/>
                <w:szCs w:val="21"/>
                <w:highlight w:val="none"/>
                <w:lang w:val="en-US" w:eastAsia="zh-CN"/>
              </w:rPr>
            </w:pPr>
            <w:r>
              <w:rPr>
                <w:rFonts w:hint="eastAsia" w:eastAsiaTheme="minorEastAsia"/>
                <w:snapToGrid w:val="0"/>
                <w:color w:val="auto"/>
                <w:kern w:val="21"/>
                <w:szCs w:val="21"/>
                <w:highlight w:val="none"/>
                <w:lang w:val="en-US" w:eastAsia="zh-CN"/>
              </w:rPr>
              <w:t>14.556</w:t>
            </w:r>
            <w:r>
              <w:rPr>
                <w:rFonts w:hint="eastAsia" w:ascii="Times New Roman" w:hAnsi="Times New Roman" w:cs="Times New Roman" w:eastAsiaTheme="minorEastAsia"/>
                <w:color w:val="auto"/>
                <w:sz w:val="21"/>
                <w:szCs w:val="21"/>
                <w:highlight w:val="none"/>
                <w:lang w:val="en-US" w:eastAsia="zh-CN"/>
              </w:rPr>
              <w:t>t/a</w:t>
            </w:r>
          </w:p>
        </w:tc>
        <w:tc>
          <w:tcPr>
            <w:tcW w:w="1276" w:type="dxa"/>
            <w:shd w:val="clear" w:color="auto" w:fill="auto"/>
            <w:vAlign w:val="center"/>
          </w:tcPr>
          <w:p w14:paraId="7641507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01" w:type="dxa"/>
            <w:shd w:val="clear" w:color="auto" w:fill="auto"/>
            <w:vAlign w:val="center"/>
          </w:tcPr>
          <w:p w14:paraId="5AFE588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559" w:type="dxa"/>
            <w:shd w:val="clear" w:color="auto" w:fill="auto"/>
            <w:vAlign w:val="center"/>
          </w:tcPr>
          <w:p w14:paraId="1EC3AB3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61" w:type="dxa"/>
            <w:vAlign w:val="center"/>
          </w:tcPr>
          <w:p w14:paraId="6AE7F43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910" w:type="dxa"/>
            <w:shd w:val="clear" w:color="auto" w:fill="auto"/>
            <w:vAlign w:val="center"/>
          </w:tcPr>
          <w:p w14:paraId="31D4995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snapToGrid w:val="0"/>
                <w:color w:val="auto"/>
                <w:kern w:val="21"/>
                <w:sz w:val="21"/>
                <w:szCs w:val="21"/>
                <w:highlight w:val="none"/>
                <w:lang w:val="en-US" w:eastAsia="zh-CN" w:bidi="ar-SA"/>
              </w:rPr>
            </w:pPr>
            <w:r>
              <w:rPr>
                <w:rFonts w:hint="eastAsia" w:eastAsiaTheme="minorEastAsia"/>
                <w:snapToGrid w:val="0"/>
                <w:color w:val="auto"/>
                <w:kern w:val="21"/>
                <w:szCs w:val="21"/>
                <w:highlight w:val="none"/>
                <w:lang w:val="en-US" w:eastAsia="zh-CN"/>
              </w:rPr>
              <w:t>14.556</w:t>
            </w:r>
            <w:r>
              <w:rPr>
                <w:rFonts w:hint="eastAsia" w:ascii="Times New Roman" w:hAnsi="Times New Roman" w:cs="Times New Roman" w:eastAsiaTheme="minorEastAsia"/>
                <w:color w:val="auto"/>
                <w:sz w:val="21"/>
                <w:szCs w:val="21"/>
                <w:highlight w:val="none"/>
                <w:lang w:val="en-US" w:eastAsia="zh-CN"/>
              </w:rPr>
              <w:t>t/a</w:t>
            </w:r>
          </w:p>
        </w:tc>
        <w:tc>
          <w:tcPr>
            <w:tcW w:w="979" w:type="dxa"/>
            <w:vAlign w:val="center"/>
          </w:tcPr>
          <w:p w14:paraId="2BD72F2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w:t>
            </w:r>
          </w:p>
        </w:tc>
      </w:tr>
      <w:tr w14:paraId="4989F9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continue"/>
            <w:vAlign w:val="center"/>
          </w:tcPr>
          <w:p w14:paraId="695F40E0">
            <w:pPr>
              <w:pStyle w:val="43"/>
              <w:spacing w:beforeLines="0" w:afterLines="0" w:line="240" w:lineRule="auto"/>
              <w:rPr>
                <w:rFonts w:ascii="Times New Roman" w:eastAsiaTheme="minorEastAsia"/>
                <w:snapToGrid w:val="0"/>
                <w:color w:val="auto"/>
                <w:kern w:val="21"/>
                <w:szCs w:val="21"/>
                <w:highlight w:val="none"/>
              </w:rPr>
            </w:pPr>
          </w:p>
        </w:tc>
        <w:tc>
          <w:tcPr>
            <w:tcW w:w="2080" w:type="dxa"/>
            <w:vAlign w:val="center"/>
          </w:tcPr>
          <w:p w14:paraId="4E54842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eastAsiaTheme="minorEastAsia"/>
                <w:snapToGrid w:val="0"/>
                <w:color w:val="auto"/>
                <w:kern w:val="21"/>
                <w:szCs w:val="21"/>
                <w:highlight w:val="none"/>
                <w:lang w:val="en-US" w:eastAsia="zh-CN"/>
              </w:rPr>
            </w:pPr>
            <w:r>
              <w:rPr>
                <w:rFonts w:hint="eastAsia" w:cs="Times New Roman" w:eastAsiaTheme="minorEastAsia"/>
                <w:color w:val="auto"/>
                <w:sz w:val="21"/>
                <w:szCs w:val="21"/>
                <w:highlight w:val="none"/>
                <w:lang w:val="en-US" w:eastAsia="zh-CN"/>
              </w:rPr>
              <w:t>汞及其化合物（以Hg计）</w:t>
            </w:r>
          </w:p>
        </w:tc>
        <w:tc>
          <w:tcPr>
            <w:tcW w:w="1574" w:type="dxa"/>
            <w:vAlign w:val="center"/>
          </w:tcPr>
          <w:p w14:paraId="7649B6B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eastAsiaTheme="minorEastAsia"/>
                <w:snapToGrid w:val="0"/>
                <w:color w:val="auto"/>
                <w:kern w:val="21"/>
                <w:szCs w:val="21"/>
                <w:highlight w:val="none"/>
                <w:lang w:val="en-US" w:eastAsia="zh-CN"/>
              </w:rPr>
            </w:pPr>
            <w:r>
              <w:rPr>
                <w:rFonts w:hint="eastAsia" w:eastAsiaTheme="minorEastAsia"/>
                <w:snapToGrid w:val="0"/>
                <w:color w:val="auto"/>
                <w:kern w:val="21"/>
                <w:szCs w:val="21"/>
                <w:highlight w:val="none"/>
                <w:lang w:val="en-US" w:eastAsia="zh-CN"/>
              </w:rPr>
              <w:t>48.221kg/a</w:t>
            </w:r>
          </w:p>
        </w:tc>
        <w:tc>
          <w:tcPr>
            <w:tcW w:w="1276" w:type="dxa"/>
            <w:shd w:val="clear" w:color="auto" w:fill="auto"/>
            <w:vAlign w:val="center"/>
          </w:tcPr>
          <w:p w14:paraId="0F719B3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01" w:type="dxa"/>
            <w:shd w:val="clear" w:color="auto" w:fill="auto"/>
            <w:vAlign w:val="center"/>
          </w:tcPr>
          <w:p w14:paraId="759EAEC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559" w:type="dxa"/>
            <w:shd w:val="clear" w:color="auto" w:fill="auto"/>
            <w:vAlign w:val="center"/>
          </w:tcPr>
          <w:p w14:paraId="723529C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61" w:type="dxa"/>
            <w:vAlign w:val="center"/>
          </w:tcPr>
          <w:p w14:paraId="3016C75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910" w:type="dxa"/>
            <w:shd w:val="clear" w:color="auto" w:fill="auto"/>
            <w:vAlign w:val="center"/>
          </w:tcPr>
          <w:p w14:paraId="0A51106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snapToGrid w:val="0"/>
                <w:color w:val="auto"/>
                <w:kern w:val="21"/>
                <w:sz w:val="21"/>
                <w:szCs w:val="21"/>
                <w:highlight w:val="none"/>
                <w:lang w:val="en-US" w:eastAsia="zh-CN" w:bidi="ar-SA"/>
              </w:rPr>
            </w:pPr>
            <w:r>
              <w:rPr>
                <w:rFonts w:hint="eastAsia" w:eastAsiaTheme="minorEastAsia"/>
                <w:snapToGrid w:val="0"/>
                <w:color w:val="auto"/>
                <w:kern w:val="21"/>
                <w:szCs w:val="21"/>
                <w:highlight w:val="none"/>
                <w:lang w:val="en-US" w:eastAsia="zh-CN"/>
              </w:rPr>
              <w:t>48.221kg/a</w:t>
            </w:r>
          </w:p>
        </w:tc>
        <w:tc>
          <w:tcPr>
            <w:tcW w:w="979" w:type="dxa"/>
            <w:vAlign w:val="center"/>
          </w:tcPr>
          <w:p w14:paraId="1025DD9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w:t>
            </w:r>
          </w:p>
        </w:tc>
      </w:tr>
      <w:tr w14:paraId="509DFC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continue"/>
            <w:vAlign w:val="center"/>
          </w:tcPr>
          <w:p w14:paraId="4702F9A9">
            <w:pPr>
              <w:pStyle w:val="43"/>
              <w:spacing w:beforeLines="0" w:afterLines="0" w:line="240" w:lineRule="auto"/>
              <w:rPr>
                <w:rFonts w:ascii="Times New Roman" w:eastAsiaTheme="minorEastAsia"/>
                <w:snapToGrid w:val="0"/>
                <w:color w:val="auto"/>
                <w:kern w:val="21"/>
                <w:szCs w:val="21"/>
                <w:highlight w:val="none"/>
              </w:rPr>
            </w:pPr>
          </w:p>
        </w:tc>
        <w:tc>
          <w:tcPr>
            <w:tcW w:w="2080" w:type="dxa"/>
            <w:vAlign w:val="center"/>
          </w:tcPr>
          <w:p w14:paraId="328C470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eastAsiaTheme="minorEastAsia"/>
                <w:snapToGrid w:val="0"/>
                <w:color w:val="auto"/>
                <w:kern w:val="21"/>
                <w:szCs w:val="21"/>
                <w:highlight w:val="none"/>
                <w:lang w:val="en-US" w:eastAsia="zh-CN"/>
              </w:rPr>
            </w:pPr>
            <w:r>
              <w:rPr>
                <w:rFonts w:hint="eastAsia" w:cs="Times New Roman" w:eastAsiaTheme="minorEastAsia"/>
                <w:color w:val="auto"/>
                <w:sz w:val="21"/>
                <w:szCs w:val="21"/>
                <w:highlight w:val="none"/>
                <w:lang w:val="en-US" w:eastAsia="zh-CN"/>
              </w:rPr>
              <w:t>铊、镉、铅、砷及其化合物（以Ti+Cd+Pb+As计）</w:t>
            </w:r>
          </w:p>
        </w:tc>
        <w:tc>
          <w:tcPr>
            <w:tcW w:w="1574" w:type="dxa"/>
            <w:vAlign w:val="center"/>
          </w:tcPr>
          <w:p w14:paraId="6690666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ascii="Times New Roman" w:eastAsiaTheme="minorEastAsia"/>
                <w:snapToGrid w:val="0"/>
                <w:color w:val="auto"/>
                <w:kern w:val="21"/>
                <w:szCs w:val="21"/>
                <w:highlight w:val="none"/>
              </w:rPr>
            </w:pPr>
            <w:r>
              <w:rPr>
                <w:rFonts w:hint="eastAsia" w:eastAsiaTheme="minorEastAsia"/>
                <w:snapToGrid w:val="0"/>
                <w:color w:val="auto"/>
                <w:kern w:val="21"/>
                <w:szCs w:val="21"/>
                <w:highlight w:val="none"/>
                <w:lang w:val="en-US" w:eastAsia="zh-CN"/>
              </w:rPr>
              <w:t>95.374kg/a</w:t>
            </w:r>
          </w:p>
        </w:tc>
        <w:tc>
          <w:tcPr>
            <w:tcW w:w="1276" w:type="dxa"/>
            <w:shd w:val="clear" w:color="auto" w:fill="auto"/>
            <w:vAlign w:val="center"/>
          </w:tcPr>
          <w:p w14:paraId="361620D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01" w:type="dxa"/>
            <w:shd w:val="clear" w:color="auto" w:fill="auto"/>
            <w:vAlign w:val="center"/>
          </w:tcPr>
          <w:p w14:paraId="627CD6E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559" w:type="dxa"/>
            <w:shd w:val="clear" w:color="auto" w:fill="auto"/>
            <w:vAlign w:val="center"/>
          </w:tcPr>
          <w:p w14:paraId="275DFBD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61" w:type="dxa"/>
            <w:vAlign w:val="center"/>
          </w:tcPr>
          <w:p w14:paraId="0DA6799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910" w:type="dxa"/>
            <w:shd w:val="clear" w:color="auto" w:fill="auto"/>
            <w:vAlign w:val="center"/>
          </w:tcPr>
          <w:p w14:paraId="40A74B4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snapToGrid w:val="0"/>
                <w:color w:val="auto"/>
                <w:kern w:val="21"/>
                <w:sz w:val="21"/>
                <w:szCs w:val="21"/>
                <w:highlight w:val="none"/>
                <w:lang w:val="en-US" w:eastAsia="zh-CN" w:bidi="ar-SA"/>
              </w:rPr>
            </w:pPr>
            <w:r>
              <w:rPr>
                <w:rFonts w:hint="eastAsia" w:eastAsiaTheme="minorEastAsia"/>
                <w:snapToGrid w:val="0"/>
                <w:color w:val="auto"/>
                <w:kern w:val="21"/>
                <w:szCs w:val="21"/>
                <w:highlight w:val="none"/>
                <w:lang w:val="en-US" w:eastAsia="zh-CN"/>
              </w:rPr>
              <w:t>95.374kg/a</w:t>
            </w:r>
          </w:p>
        </w:tc>
        <w:tc>
          <w:tcPr>
            <w:tcW w:w="979" w:type="dxa"/>
            <w:vAlign w:val="center"/>
          </w:tcPr>
          <w:p w14:paraId="7A16B37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w:t>
            </w:r>
          </w:p>
        </w:tc>
      </w:tr>
      <w:tr w14:paraId="27A34C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continue"/>
            <w:vAlign w:val="center"/>
          </w:tcPr>
          <w:p w14:paraId="30FD742A">
            <w:pPr>
              <w:pStyle w:val="43"/>
              <w:spacing w:beforeLines="0" w:afterLines="0" w:line="240" w:lineRule="auto"/>
              <w:rPr>
                <w:rFonts w:ascii="Times New Roman" w:eastAsiaTheme="minorEastAsia"/>
                <w:snapToGrid w:val="0"/>
                <w:color w:val="auto"/>
                <w:kern w:val="21"/>
                <w:szCs w:val="21"/>
                <w:highlight w:val="none"/>
              </w:rPr>
            </w:pPr>
          </w:p>
        </w:tc>
        <w:tc>
          <w:tcPr>
            <w:tcW w:w="2080" w:type="dxa"/>
            <w:vAlign w:val="center"/>
          </w:tcPr>
          <w:p w14:paraId="1836D0E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eastAsiaTheme="minorEastAsia"/>
                <w:snapToGrid w:val="0"/>
                <w:color w:val="auto"/>
                <w:kern w:val="21"/>
                <w:szCs w:val="21"/>
                <w:highlight w:val="none"/>
                <w:lang w:val="en-US" w:eastAsia="zh-CN"/>
              </w:rPr>
            </w:pPr>
            <w:r>
              <w:rPr>
                <w:rFonts w:hint="eastAsia" w:cs="Times New Roman" w:eastAsiaTheme="minorEastAsia"/>
                <w:color w:val="auto"/>
                <w:sz w:val="21"/>
                <w:szCs w:val="21"/>
                <w:highlight w:val="none"/>
                <w:lang w:val="en-US" w:eastAsia="zh-CN"/>
              </w:rPr>
              <w:t>铍、铬、锡、锑、铜、钴、锰、镍、钒及其化合物</w:t>
            </w:r>
          </w:p>
        </w:tc>
        <w:tc>
          <w:tcPr>
            <w:tcW w:w="1574" w:type="dxa"/>
            <w:vAlign w:val="center"/>
          </w:tcPr>
          <w:p w14:paraId="3790E16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eastAsiaTheme="minorEastAsia"/>
                <w:snapToGrid w:val="0"/>
                <w:color w:val="auto"/>
                <w:kern w:val="21"/>
                <w:szCs w:val="21"/>
                <w:highlight w:val="none"/>
                <w:lang w:val="en-US" w:eastAsia="zh-CN"/>
              </w:rPr>
            </w:pPr>
            <w:r>
              <w:rPr>
                <w:rFonts w:hint="eastAsia" w:eastAsiaTheme="minorEastAsia"/>
                <w:snapToGrid w:val="0"/>
                <w:color w:val="auto"/>
                <w:kern w:val="21"/>
                <w:szCs w:val="21"/>
                <w:highlight w:val="none"/>
                <w:lang w:val="en-US" w:eastAsia="zh-CN"/>
              </w:rPr>
              <w:t>523.622kg/a</w:t>
            </w:r>
          </w:p>
        </w:tc>
        <w:tc>
          <w:tcPr>
            <w:tcW w:w="1276" w:type="dxa"/>
            <w:shd w:val="clear" w:color="auto" w:fill="auto"/>
            <w:vAlign w:val="center"/>
          </w:tcPr>
          <w:p w14:paraId="18DF41E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01" w:type="dxa"/>
            <w:shd w:val="clear" w:color="auto" w:fill="auto"/>
            <w:vAlign w:val="center"/>
          </w:tcPr>
          <w:p w14:paraId="7BE5084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559" w:type="dxa"/>
            <w:shd w:val="clear" w:color="auto" w:fill="auto"/>
            <w:vAlign w:val="center"/>
          </w:tcPr>
          <w:p w14:paraId="1CD936C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61" w:type="dxa"/>
            <w:vAlign w:val="center"/>
          </w:tcPr>
          <w:p w14:paraId="5A10BB5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910" w:type="dxa"/>
            <w:shd w:val="clear" w:color="auto" w:fill="auto"/>
            <w:vAlign w:val="center"/>
          </w:tcPr>
          <w:p w14:paraId="125AF90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snapToGrid w:val="0"/>
                <w:color w:val="auto"/>
                <w:kern w:val="21"/>
                <w:sz w:val="21"/>
                <w:szCs w:val="21"/>
                <w:highlight w:val="none"/>
                <w:lang w:val="en-US" w:eastAsia="zh-CN" w:bidi="ar-SA"/>
              </w:rPr>
            </w:pPr>
            <w:r>
              <w:rPr>
                <w:rFonts w:hint="eastAsia" w:eastAsiaTheme="minorEastAsia"/>
                <w:snapToGrid w:val="0"/>
                <w:color w:val="auto"/>
                <w:kern w:val="21"/>
                <w:szCs w:val="21"/>
                <w:highlight w:val="none"/>
                <w:lang w:val="en-US" w:eastAsia="zh-CN"/>
              </w:rPr>
              <w:t>523.622kg/a</w:t>
            </w:r>
          </w:p>
        </w:tc>
        <w:tc>
          <w:tcPr>
            <w:tcW w:w="979" w:type="dxa"/>
            <w:vAlign w:val="center"/>
          </w:tcPr>
          <w:p w14:paraId="6B52B99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w:t>
            </w:r>
          </w:p>
        </w:tc>
      </w:tr>
      <w:tr w14:paraId="1F1CE3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continue"/>
            <w:vAlign w:val="center"/>
          </w:tcPr>
          <w:p w14:paraId="5CA8539C">
            <w:pPr>
              <w:pStyle w:val="43"/>
              <w:spacing w:beforeLines="0" w:afterLines="0" w:line="240" w:lineRule="auto"/>
              <w:rPr>
                <w:rFonts w:ascii="Times New Roman" w:eastAsiaTheme="minorEastAsia"/>
                <w:snapToGrid w:val="0"/>
                <w:color w:val="auto"/>
                <w:kern w:val="21"/>
                <w:szCs w:val="21"/>
                <w:highlight w:val="none"/>
              </w:rPr>
            </w:pPr>
          </w:p>
        </w:tc>
        <w:tc>
          <w:tcPr>
            <w:tcW w:w="2080" w:type="dxa"/>
            <w:vAlign w:val="center"/>
          </w:tcPr>
          <w:p w14:paraId="3A954691">
            <w:pPr>
              <w:pStyle w:val="32"/>
              <w:spacing w:before="21" w:line="205" w:lineRule="auto"/>
              <w:ind w:left="120" w:leftChars="0"/>
              <w:jc w:val="center"/>
              <w:rPr>
                <w:rFonts w:hint="eastAsia" w:ascii="Times New Roman" w:eastAsiaTheme="minorEastAsia"/>
                <w:snapToGrid w:val="0"/>
                <w:color w:val="auto"/>
                <w:kern w:val="21"/>
                <w:szCs w:val="21"/>
                <w:highlight w:val="none"/>
                <w:lang w:val="en-US" w:eastAsia="zh-CN"/>
              </w:rPr>
            </w:pPr>
            <w:r>
              <w:rPr>
                <w:color w:val="auto"/>
                <w:spacing w:val="-3"/>
                <w:highlight w:val="none"/>
              </w:rPr>
              <w:t>二噁英</w:t>
            </w:r>
          </w:p>
        </w:tc>
        <w:tc>
          <w:tcPr>
            <w:tcW w:w="1574" w:type="dxa"/>
            <w:vAlign w:val="center"/>
          </w:tcPr>
          <w:p w14:paraId="6440EEA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eastAsiaTheme="minorEastAsia"/>
                <w:snapToGrid w:val="0"/>
                <w:color w:val="auto"/>
                <w:kern w:val="21"/>
                <w:szCs w:val="21"/>
                <w:highlight w:val="none"/>
                <w:lang w:val="en-US" w:eastAsia="zh-CN"/>
              </w:rPr>
            </w:pPr>
            <w:r>
              <w:rPr>
                <w:rFonts w:hint="eastAsia" w:eastAsiaTheme="minorEastAsia"/>
                <w:snapToGrid w:val="0"/>
                <w:color w:val="auto"/>
                <w:kern w:val="21"/>
                <w:szCs w:val="21"/>
                <w:highlight w:val="none"/>
                <w:lang w:val="en-US" w:eastAsia="zh-CN"/>
              </w:rPr>
              <w:t>0.0668gTEQ/a</w:t>
            </w:r>
          </w:p>
        </w:tc>
        <w:tc>
          <w:tcPr>
            <w:tcW w:w="1276" w:type="dxa"/>
            <w:shd w:val="clear" w:color="auto" w:fill="auto"/>
            <w:vAlign w:val="center"/>
          </w:tcPr>
          <w:p w14:paraId="6DE2B60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01" w:type="dxa"/>
            <w:shd w:val="clear" w:color="auto" w:fill="auto"/>
            <w:vAlign w:val="center"/>
          </w:tcPr>
          <w:p w14:paraId="283D623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559" w:type="dxa"/>
            <w:vAlign w:val="center"/>
          </w:tcPr>
          <w:p w14:paraId="678F193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61" w:type="dxa"/>
            <w:vAlign w:val="center"/>
          </w:tcPr>
          <w:p w14:paraId="777AE44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910" w:type="dxa"/>
            <w:shd w:val="clear" w:color="auto" w:fill="auto"/>
            <w:vAlign w:val="center"/>
          </w:tcPr>
          <w:p w14:paraId="5427996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snapToGrid w:val="0"/>
                <w:color w:val="auto"/>
                <w:kern w:val="21"/>
                <w:sz w:val="21"/>
                <w:szCs w:val="21"/>
                <w:highlight w:val="none"/>
                <w:lang w:val="en-US" w:eastAsia="zh-CN" w:bidi="ar-SA"/>
              </w:rPr>
            </w:pPr>
            <w:r>
              <w:rPr>
                <w:rFonts w:hint="eastAsia" w:eastAsiaTheme="minorEastAsia"/>
                <w:snapToGrid w:val="0"/>
                <w:color w:val="auto"/>
                <w:kern w:val="21"/>
                <w:szCs w:val="21"/>
                <w:highlight w:val="none"/>
                <w:lang w:val="en-US" w:eastAsia="zh-CN"/>
              </w:rPr>
              <w:t>0.0668gTEQ/a</w:t>
            </w:r>
          </w:p>
        </w:tc>
        <w:tc>
          <w:tcPr>
            <w:tcW w:w="979" w:type="dxa"/>
            <w:vAlign w:val="center"/>
          </w:tcPr>
          <w:p w14:paraId="2C77790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w:t>
            </w:r>
          </w:p>
        </w:tc>
      </w:tr>
      <w:tr w14:paraId="1A2018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Align w:val="center"/>
          </w:tcPr>
          <w:p w14:paraId="5E2713B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废水</w:t>
            </w:r>
          </w:p>
        </w:tc>
        <w:tc>
          <w:tcPr>
            <w:tcW w:w="2080" w:type="dxa"/>
            <w:vAlign w:val="center"/>
          </w:tcPr>
          <w:p w14:paraId="46BF5D0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574" w:type="dxa"/>
            <w:vAlign w:val="center"/>
          </w:tcPr>
          <w:p w14:paraId="76231DE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276" w:type="dxa"/>
            <w:vAlign w:val="center"/>
          </w:tcPr>
          <w:p w14:paraId="3ECD30E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01" w:type="dxa"/>
            <w:shd w:val="clear" w:color="auto" w:fill="auto"/>
            <w:vAlign w:val="center"/>
          </w:tcPr>
          <w:p w14:paraId="3F034B4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559" w:type="dxa"/>
            <w:vAlign w:val="center"/>
          </w:tcPr>
          <w:p w14:paraId="417FFDD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61" w:type="dxa"/>
            <w:vAlign w:val="center"/>
          </w:tcPr>
          <w:p w14:paraId="09FFDEC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910" w:type="dxa"/>
            <w:vAlign w:val="center"/>
          </w:tcPr>
          <w:p w14:paraId="0470C1A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979" w:type="dxa"/>
            <w:vAlign w:val="center"/>
          </w:tcPr>
          <w:p w14:paraId="417FCD3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r>
      <w:tr w14:paraId="0DB09D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Align w:val="center"/>
          </w:tcPr>
          <w:p w14:paraId="3497328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固体废物</w:t>
            </w:r>
          </w:p>
        </w:tc>
        <w:tc>
          <w:tcPr>
            <w:tcW w:w="2080" w:type="dxa"/>
            <w:vAlign w:val="center"/>
          </w:tcPr>
          <w:p w14:paraId="0942772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生活垃圾</w:t>
            </w:r>
          </w:p>
        </w:tc>
        <w:tc>
          <w:tcPr>
            <w:tcW w:w="1574" w:type="dxa"/>
            <w:vAlign w:val="center"/>
          </w:tcPr>
          <w:p w14:paraId="4EE41E3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128.5t/a</w:t>
            </w:r>
          </w:p>
        </w:tc>
        <w:tc>
          <w:tcPr>
            <w:tcW w:w="1276" w:type="dxa"/>
            <w:vAlign w:val="center"/>
          </w:tcPr>
          <w:p w14:paraId="0967C22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01" w:type="dxa"/>
            <w:shd w:val="clear" w:color="auto" w:fill="auto"/>
            <w:vAlign w:val="center"/>
          </w:tcPr>
          <w:p w14:paraId="6538008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559" w:type="dxa"/>
            <w:vAlign w:val="center"/>
          </w:tcPr>
          <w:p w14:paraId="6718FEA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761" w:type="dxa"/>
            <w:vAlign w:val="center"/>
          </w:tcPr>
          <w:p w14:paraId="56BE954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c>
          <w:tcPr>
            <w:tcW w:w="1910" w:type="dxa"/>
            <w:vAlign w:val="center"/>
          </w:tcPr>
          <w:p w14:paraId="7526344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128.5t/a</w:t>
            </w:r>
          </w:p>
        </w:tc>
        <w:tc>
          <w:tcPr>
            <w:tcW w:w="979" w:type="dxa"/>
            <w:vAlign w:val="center"/>
          </w:tcPr>
          <w:p w14:paraId="6BDF47F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w:t>
            </w:r>
          </w:p>
        </w:tc>
      </w:tr>
      <w:tr w14:paraId="4F7A02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restart"/>
            <w:vAlign w:val="center"/>
          </w:tcPr>
          <w:p w14:paraId="7C417E3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一般工业</w:t>
            </w:r>
          </w:p>
          <w:p w14:paraId="6A56CE4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固体废物</w:t>
            </w:r>
          </w:p>
        </w:tc>
        <w:tc>
          <w:tcPr>
            <w:tcW w:w="2080" w:type="dxa"/>
            <w:vAlign w:val="center"/>
          </w:tcPr>
          <w:p w14:paraId="79627E8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废包装袋</w:t>
            </w:r>
          </w:p>
        </w:tc>
        <w:tc>
          <w:tcPr>
            <w:tcW w:w="1574" w:type="dxa"/>
            <w:vAlign w:val="center"/>
          </w:tcPr>
          <w:p w14:paraId="117676C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4.0</w:t>
            </w:r>
            <w:r>
              <w:rPr>
                <w:rFonts w:hint="eastAsia" w:ascii="Times New Roman" w:hAnsi="Times New Roman" w:cs="Times New Roman" w:eastAsiaTheme="minorEastAsia"/>
                <w:b w:val="0"/>
                <w:bCs w:val="0"/>
                <w:color w:val="auto"/>
                <w:sz w:val="21"/>
                <w:szCs w:val="21"/>
                <w:highlight w:val="none"/>
                <w:lang w:val="en-US" w:eastAsia="zh-CN"/>
              </w:rPr>
              <w:t>t/a</w:t>
            </w:r>
          </w:p>
        </w:tc>
        <w:tc>
          <w:tcPr>
            <w:tcW w:w="1276" w:type="dxa"/>
            <w:vAlign w:val="center"/>
          </w:tcPr>
          <w:p w14:paraId="1CCFF31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w:t>
            </w:r>
          </w:p>
        </w:tc>
        <w:tc>
          <w:tcPr>
            <w:tcW w:w="1701" w:type="dxa"/>
            <w:shd w:val="clear" w:color="auto" w:fill="auto"/>
            <w:vAlign w:val="center"/>
          </w:tcPr>
          <w:p w14:paraId="1AB2280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w:t>
            </w:r>
          </w:p>
        </w:tc>
        <w:tc>
          <w:tcPr>
            <w:tcW w:w="1559" w:type="dxa"/>
            <w:vAlign w:val="center"/>
          </w:tcPr>
          <w:p w14:paraId="3853116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5.0</w:t>
            </w:r>
          </w:p>
        </w:tc>
        <w:tc>
          <w:tcPr>
            <w:tcW w:w="1761" w:type="dxa"/>
            <w:vAlign w:val="center"/>
          </w:tcPr>
          <w:p w14:paraId="44C3744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w:t>
            </w:r>
          </w:p>
        </w:tc>
        <w:tc>
          <w:tcPr>
            <w:tcW w:w="1910" w:type="dxa"/>
            <w:vAlign w:val="center"/>
          </w:tcPr>
          <w:p w14:paraId="5898181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9.0</w:t>
            </w:r>
            <w:r>
              <w:rPr>
                <w:rFonts w:hint="eastAsia" w:ascii="Times New Roman" w:hAnsi="Times New Roman" w:cs="Times New Roman" w:eastAsiaTheme="minorEastAsia"/>
                <w:b w:val="0"/>
                <w:bCs w:val="0"/>
                <w:color w:val="auto"/>
                <w:sz w:val="21"/>
                <w:szCs w:val="21"/>
                <w:highlight w:val="none"/>
                <w:lang w:val="en-US" w:eastAsia="zh-CN"/>
              </w:rPr>
              <w:t>t/a</w:t>
            </w:r>
          </w:p>
        </w:tc>
        <w:tc>
          <w:tcPr>
            <w:tcW w:w="979" w:type="dxa"/>
            <w:vAlign w:val="center"/>
          </w:tcPr>
          <w:p w14:paraId="1928ACB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w:t>
            </w:r>
            <w:r>
              <w:rPr>
                <w:rFonts w:hint="eastAsia" w:cs="Times New Roman" w:eastAsiaTheme="minorEastAsia"/>
                <w:b w:val="0"/>
                <w:bCs w:val="0"/>
                <w:color w:val="auto"/>
                <w:sz w:val="21"/>
                <w:szCs w:val="21"/>
                <w:highlight w:val="none"/>
                <w:lang w:val="en-US" w:eastAsia="zh-CN"/>
              </w:rPr>
              <w:t>5.0</w:t>
            </w:r>
            <w:r>
              <w:rPr>
                <w:rFonts w:hint="eastAsia" w:ascii="Times New Roman" w:hAnsi="Times New Roman" w:cs="Times New Roman" w:eastAsiaTheme="minorEastAsia"/>
                <w:b w:val="0"/>
                <w:bCs w:val="0"/>
                <w:color w:val="auto"/>
                <w:sz w:val="21"/>
                <w:szCs w:val="21"/>
                <w:highlight w:val="none"/>
                <w:lang w:val="en-US" w:eastAsia="zh-CN"/>
              </w:rPr>
              <w:t>t/a</w:t>
            </w:r>
          </w:p>
        </w:tc>
      </w:tr>
      <w:tr w14:paraId="3B11A0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continue"/>
            <w:vAlign w:val="center"/>
          </w:tcPr>
          <w:p w14:paraId="1B4FB47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2080" w:type="dxa"/>
            <w:vAlign w:val="center"/>
          </w:tcPr>
          <w:p w14:paraId="7BACC0D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废布袋</w:t>
            </w:r>
          </w:p>
        </w:tc>
        <w:tc>
          <w:tcPr>
            <w:tcW w:w="1574" w:type="dxa"/>
            <w:vAlign w:val="center"/>
          </w:tcPr>
          <w:p w14:paraId="4753FCB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w:t>
            </w:r>
          </w:p>
        </w:tc>
        <w:tc>
          <w:tcPr>
            <w:tcW w:w="1276" w:type="dxa"/>
            <w:shd w:val="clear" w:color="auto" w:fill="auto"/>
            <w:vAlign w:val="center"/>
          </w:tcPr>
          <w:p w14:paraId="16FC316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w:t>
            </w:r>
          </w:p>
        </w:tc>
        <w:tc>
          <w:tcPr>
            <w:tcW w:w="1701" w:type="dxa"/>
            <w:shd w:val="clear" w:color="auto" w:fill="auto"/>
            <w:vAlign w:val="center"/>
          </w:tcPr>
          <w:p w14:paraId="3FDCFB7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w:t>
            </w:r>
          </w:p>
        </w:tc>
        <w:tc>
          <w:tcPr>
            <w:tcW w:w="1559" w:type="dxa"/>
            <w:shd w:val="clear" w:color="auto" w:fill="auto"/>
            <w:vAlign w:val="center"/>
          </w:tcPr>
          <w:p w14:paraId="5CF30C6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0.5</w:t>
            </w:r>
          </w:p>
        </w:tc>
        <w:tc>
          <w:tcPr>
            <w:tcW w:w="1761" w:type="dxa"/>
            <w:shd w:val="clear" w:color="auto" w:fill="auto"/>
            <w:vAlign w:val="center"/>
          </w:tcPr>
          <w:p w14:paraId="5F13A3A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w:t>
            </w:r>
          </w:p>
        </w:tc>
        <w:tc>
          <w:tcPr>
            <w:tcW w:w="1910" w:type="dxa"/>
            <w:vAlign w:val="center"/>
          </w:tcPr>
          <w:p w14:paraId="5C44B62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0.5</w:t>
            </w:r>
          </w:p>
        </w:tc>
        <w:tc>
          <w:tcPr>
            <w:tcW w:w="979" w:type="dxa"/>
            <w:vAlign w:val="center"/>
          </w:tcPr>
          <w:p w14:paraId="2972027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+0.5</w:t>
            </w:r>
          </w:p>
        </w:tc>
      </w:tr>
      <w:tr w14:paraId="75F1E1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continue"/>
            <w:vAlign w:val="center"/>
          </w:tcPr>
          <w:p w14:paraId="6589505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2080" w:type="dxa"/>
            <w:vAlign w:val="center"/>
          </w:tcPr>
          <w:p w14:paraId="510233F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废塑料膜</w:t>
            </w:r>
          </w:p>
        </w:tc>
        <w:tc>
          <w:tcPr>
            <w:tcW w:w="1574" w:type="dxa"/>
            <w:vAlign w:val="center"/>
          </w:tcPr>
          <w:p w14:paraId="30163FD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w:t>
            </w:r>
          </w:p>
        </w:tc>
        <w:tc>
          <w:tcPr>
            <w:tcW w:w="1276" w:type="dxa"/>
            <w:shd w:val="clear" w:color="auto" w:fill="auto"/>
            <w:vAlign w:val="center"/>
          </w:tcPr>
          <w:p w14:paraId="09935AA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w:t>
            </w:r>
          </w:p>
        </w:tc>
        <w:tc>
          <w:tcPr>
            <w:tcW w:w="1701" w:type="dxa"/>
            <w:shd w:val="clear" w:color="auto" w:fill="auto"/>
            <w:vAlign w:val="center"/>
          </w:tcPr>
          <w:p w14:paraId="23CB1F3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w:t>
            </w:r>
          </w:p>
        </w:tc>
        <w:tc>
          <w:tcPr>
            <w:tcW w:w="1559" w:type="dxa"/>
            <w:shd w:val="clear" w:color="auto" w:fill="auto"/>
            <w:vAlign w:val="center"/>
          </w:tcPr>
          <w:p w14:paraId="3F77E69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0.8</w:t>
            </w:r>
          </w:p>
        </w:tc>
        <w:tc>
          <w:tcPr>
            <w:tcW w:w="1761" w:type="dxa"/>
            <w:shd w:val="clear" w:color="auto" w:fill="auto"/>
            <w:vAlign w:val="center"/>
          </w:tcPr>
          <w:p w14:paraId="0A2A683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w:t>
            </w:r>
          </w:p>
        </w:tc>
        <w:tc>
          <w:tcPr>
            <w:tcW w:w="1910" w:type="dxa"/>
            <w:vAlign w:val="center"/>
          </w:tcPr>
          <w:p w14:paraId="71D2DE6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0.8</w:t>
            </w:r>
          </w:p>
        </w:tc>
        <w:tc>
          <w:tcPr>
            <w:tcW w:w="979" w:type="dxa"/>
            <w:vAlign w:val="center"/>
          </w:tcPr>
          <w:p w14:paraId="43A0733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+0.8</w:t>
            </w:r>
          </w:p>
        </w:tc>
      </w:tr>
      <w:tr w14:paraId="39973F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continue"/>
            <w:vAlign w:val="center"/>
          </w:tcPr>
          <w:p w14:paraId="04D5AF1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2080" w:type="dxa"/>
            <w:vAlign w:val="center"/>
          </w:tcPr>
          <w:p w14:paraId="3B9555D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污水处理站污泥</w:t>
            </w:r>
          </w:p>
        </w:tc>
        <w:tc>
          <w:tcPr>
            <w:tcW w:w="1574" w:type="dxa"/>
            <w:vAlign w:val="center"/>
          </w:tcPr>
          <w:p w14:paraId="1CFBD00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3.0t/a</w:t>
            </w:r>
          </w:p>
        </w:tc>
        <w:tc>
          <w:tcPr>
            <w:tcW w:w="1276" w:type="dxa"/>
            <w:shd w:val="clear" w:color="auto" w:fill="auto"/>
            <w:vAlign w:val="center"/>
          </w:tcPr>
          <w:p w14:paraId="59A3F89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w:t>
            </w:r>
          </w:p>
        </w:tc>
        <w:tc>
          <w:tcPr>
            <w:tcW w:w="1701" w:type="dxa"/>
            <w:shd w:val="clear" w:color="auto" w:fill="auto"/>
            <w:vAlign w:val="center"/>
          </w:tcPr>
          <w:p w14:paraId="0E036F9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w:t>
            </w:r>
          </w:p>
        </w:tc>
        <w:tc>
          <w:tcPr>
            <w:tcW w:w="1559" w:type="dxa"/>
            <w:shd w:val="clear" w:color="auto" w:fill="auto"/>
            <w:vAlign w:val="center"/>
          </w:tcPr>
          <w:p w14:paraId="6B0C838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w:t>
            </w:r>
          </w:p>
        </w:tc>
        <w:tc>
          <w:tcPr>
            <w:tcW w:w="1761" w:type="dxa"/>
            <w:shd w:val="clear" w:color="auto" w:fill="auto"/>
            <w:vAlign w:val="center"/>
          </w:tcPr>
          <w:p w14:paraId="6D09BF4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w:t>
            </w:r>
          </w:p>
        </w:tc>
        <w:tc>
          <w:tcPr>
            <w:tcW w:w="1910" w:type="dxa"/>
            <w:vAlign w:val="center"/>
          </w:tcPr>
          <w:p w14:paraId="079D045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3.0t/a</w:t>
            </w:r>
          </w:p>
        </w:tc>
        <w:tc>
          <w:tcPr>
            <w:tcW w:w="979" w:type="dxa"/>
            <w:vAlign w:val="center"/>
          </w:tcPr>
          <w:p w14:paraId="124E207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0</w:t>
            </w:r>
          </w:p>
        </w:tc>
      </w:tr>
      <w:tr w14:paraId="70A93E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restart"/>
            <w:vAlign w:val="center"/>
          </w:tcPr>
          <w:p w14:paraId="0A798FF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危险废物</w:t>
            </w:r>
          </w:p>
        </w:tc>
        <w:tc>
          <w:tcPr>
            <w:tcW w:w="2080" w:type="dxa"/>
            <w:vAlign w:val="center"/>
          </w:tcPr>
          <w:p w14:paraId="3DF03B3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废包装及废活性炭</w:t>
            </w:r>
          </w:p>
        </w:tc>
        <w:tc>
          <w:tcPr>
            <w:tcW w:w="1574" w:type="dxa"/>
            <w:vAlign w:val="center"/>
          </w:tcPr>
          <w:p w14:paraId="08DBEF7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11.5t/a</w:t>
            </w:r>
          </w:p>
        </w:tc>
        <w:tc>
          <w:tcPr>
            <w:tcW w:w="1276" w:type="dxa"/>
            <w:vAlign w:val="center"/>
          </w:tcPr>
          <w:p w14:paraId="2BF9BAE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w:t>
            </w:r>
          </w:p>
        </w:tc>
        <w:tc>
          <w:tcPr>
            <w:tcW w:w="1701" w:type="dxa"/>
            <w:shd w:val="clear" w:color="auto" w:fill="auto"/>
            <w:vAlign w:val="center"/>
          </w:tcPr>
          <w:p w14:paraId="2EB0B43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w:t>
            </w:r>
          </w:p>
        </w:tc>
        <w:tc>
          <w:tcPr>
            <w:tcW w:w="1559" w:type="dxa"/>
            <w:vAlign w:val="center"/>
          </w:tcPr>
          <w:p w14:paraId="67416D5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w:t>
            </w:r>
          </w:p>
        </w:tc>
        <w:tc>
          <w:tcPr>
            <w:tcW w:w="1761" w:type="dxa"/>
            <w:vAlign w:val="center"/>
          </w:tcPr>
          <w:p w14:paraId="68BEB99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w:t>
            </w:r>
          </w:p>
        </w:tc>
        <w:tc>
          <w:tcPr>
            <w:tcW w:w="1910" w:type="dxa"/>
            <w:vAlign w:val="center"/>
          </w:tcPr>
          <w:p w14:paraId="0732010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11.5t/a</w:t>
            </w:r>
          </w:p>
        </w:tc>
        <w:tc>
          <w:tcPr>
            <w:tcW w:w="979" w:type="dxa"/>
            <w:vAlign w:val="center"/>
          </w:tcPr>
          <w:p w14:paraId="6301EB6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0</w:t>
            </w:r>
          </w:p>
        </w:tc>
      </w:tr>
      <w:tr w14:paraId="7E4584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continue"/>
            <w:vAlign w:val="center"/>
          </w:tcPr>
          <w:p w14:paraId="428B157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2080" w:type="dxa"/>
            <w:vAlign w:val="center"/>
          </w:tcPr>
          <w:p w14:paraId="19866AB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废矿物油与含矿物油废物</w:t>
            </w:r>
          </w:p>
        </w:tc>
        <w:tc>
          <w:tcPr>
            <w:tcW w:w="1574" w:type="dxa"/>
            <w:vAlign w:val="center"/>
          </w:tcPr>
          <w:p w14:paraId="3656F7AB">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3.2</w:t>
            </w:r>
            <w:r>
              <w:rPr>
                <w:rFonts w:hint="eastAsia" w:cs="Times New Roman" w:eastAsiaTheme="minorEastAsia"/>
                <w:b w:val="0"/>
                <w:bCs w:val="0"/>
                <w:color w:val="auto"/>
                <w:sz w:val="21"/>
                <w:szCs w:val="21"/>
                <w:highlight w:val="none"/>
                <w:lang w:val="en-US" w:eastAsia="zh-CN"/>
              </w:rPr>
              <w:t>9</w:t>
            </w:r>
            <w:r>
              <w:rPr>
                <w:rFonts w:hint="eastAsia" w:ascii="Times New Roman" w:hAnsi="Times New Roman" w:cs="Times New Roman" w:eastAsiaTheme="minorEastAsia"/>
                <w:b w:val="0"/>
                <w:bCs w:val="0"/>
                <w:color w:val="auto"/>
                <w:sz w:val="21"/>
                <w:szCs w:val="21"/>
                <w:highlight w:val="none"/>
                <w:lang w:val="en-US" w:eastAsia="zh-CN"/>
              </w:rPr>
              <w:t>t/a</w:t>
            </w:r>
          </w:p>
        </w:tc>
        <w:tc>
          <w:tcPr>
            <w:tcW w:w="1276" w:type="dxa"/>
            <w:vAlign w:val="center"/>
          </w:tcPr>
          <w:p w14:paraId="519BB07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w:t>
            </w:r>
          </w:p>
        </w:tc>
        <w:tc>
          <w:tcPr>
            <w:tcW w:w="1701" w:type="dxa"/>
            <w:shd w:val="clear" w:color="auto" w:fill="auto"/>
            <w:vAlign w:val="center"/>
          </w:tcPr>
          <w:p w14:paraId="7DCC54F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w:t>
            </w:r>
          </w:p>
        </w:tc>
        <w:tc>
          <w:tcPr>
            <w:tcW w:w="1559" w:type="dxa"/>
            <w:vAlign w:val="center"/>
          </w:tcPr>
          <w:p w14:paraId="6D2517B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0.1/a</w:t>
            </w:r>
          </w:p>
        </w:tc>
        <w:tc>
          <w:tcPr>
            <w:tcW w:w="1761" w:type="dxa"/>
            <w:vAlign w:val="center"/>
          </w:tcPr>
          <w:p w14:paraId="0143813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w:t>
            </w:r>
          </w:p>
        </w:tc>
        <w:tc>
          <w:tcPr>
            <w:tcW w:w="1910" w:type="dxa"/>
            <w:vAlign w:val="center"/>
          </w:tcPr>
          <w:p w14:paraId="7A9ADD7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3.30t/a</w:t>
            </w:r>
          </w:p>
        </w:tc>
        <w:tc>
          <w:tcPr>
            <w:tcW w:w="979" w:type="dxa"/>
            <w:vAlign w:val="center"/>
          </w:tcPr>
          <w:p w14:paraId="5DA38CE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+0.1t/a</w:t>
            </w:r>
          </w:p>
        </w:tc>
      </w:tr>
      <w:tr w14:paraId="0CCFC7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continue"/>
            <w:vAlign w:val="center"/>
          </w:tcPr>
          <w:p w14:paraId="087693C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2080" w:type="dxa"/>
            <w:vAlign w:val="center"/>
          </w:tcPr>
          <w:p w14:paraId="2A8F708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含油抹布、手套</w:t>
            </w:r>
          </w:p>
        </w:tc>
        <w:tc>
          <w:tcPr>
            <w:tcW w:w="1574" w:type="dxa"/>
            <w:vAlign w:val="center"/>
          </w:tcPr>
          <w:p w14:paraId="5DDFF07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3.5</w:t>
            </w:r>
            <w:r>
              <w:rPr>
                <w:rFonts w:hint="eastAsia" w:ascii="Times New Roman" w:hAnsi="Times New Roman" w:cs="Times New Roman" w:eastAsiaTheme="minorEastAsia"/>
                <w:b w:val="0"/>
                <w:bCs w:val="0"/>
                <w:color w:val="auto"/>
                <w:sz w:val="21"/>
                <w:szCs w:val="21"/>
                <w:highlight w:val="none"/>
                <w:lang w:val="en-US" w:eastAsia="zh-CN"/>
              </w:rPr>
              <w:t>t/a</w:t>
            </w:r>
          </w:p>
        </w:tc>
        <w:tc>
          <w:tcPr>
            <w:tcW w:w="1276" w:type="dxa"/>
            <w:vAlign w:val="center"/>
          </w:tcPr>
          <w:p w14:paraId="76E4CCD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p>
        </w:tc>
        <w:tc>
          <w:tcPr>
            <w:tcW w:w="1701" w:type="dxa"/>
            <w:shd w:val="clear" w:color="auto" w:fill="auto"/>
            <w:vAlign w:val="center"/>
          </w:tcPr>
          <w:p w14:paraId="20A1BFF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p>
        </w:tc>
        <w:tc>
          <w:tcPr>
            <w:tcW w:w="1559" w:type="dxa"/>
            <w:vAlign w:val="center"/>
          </w:tcPr>
          <w:p w14:paraId="367BAF1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0.3</w:t>
            </w:r>
            <w:r>
              <w:rPr>
                <w:rFonts w:hint="eastAsia" w:ascii="Times New Roman" w:hAnsi="Times New Roman" w:cs="Times New Roman" w:eastAsiaTheme="minorEastAsia"/>
                <w:b w:val="0"/>
                <w:bCs w:val="0"/>
                <w:color w:val="auto"/>
                <w:sz w:val="21"/>
                <w:szCs w:val="21"/>
                <w:highlight w:val="none"/>
                <w:lang w:val="en-US" w:eastAsia="zh-CN"/>
              </w:rPr>
              <w:t>t/a</w:t>
            </w:r>
          </w:p>
        </w:tc>
        <w:tc>
          <w:tcPr>
            <w:tcW w:w="1761" w:type="dxa"/>
            <w:vAlign w:val="center"/>
          </w:tcPr>
          <w:p w14:paraId="0591E84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p>
        </w:tc>
        <w:tc>
          <w:tcPr>
            <w:tcW w:w="1910" w:type="dxa"/>
            <w:vAlign w:val="center"/>
          </w:tcPr>
          <w:p w14:paraId="52DF347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3.8</w:t>
            </w:r>
            <w:r>
              <w:rPr>
                <w:rFonts w:hint="eastAsia" w:ascii="Times New Roman" w:hAnsi="Times New Roman" w:cs="Times New Roman" w:eastAsiaTheme="minorEastAsia"/>
                <w:b w:val="0"/>
                <w:bCs w:val="0"/>
                <w:color w:val="auto"/>
                <w:sz w:val="21"/>
                <w:szCs w:val="21"/>
                <w:highlight w:val="none"/>
                <w:lang w:val="en-US" w:eastAsia="zh-CN"/>
              </w:rPr>
              <w:t>t/a</w:t>
            </w:r>
          </w:p>
        </w:tc>
        <w:tc>
          <w:tcPr>
            <w:tcW w:w="979" w:type="dxa"/>
            <w:vAlign w:val="center"/>
          </w:tcPr>
          <w:p w14:paraId="15E83C0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+0.3</w:t>
            </w:r>
            <w:r>
              <w:rPr>
                <w:rFonts w:hint="eastAsia" w:ascii="Times New Roman" w:hAnsi="Times New Roman" w:cs="Times New Roman" w:eastAsiaTheme="minorEastAsia"/>
                <w:b w:val="0"/>
                <w:bCs w:val="0"/>
                <w:color w:val="auto"/>
                <w:sz w:val="21"/>
                <w:szCs w:val="21"/>
                <w:highlight w:val="none"/>
                <w:lang w:val="en-US" w:eastAsia="zh-CN"/>
              </w:rPr>
              <w:t>t/a</w:t>
            </w:r>
          </w:p>
        </w:tc>
      </w:tr>
      <w:tr w14:paraId="6AE22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continue"/>
            <w:vAlign w:val="center"/>
          </w:tcPr>
          <w:p w14:paraId="12C2E5E3">
            <w:pPr>
              <w:pStyle w:val="43"/>
              <w:spacing w:beforeLines="0" w:afterLines="0" w:line="240" w:lineRule="auto"/>
              <w:rPr>
                <w:rFonts w:ascii="Times New Roman" w:eastAsiaTheme="minorEastAsia"/>
                <w:snapToGrid w:val="0"/>
                <w:color w:val="auto"/>
                <w:kern w:val="21"/>
                <w:szCs w:val="21"/>
                <w:highlight w:val="none"/>
              </w:rPr>
            </w:pPr>
          </w:p>
        </w:tc>
        <w:tc>
          <w:tcPr>
            <w:tcW w:w="2080" w:type="dxa"/>
            <w:vAlign w:val="center"/>
          </w:tcPr>
          <w:p w14:paraId="6244A14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废油桶</w:t>
            </w:r>
          </w:p>
        </w:tc>
        <w:tc>
          <w:tcPr>
            <w:tcW w:w="1574" w:type="dxa"/>
            <w:vAlign w:val="center"/>
          </w:tcPr>
          <w:p w14:paraId="35390B1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0.1t/a</w:t>
            </w:r>
          </w:p>
        </w:tc>
        <w:tc>
          <w:tcPr>
            <w:tcW w:w="1276" w:type="dxa"/>
            <w:vAlign w:val="center"/>
          </w:tcPr>
          <w:p w14:paraId="592C6BF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w:t>
            </w:r>
          </w:p>
        </w:tc>
        <w:tc>
          <w:tcPr>
            <w:tcW w:w="1701" w:type="dxa"/>
            <w:shd w:val="clear" w:color="auto" w:fill="auto"/>
            <w:vAlign w:val="center"/>
          </w:tcPr>
          <w:p w14:paraId="4426F84D">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w:t>
            </w:r>
          </w:p>
        </w:tc>
        <w:tc>
          <w:tcPr>
            <w:tcW w:w="1559" w:type="dxa"/>
            <w:vAlign w:val="center"/>
          </w:tcPr>
          <w:p w14:paraId="48AAA1F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w:t>
            </w:r>
          </w:p>
        </w:tc>
        <w:tc>
          <w:tcPr>
            <w:tcW w:w="1761" w:type="dxa"/>
            <w:vAlign w:val="center"/>
          </w:tcPr>
          <w:p w14:paraId="5C3281F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w:t>
            </w:r>
          </w:p>
        </w:tc>
        <w:tc>
          <w:tcPr>
            <w:tcW w:w="1910" w:type="dxa"/>
            <w:vAlign w:val="center"/>
          </w:tcPr>
          <w:p w14:paraId="0C5DDF9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0.1t/a</w:t>
            </w:r>
          </w:p>
        </w:tc>
        <w:tc>
          <w:tcPr>
            <w:tcW w:w="979" w:type="dxa"/>
            <w:vAlign w:val="center"/>
          </w:tcPr>
          <w:p w14:paraId="3605AD0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0</w:t>
            </w:r>
          </w:p>
        </w:tc>
      </w:tr>
    </w:tbl>
    <w:p w14:paraId="4B4BFFBE">
      <w:pPr>
        <w:pStyle w:val="43"/>
        <w:spacing w:before="192" w:beforeLines="80" w:after="24"/>
        <w:jc w:val="left"/>
        <w:rPr>
          <w:rFonts w:hAnsi="宋体"/>
          <w:snapToGrid w:val="0"/>
          <w:color w:val="auto"/>
          <w:spacing w:val="-6"/>
          <w:kern w:val="21"/>
          <w:szCs w:val="21"/>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fldLock="1"/>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fldLock="1"/>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fldLock="1"/>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fldLock="1"/>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fldLock="1"/>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fldLock="1"/>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fldLock="1"/>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fldLock="1"/>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p w14:paraId="0F8B1342">
      <w:pPr>
        <w:rPr>
          <w:rFonts w:hint="eastAsia"/>
          <w:color w:val="auto"/>
          <w:highlight w:val="none"/>
          <w:lang w:val="en-US" w:eastAsia="zh-CN"/>
        </w:rPr>
      </w:pPr>
    </w:p>
    <w:sectPr>
      <w:footerReference r:id="rId5" w:type="default"/>
      <w:pgSz w:w="16838" w:h="11906" w:orient="landscape"/>
      <w:pgMar w:top="1180" w:right="1440" w:bottom="1266"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auto"/>
    <w:pitch w:val="default"/>
    <w:sig w:usb0="E00006FF" w:usb1="420024FF" w:usb2="02000000" w:usb3="00000000" w:csb0="2000019F" w:csb1="00000000"/>
  </w:font>
  <w:font w:name="方正小标宋_GBK">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MS Mincho">
    <w:altName w:val="Yu Gothic UI"/>
    <w:panose1 w:val="02020609040205080304"/>
    <w:charset w:val="80"/>
    <w:family w:val="auto"/>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AEBE8">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8EA9A">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51" name="文本框 8"/>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10479FD1">
                          <w:pPr>
                            <w:pStyle w:val="1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8"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l1uVLQAAAABQEAAA8AAAAAAAAAAQAgAAAAIgAAAGRycy9kb3ducmV2&#10;LnhtbFBLAQIUABQAAAAIAIdO4kCG+gUwBAIAAAwEAAAOAAAAAAAAAAEAIAAAAB8BAABkcnMvZTJv&#10;RG9jLnhtbFBLBQYAAAAABgAGAFkBAACVBQAAAAA=&#10;">
              <v:fill on="f" focussize="0,0"/>
              <v:stroke on="f"/>
              <v:imagedata o:title=""/>
              <o:lock v:ext="edit" aspectratio="f"/>
              <v:textbox inset="0mm,0mm,0mm,0mm" style="mso-fit-shape-to-text:t;">
                <w:txbxContent>
                  <w:p w14:paraId="10479FD1">
                    <w:pPr>
                      <w:pStyle w:val="11"/>
                    </w:pPr>
                    <w:r>
                      <w:fldChar w:fldCharType="begin"/>
                    </w:r>
                    <w:r>
                      <w:instrText xml:space="preserve"> PAGE  \* MERGEFORMAT </w:instrText>
                    </w:r>
                    <w:r>
                      <w:fldChar w:fldCharType="separate"/>
                    </w:r>
                    <w:r>
                      <w:t>3</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CBC0E">
    <w:pPr>
      <w:pStyle w:val="11"/>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66" name="文本框 9"/>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6C9ECD42">
                          <w:pPr>
                            <w:pStyle w:val="11"/>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9"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l1uVLQAAAABQEAAA8AAAAAAAAAAQAgAAAAIgAAAGRycy9kb3ducmV2&#10;LnhtbFBLAQIUABQAAAAIAIdO4kBzw0WiBAIAAAwEAAAOAAAAAAAAAAEAIAAAAB8BAABkcnMvZTJv&#10;RG9jLnhtbFBLBQYAAAAABgAGAFkBAACVBQAAAAA=&#10;">
              <v:fill on="f" focussize="0,0"/>
              <v:stroke on="f"/>
              <v:imagedata o:title=""/>
              <o:lock v:ext="edit" aspectratio="f"/>
              <v:textbox inset="0mm,0mm,0mm,0mm" style="mso-fit-shape-to-text:t;">
                <w:txbxContent>
                  <w:p w14:paraId="6C9ECD42">
                    <w:pPr>
                      <w:pStyle w:val="11"/>
                    </w:pPr>
                    <w:r>
                      <w:fldChar w:fldCharType="begin"/>
                    </w:r>
                    <w:r>
                      <w:instrText xml:space="preserve"> PAGE  \* MERGEFORMAT </w:instrText>
                    </w:r>
                    <w:r>
                      <w:fldChar w:fldCharType="separate"/>
                    </w:r>
                    <w:r>
                      <w:t>70</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928A9"/>
    <w:multiLevelType w:val="singleLevel"/>
    <w:tmpl w:val="867928A9"/>
    <w:lvl w:ilvl="0" w:tentative="0">
      <w:start w:val="2"/>
      <w:numFmt w:val="decimal"/>
      <w:suff w:val="nothing"/>
      <w:lvlText w:val="（%1）"/>
      <w:lvlJc w:val="left"/>
      <w:pPr>
        <w:ind w:left="-60"/>
      </w:pPr>
    </w:lvl>
  </w:abstractNum>
  <w:abstractNum w:abstractNumId="1">
    <w:nsid w:val="92049FFF"/>
    <w:multiLevelType w:val="singleLevel"/>
    <w:tmpl w:val="92049FFF"/>
    <w:lvl w:ilvl="0" w:tentative="0">
      <w:start w:val="2"/>
      <w:numFmt w:val="decimal"/>
      <w:suff w:val="nothing"/>
      <w:lvlText w:val="%1、"/>
      <w:lvlJc w:val="left"/>
    </w:lvl>
  </w:abstractNum>
  <w:abstractNum w:abstractNumId="2">
    <w:nsid w:val="D96CDC2E"/>
    <w:multiLevelType w:val="singleLevel"/>
    <w:tmpl w:val="D96CDC2E"/>
    <w:lvl w:ilvl="0" w:tentative="0">
      <w:start w:val="3"/>
      <w:numFmt w:val="chineseCounting"/>
      <w:suff w:val="space"/>
      <w:lvlText w:val="第%1章"/>
      <w:lvlJc w:val="left"/>
      <w:rPr>
        <w:rFonts w:hint="eastAsia"/>
      </w:rPr>
    </w:lvl>
  </w:abstractNum>
  <w:abstractNum w:abstractNumId="3">
    <w:nsid w:val="11192620"/>
    <w:multiLevelType w:val="singleLevel"/>
    <w:tmpl w:val="11192620"/>
    <w:lvl w:ilvl="0" w:tentative="0">
      <w:start w:val="1"/>
      <w:numFmt w:val="decimal"/>
      <w:suff w:val="nothing"/>
      <w:lvlText w:val="（%1）"/>
      <w:lvlJc w:val="left"/>
    </w:lvl>
  </w:abstractNum>
  <w:abstractNum w:abstractNumId="4">
    <w:nsid w:val="28EDE9B2"/>
    <w:multiLevelType w:val="singleLevel"/>
    <w:tmpl w:val="28EDE9B2"/>
    <w:lvl w:ilvl="0" w:tentative="0">
      <w:start w:val="4"/>
      <w:numFmt w:val="chineseCounting"/>
      <w:suff w:val="space"/>
      <w:lvlText w:val="第%1节"/>
      <w:lvlJc w:val="left"/>
      <w:rPr>
        <w:rFonts w:hint="eastAsia"/>
      </w:rPr>
    </w:lvl>
  </w:abstractNum>
  <w:abstractNum w:abstractNumId="5">
    <w:nsid w:val="3C47D6C8"/>
    <w:multiLevelType w:val="singleLevel"/>
    <w:tmpl w:val="3C47D6C8"/>
    <w:lvl w:ilvl="0" w:tentative="0">
      <w:start w:val="1"/>
      <w:numFmt w:val="decimal"/>
      <w:suff w:val="nothing"/>
      <w:lvlText w:val="（%1）"/>
      <w:lvlJc w:val="left"/>
    </w:lvl>
  </w:abstractNum>
  <w:abstractNum w:abstractNumId="6">
    <w:nsid w:val="3DEDF6D6"/>
    <w:multiLevelType w:val="singleLevel"/>
    <w:tmpl w:val="3DEDF6D6"/>
    <w:lvl w:ilvl="0" w:tentative="0">
      <w:start w:val="1"/>
      <w:numFmt w:val="decimal"/>
      <w:suff w:val="nothing"/>
      <w:lvlText w:val="（%1）"/>
      <w:lvlJc w:val="left"/>
    </w:lvl>
  </w:abstractNum>
  <w:abstractNum w:abstractNumId="7">
    <w:nsid w:val="6C87E838"/>
    <w:multiLevelType w:val="singleLevel"/>
    <w:tmpl w:val="6C87E838"/>
    <w:lvl w:ilvl="0" w:tentative="0">
      <w:start w:val="4"/>
      <w:numFmt w:val="decimal"/>
      <w:suff w:val="nothing"/>
      <w:lvlText w:val="（%1）"/>
      <w:lvlJc w:val="left"/>
    </w:lvl>
  </w:abstractNum>
  <w:num w:numId="1">
    <w:abstractNumId w:val="6"/>
  </w:num>
  <w:num w:numId="2">
    <w:abstractNumId w:val="2"/>
  </w:num>
  <w:num w:numId="3">
    <w:abstractNumId w:val="4"/>
  </w:num>
  <w:num w:numId="4">
    <w:abstractNumId w:val="7"/>
  </w:num>
  <w:num w:numId="5">
    <w:abstractNumId w:val="0"/>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NotTrackMove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791344"/>
    <w:rsid w:val="20FD531A"/>
    <w:rsid w:val="264C50F9"/>
    <w:rsid w:val="4543610C"/>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unhideWhenUsed/>
    <w:qFormat/>
    <w:uiPriority w:val="0"/>
    <w:pPr>
      <w:keepNext/>
      <w:keepLines/>
      <w:spacing w:before="260" w:after="260" w:line="416" w:lineRule="auto"/>
      <w:outlineLvl w:val="1"/>
    </w:pPr>
    <w:rPr>
      <w:rFonts w:ascii="Cambria" w:hAnsi="Cambria"/>
      <w:b/>
      <w:bCs/>
      <w:sz w:val="32"/>
      <w:szCs w:val="32"/>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pPr>
  </w:style>
  <w:style w:type="paragraph" w:styleId="3">
    <w:name w:val="Body Text Indent"/>
    <w:basedOn w:val="1"/>
    <w:next w:val="4"/>
    <w:qFormat/>
    <w:uiPriority w:val="0"/>
    <w:pPr>
      <w:spacing w:after="120"/>
      <w:ind w:left="420" w:leftChars="200"/>
    </w:p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firstLineChars="200"/>
    </w:pPr>
    <w:rPr>
      <w:szCs w:val="20"/>
    </w:rPr>
  </w:style>
  <w:style w:type="paragraph" w:styleId="7">
    <w:name w:val="Body Text"/>
    <w:basedOn w:val="1"/>
    <w:next w:val="8"/>
    <w:qFormat/>
    <w:uiPriority w:val="0"/>
    <w:pPr>
      <w:widowControl/>
      <w:snapToGrid w:val="0"/>
      <w:spacing w:before="60" w:after="160" w:line="259" w:lineRule="auto"/>
      <w:ind w:right="113"/>
    </w:pPr>
    <w:rPr>
      <w:kern w:val="0"/>
      <w:sz w:val="18"/>
      <w:szCs w:val="20"/>
    </w:rPr>
  </w:style>
  <w:style w:type="paragraph" w:styleId="8">
    <w:name w:val="Body Text First Indent"/>
    <w:basedOn w:val="7"/>
    <w:qFormat/>
    <w:uiPriority w:val="0"/>
    <w:pPr>
      <w:spacing w:after="120"/>
      <w:ind w:firstLine="420" w:firstLineChars="100"/>
    </w:pPr>
    <w:rPr>
      <w:sz w:val="32"/>
    </w:rPr>
  </w:style>
  <w:style w:type="paragraph" w:styleId="9">
    <w:name w:val="Block Text"/>
    <w:basedOn w:val="1"/>
    <w:qFormat/>
    <w:uiPriority w:val="0"/>
    <w:pPr>
      <w:spacing w:beforeLines="50" w:line="600" w:lineRule="exact"/>
      <w:ind w:left="42" w:leftChars="20" w:right="42" w:rightChars="20" w:firstLine="560"/>
    </w:pPr>
    <w:rPr>
      <w:rFonts w:ascii="宋体"/>
      <w:sz w:val="28"/>
    </w:rPr>
  </w:style>
  <w:style w:type="paragraph" w:styleId="10">
    <w:name w:val="Plain Text"/>
    <w:basedOn w:val="1"/>
    <w:next w:val="1"/>
    <w:qFormat/>
    <w:uiPriority w:val="0"/>
    <w:rPr>
      <w:rFonts w:ascii="宋体" w:hAnsi="Courier New" w:cs="Courier New"/>
      <w:szCs w:val="21"/>
    </w:rPr>
  </w:style>
  <w:style w:type="paragraph" w:styleId="11">
    <w:name w:val="footer"/>
    <w:basedOn w:val="1"/>
    <w:qFormat/>
    <w:uiPriority w:val="99"/>
    <w:pPr>
      <w:tabs>
        <w:tab w:val="center" w:pos="4153"/>
        <w:tab w:val="right" w:pos="8306"/>
      </w:tabs>
      <w:snapToGrid w:val="0"/>
      <w:jc w:val="left"/>
    </w:pPr>
    <w:rPr>
      <w:kern w:val="0"/>
      <w:sz w:val="18"/>
      <w:szCs w:val="20"/>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List"/>
    <w:basedOn w:val="1"/>
    <w:qFormat/>
    <w:uiPriority w:val="0"/>
    <w:pPr>
      <w:adjustRightInd w:val="0"/>
      <w:spacing w:line="460" w:lineRule="exact"/>
      <w:ind w:left="1276" w:hanging="425"/>
      <w:textAlignment w:val="baseline"/>
    </w:pPr>
    <w:rPr>
      <w:kern w:val="0"/>
      <w:sz w:val="24"/>
      <w:szCs w:val="20"/>
    </w:rPr>
  </w:style>
  <w:style w:type="paragraph" w:styleId="15">
    <w:name w:val="table of figures"/>
    <w:basedOn w:val="1"/>
    <w:next w:val="1"/>
    <w:qFormat/>
    <w:uiPriority w:val="0"/>
    <w:pPr>
      <w:ind w:left="200" w:leftChars="200" w:hanging="200" w:hangingChars="200"/>
    </w:pPr>
  </w:style>
  <w:style w:type="paragraph" w:styleId="16">
    <w:name w:val="Body Text 2"/>
    <w:basedOn w:val="1"/>
    <w:semiHidden/>
    <w:qFormat/>
    <w:uiPriority w:val="0"/>
    <w:pPr>
      <w:spacing w:line="360" w:lineRule="auto"/>
      <w:jc w:val="left"/>
    </w:pPr>
    <w:rPr>
      <w:sz w:val="24"/>
    </w:rPr>
  </w:style>
  <w:style w:type="paragraph" w:styleId="17">
    <w:name w:val="Normal (Web)"/>
    <w:basedOn w:val="1"/>
    <w:next w:val="1"/>
    <w:qFormat/>
    <w:uiPriority w:val="99"/>
    <w:pPr>
      <w:widowControl/>
      <w:spacing w:before="100" w:beforeAutospacing="1" w:after="100" w:afterAutospacing="1"/>
      <w:jc w:val="left"/>
    </w:pPr>
    <w:rPr>
      <w:rFonts w:ascii="宋体" w:hAnsi="宋体"/>
      <w:kern w:val="0"/>
      <w:sz w:val="24"/>
      <w:szCs w:val="20"/>
    </w:rPr>
  </w:style>
  <w:style w:type="paragraph" w:styleId="18">
    <w:name w:val="Title"/>
    <w:basedOn w:val="1"/>
    <w:next w:val="1"/>
    <w:qFormat/>
    <w:uiPriority w:val="0"/>
    <w:pPr>
      <w:jc w:val="center"/>
    </w:pPr>
    <w:rPr>
      <w:bCs/>
      <w:kern w:val="0"/>
      <w:sz w:val="20"/>
      <w:szCs w:val="32"/>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paragraph" w:customStyle="1" w:styleId="23">
    <w:name w:val="Comment Text"/>
    <w:basedOn w:val="1"/>
    <w:semiHidden/>
    <w:qFormat/>
    <w:uiPriority w:val="0"/>
    <w:pPr>
      <w:jc w:val="left"/>
    </w:pPr>
    <w:rPr>
      <w:kern w:val="0"/>
      <w:sz w:val="24"/>
      <w:szCs w:val="20"/>
    </w:rPr>
  </w:style>
  <w:style w:type="paragraph" w:customStyle="1" w:styleId="24">
    <w:name w:val="表格文字"/>
    <w:basedOn w:val="10"/>
    <w:next w:val="1"/>
    <w:autoRedefine/>
    <w:qFormat/>
    <w:uiPriority w:val="0"/>
    <w:pPr>
      <w:spacing w:before="10" w:beforeLines="10" w:after="10" w:afterLines="10" w:line="0" w:lineRule="atLeast"/>
      <w:jc w:val="center"/>
    </w:pPr>
    <w:rPr>
      <w:rFonts w:ascii="Times New Roman" w:hAnsi="Times New Roman" w:eastAsia="宋体" w:cs="Times New Roman"/>
      <w:kern w:val="2"/>
      <w:sz w:val="18"/>
      <w:szCs w:val="21"/>
      <w:lang w:val="en-US" w:eastAsia="zh-CN" w:bidi="ar-SA"/>
    </w:rPr>
  </w:style>
  <w:style w:type="paragraph" w:customStyle="1" w:styleId="25">
    <w:name w:val="Default"/>
    <w:basedOn w:val="26"/>
    <w:next w:val="2"/>
    <w:autoRedefine/>
    <w:qFormat/>
    <w:uiPriority w:val="0"/>
    <w:pPr>
      <w:autoSpaceDE w:val="0"/>
      <w:autoSpaceDN w:val="0"/>
    </w:pPr>
    <w:rPr>
      <w:rFonts w:ascii="宋体"/>
      <w:color w:val="000000"/>
      <w:sz w:val="24"/>
    </w:rPr>
  </w:style>
  <w:style w:type="paragraph" w:customStyle="1" w:styleId="26">
    <w:name w:val="批注文字1"/>
    <w:autoRedefine/>
    <w:qFormat/>
    <w:uiPriority w:val="0"/>
    <w:pPr>
      <w:widowControl w:val="0"/>
    </w:pPr>
    <w:rPr>
      <w:rFonts w:ascii="Calibri" w:hAnsi="Calibri" w:eastAsia="宋体" w:cs="Times New Roman"/>
      <w:color w:val="000000"/>
      <w:kern w:val="2"/>
      <w:sz w:val="21"/>
      <w:szCs w:val="24"/>
      <w:lang w:val="en-US" w:eastAsia="zh-CN" w:bidi="ar-SA"/>
    </w:rPr>
  </w:style>
  <w:style w:type="paragraph" w:customStyle="1" w:styleId="27">
    <w:name w:val="Table Paragraph"/>
    <w:basedOn w:val="1"/>
    <w:autoRedefine/>
    <w:qFormat/>
    <w:uiPriority w:val="1"/>
    <w:rPr>
      <w:rFonts w:ascii="宋体" w:hAnsi="宋体" w:cs="宋体"/>
      <w:lang w:val="zh-CN" w:bidi="zh-CN"/>
    </w:rPr>
  </w:style>
  <w:style w:type="paragraph" w:styleId="28">
    <w:name w:val="No Spacing"/>
    <w:autoRedefine/>
    <w:unhideWhenUsed/>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0">
    <w:name w:val="font11"/>
    <w:basedOn w:val="21"/>
    <w:qFormat/>
    <w:uiPriority w:val="0"/>
    <w:rPr>
      <w:rFonts w:hint="eastAsia" w:ascii="宋体" w:hAnsi="宋体" w:eastAsia="宋体" w:cs="宋体"/>
      <w:color w:val="000000"/>
      <w:sz w:val="21"/>
      <w:szCs w:val="21"/>
      <w:u w:val="none"/>
      <w:vertAlign w:val="superscript"/>
    </w:rPr>
  </w:style>
  <w:style w:type="paragraph" w:customStyle="1" w:styleId="31">
    <w:name w:val="【正文】"/>
    <w:basedOn w:val="1"/>
    <w:qFormat/>
    <w:uiPriority w:val="0"/>
    <w:pPr>
      <w:spacing w:line="440" w:lineRule="exact"/>
      <w:ind w:firstLine="544" w:firstLineChars="200"/>
    </w:pPr>
    <w:rPr>
      <w:szCs w:val="20"/>
    </w:rPr>
  </w:style>
  <w:style w:type="paragraph" w:customStyle="1" w:styleId="32">
    <w:name w:val="Table Text"/>
    <w:basedOn w:val="1"/>
    <w:semiHidden/>
    <w:qFormat/>
    <w:uiPriority w:val="0"/>
    <w:rPr>
      <w:rFonts w:ascii="宋体" w:hAnsi="宋体" w:eastAsia="宋体" w:cs="宋体"/>
      <w:sz w:val="21"/>
      <w:szCs w:val="21"/>
      <w:lang w:val="en-US" w:eastAsia="en-US" w:bidi="ar-SA"/>
    </w:rPr>
  </w:style>
  <w:style w:type="paragraph" w:customStyle="1" w:styleId="33">
    <w:name w:val="XQ报告表正文"/>
    <w:basedOn w:val="1"/>
    <w:autoRedefine/>
    <w:qFormat/>
    <w:uiPriority w:val="0"/>
    <w:pPr>
      <w:adjustRightInd w:val="0"/>
      <w:snapToGrid w:val="0"/>
      <w:ind w:firstLine="200" w:firstLineChars="200"/>
    </w:pPr>
    <w:rPr>
      <w:rFonts w:hAnsi="宋体"/>
      <w:bCs/>
      <w:kern w:val="0"/>
      <w:szCs w:val="22"/>
      <w:lang w:val="zh-CN"/>
    </w:rPr>
  </w:style>
  <w:style w:type="paragraph" w:customStyle="1" w:styleId="34">
    <w:name w:val="0正文"/>
    <w:basedOn w:val="1"/>
    <w:autoRedefine/>
    <w:qFormat/>
    <w:uiPriority w:val="0"/>
    <w:pPr>
      <w:wordWrap w:val="0"/>
      <w:spacing w:line="360" w:lineRule="auto"/>
      <w:ind w:firstLine="200" w:firstLineChars="200"/>
      <w:jc w:val="left"/>
    </w:pPr>
    <w:rPr>
      <w:sz w:val="24"/>
      <w:szCs w:val="22"/>
    </w:rPr>
  </w:style>
  <w:style w:type="paragraph" w:customStyle="1" w:styleId="35">
    <w:name w:val="4正文"/>
    <w:basedOn w:val="1"/>
    <w:autoRedefine/>
    <w:qFormat/>
    <w:uiPriority w:val="0"/>
    <w:pPr>
      <w:spacing w:line="360" w:lineRule="auto"/>
      <w:ind w:firstLine="200" w:firstLineChars="200"/>
      <w:jc w:val="left"/>
    </w:pPr>
    <w:rPr>
      <w:kern w:val="0"/>
      <w:sz w:val="24"/>
    </w:rPr>
  </w:style>
  <w:style w:type="paragraph" w:customStyle="1" w:styleId="36">
    <w:name w:val="惠泽正文"/>
    <w:basedOn w:val="1"/>
    <w:autoRedefine/>
    <w:qFormat/>
    <w:uiPriority w:val="0"/>
    <w:pPr>
      <w:spacing w:line="480" w:lineRule="exact"/>
      <w:ind w:firstLine="480" w:firstLineChars="200"/>
    </w:pPr>
    <w:rPr>
      <w:rFonts w:hAnsi="宋体" w:cs="宋体"/>
      <w:sz w:val="24"/>
      <w:szCs w:val="20"/>
    </w:rPr>
  </w:style>
  <w:style w:type="paragraph" w:customStyle="1" w:styleId="37">
    <w:name w:val="lv表头"/>
    <w:basedOn w:val="38"/>
    <w:next w:val="31"/>
    <w:qFormat/>
    <w:uiPriority w:val="0"/>
    <w:pPr>
      <w:autoSpaceDE w:val="0"/>
      <w:autoSpaceDN w:val="0"/>
      <w:adjustRightInd/>
      <w:snapToGrid/>
      <w:spacing w:line="360" w:lineRule="auto"/>
    </w:pPr>
    <w:rPr>
      <w:rFonts w:hint="eastAsia" w:ascii="Times New Roman" w:hAnsi="Times New Roman" w:eastAsia="黑体" w:cs="Times New Roman"/>
      <w:bCs/>
      <w:color w:val="auto"/>
      <w:kern w:val="0"/>
      <w:sz w:val="24"/>
      <w:szCs w:val="21"/>
    </w:rPr>
  </w:style>
  <w:style w:type="paragraph" w:customStyle="1" w:styleId="38">
    <w:name w:val="表"/>
    <w:basedOn w:val="18"/>
    <w:qFormat/>
    <w:uiPriority w:val="99"/>
    <w:pPr>
      <w:snapToGrid/>
      <w:spacing w:beforeLines="0" w:line="300" w:lineRule="exact"/>
      <w:ind w:firstLine="0" w:firstLineChars="0"/>
      <w:outlineLvl w:val="0"/>
    </w:pPr>
    <w:rPr>
      <w:bCs w:val="0"/>
      <w:szCs w:val="32"/>
    </w:rPr>
  </w:style>
  <w:style w:type="paragraph" w:customStyle="1" w:styleId="39">
    <w:name w:val="简单回函地址"/>
    <w:basedOn w:val="1"/>
    <w:autoRedefine/>
    <w:qFormat/>
    <w:uiPriority w:val="0"/>
    <w:pPr>
      <w:adjustRightInd w:val="0"/>
      <w:spacing w:line="312" w:lineRule="atLeast"/>
      <w:textAlignment w:val="baseline"/>
    </w:pPr>
    <w:rPr>
      <w:rFonts w:ascii="Calibri" w:hAnsi="Calibri"/>
      <w:kern w:val="0"/>
      <w:szCs w:val="20"/>
    </w:rPr>
  </w:style>
  <w:style w:type="paragraph" w:customStyle="1" w:styleId="40">
    <w:name w:val="正文修改"/>
    <w:basedOn w:val="1"/>
    <w:autoRedefine/>
    <w:qFormat/>
    <w:uiPriority w:val="0"/>
    <w:pPr>
      <w:spacing w:line="360" w:lineRule="auto"/>
      <w:ind w:firstLine="480" w:firstLineChars="200"/>
    </w:pPr>
    <w:rPr>
      <w:rFonts w:cs="宋体"/>
      <w:kern w:val="0"/>
      <w:sz w:val="24"/>
    </w:rPr>
  </w:style>
  <w:style w:type="paragraph" w:customStyle="1" w:styleId="41">
    <w:name w:val="我的正文"/>
    <w:basedOn w:val="1"/>
    <w:autoRedefine/>
    <w:qFormat/>
    <w:uiPriority w:val="0"/>
    <w:pPr>
      <w:ind w:firstLine="560" w:firstLineChars="200"/>
    </w:pPr>
    <w:rPr>
      <w:rFonts w:hint="eastAsia" w:ascii="宋体" w:hAnsi="宋体"/>
      <w:sz w:val="28"/>
      <w:szCs w:val="20"/>
    </w:rPr>
  </w:style>
  <w:style w:type="paragraph" w:customStyle="1" w:styleId="42">
    <w:name w:val="lh-表格文字-报告表"/>
    <w:autoRedefine/>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43">
    <w:name w:val="表格"/>
    <w:basedOn w:val="14"/>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44">
    <w:name w:val="*正文"/>
    <w:basedOn w:val="1"/>
    <w:autoRedefine/>
    <w:qFormat/>
    <w:uiPriority w:val="0"/>
    <w:pPr>
      <w:adjustRightInd w:val="0"/>
      <w:spacing w:line="360" w:lineRule="auto"/>
      <w:ind w:firstLine="200" w:firstLineChars="200"/>
    </w:pPr>
    <w:rPr>
      <w:kern w:val="0"/>
      <w:sz w:val="24"/>
      <w:szCs w:val="20"/>
    </w:rPr>
  </w:style>
  <w:style w:type="table" w:customStyle="1" w:styleId="45">
    <w:name w:val="Table Normal"/>
    <w:semiHidden/>
    <w:unhideWhenUsed/>
    <w:qFormat/>
    <w:uiPriority w:val="0"/>
    <w:tblPr>
      <w:tblCellMar>
        <w:top w:w="0" w:type="dxa"/>
        <w:left w:w="0" w:type="dxa"/>
        <w:bottom w:w="0" w:type="dxa"/>
        <w:right w:w="0" w:type="dxa"/>
      </w:tblCellMar>
    </w:tblPr>
  </w:style>
  <w:style w:type="character" w:customStyle="1" w:styleId="46">
    <w:name w:val="font41"/>
    <w:basedOn w:val="21"/>
    <w:qFormat/>
    <w:uiPriority w:val="0"/>
    <w:rPr>
      <w:rFonts w:hint="default" w:ascii="Times New Roman" w:hAnsi="Times New Roman" w:cs="Times New Roman"/>
      <w:b/>
      <w:bCs/>
      <w:color w:val="000000"/>
      <w:sz w:val="20"/>
      <w:szCs w:val="20"/>
      <w:u w:val="none"/>
    </w:rPr>
  </w:style>
  <w:style w:type="character" w:customStyle="1" w:styleId="47">
    <w:name w:val="font31"/>
    <w:basedOn w:val="21"/>
    <w:qFormat/>
    <w:uiPriority w:val="0"/>
    <w:rPr>
      <w:rFonts w:hint="eastAsia" w:ascii="宋体" w:hAnsi="宋体" w:eastAsia="宋体" w:cs="宋体"/>
      <w:color w:val="000000"/>
      <w:sz w:val="20"/>
      <w:szCs w:val="20"/>
      <w:u w:val="none"/>
    </w:rPr>
  </w:style>
  <w:style w:type="character" w:customStyle="1" w:styleId="48">
    <w:name w:val="font21"/>
    <w:basedOn w:val="21"/>
    <w:qFormat/>
    <w:uiPriority w:val="0"/>
    <w:rPr>
      <w:rFonts w:hint="default" w:ascii="Times New Roman" w:hAnsi="Times New Roman" w:cs="Times New Roman"/>
      <w:color w:val="000000"/>
      <w:sz w:val="20"/>
      <w:szCs w:val="20"/>
      <w:u w:val="none"/>
    </w:rPr>
  </w:style>
  <w:style w:type="paragraph" w:customStyle="1" w:styleId="49">
    <w:name w:val="【表中文字】"/>
    <w:basedOn w:val="1"/>
    <w:next w:val="50"/>
    <w:autoRedefine/>
    <w:qFormat/>
    <w:uiPriority w:val="0"/>
    <w:pPr>
      <w:jc w:val="center"/>
    </w:pPr>
    <w:rPr>
      <w:szCs w:val="20"/>
    </w:rPr>
  </w:style>
  <w:style w:type="paragraph" w:customStyle="1" w:styleId="50">
    <w:name w:val="正文缩进11"/>
    <w:basedOn w:val="1"/>
    <w:next w:val="1"/>
    <w:autoRedefine/>
    <w:qFormat/>
    <w:uiPriority w:val="0"/>
    <w:pPr>
      <w:ind w:firstLine="420"/>
    </w:pPr>
    <w:rPr>
      <w:rFonts w:ascii="宋体"/>
      <w:sz w:val="28"/>
    </w:rPr>
  </w:style>
  <w:style w:type="paragraph" w:customStyle="1" w:styleId="51">
    <w:name w:val="表内字"/>
    <w:autoRedefine/>
    <w:qFormat/>
    <w:uiPriority w:val="0"/>
    <w:pPr>
      <w:widowControl w:val="0"/>
      <w:autoSpaceDE w:val="0"/>
      <w:autoSpaceDN w:val="0"/>
      <w:adjustRightInd w:val="0"/>
      <w:snapToGrid w:val="0"/>
      <w:jc w:val="center"/>
    </w:pPr>
    <w:rPr>
      <w:rFonts w:ascii="Times New Roman" w:hAnsi="Times New Roman" w:eastAsia="Times New Roman" w:cs="Times New Roman"/>
      <w:sz w:val="21"/>
      <w:szCs w:val="21"/>
      <w:lang w:val="en-US" w:eastAsia="zh-CN" w:bidi="ar-SA"/>
    </w:rPr>
  </w:style>
  <w:style w:type="paragraph" w:customStyle="1" w:styleId="52">
    <w:name w:val="表头"/>
    <w:basedOn w:val="7"/>
    <w:autoRedefine/>
    <w:qFormat/>
    <w:uiPriority w:val="0"/>
    <w:pPr>
      <w:jc w:val="center"/>
    </w:pPr>
    <w:rPr>
      <w:rFonts w:ascii="Times New Roman" w:hAnsi="Times New Roman" w:eastAsia="宋体" w:cs="宋体"/>
      <w:b/>
      <w:bCs/>
      <w:kern w:val="0"/>
      <w:sz w:val="24"/>
      <w:szCs w:val="22"/>
      <w:lang w:val="zh-CN" w:bidi="zh-CN"/>
    </w:rPr>
  </w:style>
  <w:style w:type="character" w:customStyle="1" w:styleId="53">
    <w:name w:val="Body text (2)_"/>
    <w:link w:val="54"/>
    <w:autoRedefine/>
    <w:qFormat/>
    <w:uiPriority w:val="0"/>
    <w:rPr>
      <w:rFonts w:ascii="Times New Roman" w:hAnsi="Times New Roman" w:eastAsia="Times New Roman" w:cs="Times New Roman"/>
      <w:kern w:val="0"/>
      <w:sz w:val="26"/>
      <w:szCs w:val="26"/>
    </w:rPr>
  </w:style>
  <w:style w:type="paragraph" w:customStyle="1" w:styleId="54">
    <w:name w:val="Body text (2)"/>
    <w:basedOn w:val="1"/>
    <w:link w:val="53"/>
    <w:autoRedefine/>
    <w:qFormat/>
    <w:uiPriority w:val="0"/>
    <w:pPr>
      <w:shd w:val="clear" w:color="auto" w:fill="FFFFFF"/>
      <w:spacing w:line="503" w:lineRule="exact"/>
      <w:jc w:val="distribute"/>
    </w:pPr>
    <w:rPr>
      <w:rFonts w:ascii="Times New Roman" w:hAnsi="Times New Roman" w:eastAsia="Times New Roman" w:cs="Times New Roman"/>
      <w:kern w:val="0"/>
      <w:sz w:val="26"/>
      <w:szCs w:val="26"/>
    </w:rPr>
  </w:style>
  <w:style w:type="character" w:customStyle="1" w:styleId="55">
    <w:name w:val="font51"/>
    <w:basedOn w:val="21"/>
    <w:qFormat/>
    <w:uiPriority w:val="0"/>
    <w:rPr>
      <w:rFonts w:hint="default" w:ascii="Times New Roman" w:hAnsi="Times New Roman" w:cs="Times New Roman"/>
      <w:b/>
      <w:bCs/>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8" Type="http://schemas.openxmlformats.org/officeDocument/2006/relationships/fontTable" Target="fontTable.xml"/><Relationship Id="rId47" Type="http://schemas.openxmlformats.org/officeDocument/2006/relationships/customXml" Target="../customXml/item7.xml"/><Relationship Id="rId46" Type="http://schemas.openxmlformats.org/officeDocument/2006/relationships/customXml" Target="../customXml/item6.xml"/><Relationship Id="rId45" Type="http://schemas.openxmlformats.org/officeDocument/2006/relationships/customXml" Target="../customXml/item5.xml"/><Relationship Id="rId44" Type="http://schemas.openxmlformats.org/officeDocument/2006/relationships/customXml" Target="../customXml/item4.xml"/><Relationship Id="rId43" Type="http://schemas.openxmlformats.org/officeDocument/2006/relationships/customXml" Target="../customXml/item3.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png"/><Relationship Id="rId32" Type="http://schemas.openxmlformats.org/officeDocument/2006/relationships/image" Target="media/image17.wmf"/><Relationship Id="rId31" Type="http://schemas.openxmlformats.org/officeDocument/2006/relationships/oleObject" Target="embeddings/oleObject9.bin"/><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oleObject" Target="embeddings/oleObject8.bin"/><Relationship Id="rId28" Type="http://schemas.openxmlformats.org/officeDocument/2006/relationships/image" Target="media/image15.wmf"/><Relationship Id="rId27" Type="http://schemas.openxmlformats.org/officeDocument/2006/relationships/oleObject" Target="embeddings/oleObject7.bin"/><Relationship Id="rId26" Type="http://schemas.openxmlformats.org/officeDocument/2006/relationships/image" Target="media/image14.wmf"/><Relationship Id="rId25" Type="http://schemas.openxmlformats.org/officeDocument/2006/relationships/oleObject" Target="embeddings/oleObject6.bin"/><Relationship Id="rId24" Type="http://schemas.openxmlformats.org/officeDocument/2006/relationships/image" Target="media/image13.wmf"/><Relationship Id="rId23" Type="http://schemas.openxmlformats.org/officeDocument/2006/relationships/oleObject" Target="embeddings/oleObject5.bin"/><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wmf"/><Relationship Id="rId15" Type="http://schemas.openxmlformats.org/officeDocument/2006/relationships/oleObject" Target="embeddings/oleObject2.bin"/><Relationship Id="rId14" Type="http://schemas.openxmlformats.org/officeDocument/2006/relationships/image" Target="media/image7.wmf"/><Relationship Id="rId13" Type="http://schemas.openxmlformats.org/officeDocument/2006/relationships/oleObject" Target="embeddings/oleObject1.bin"/><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Office">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5A14FFE97AC843929CBAE3F8823396D6_13</vt:lpwstr>
  </property>
  <property fmtid="{D5CDD505-2E9C-101B-9397-08002B2CF9AE}" pid="4" name="KSOTemplateDocerSaveRecord">
    <vt:lpwstr>eyJoZGlkIjoiYmMxY2E0Mjg1MmM5ZTM5NDE1ZjhjOTA5YzgyNThlZTIiLCJ1c2VySWQiOiI4MzQxMzk5MTUifQ==</vt:lpwstr>
  </property>
</Properties>
</file>

<file path=customXml/item3.xml><?xml version="1.0" encoding="utf-8"?>
<Properties xmlns="http://schemas.openxmlformats.org/officeDocument/2006/extended-properties" xmlns:vt="http://schemas.openxmlformats.org/officeDocument/2006/docPropsVTypes">
  <Template>Normal.dotm</Template>
  <Pages>83</Pages>
  <Words>18566</Words>
  <Characters>20084</Characters>
  <Lines>0</Lines>
  <Paragraphs>0</Paragraphs>
  <TotalTime>8</TotalTime>
  <ScaleCrop>false</ScaleCrop>
  <LinksUpToDate>false</LinksUpToDate>
  <CharactersWithSpaces>20210</CharactersWithSpaces>
  <Application>WPS Office_12.1.0.21915_F1E327BC-269C-435d-A152-05C5408002CA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2025-02-05T07:00:00Z</dcterms:created>
  <dc:creator>简</dc:creator>
  <cp:lastModifiedBy>简</cp:lastModifiedBy>
  <dcterms:modified xsi:type="dcterms:W3CDTF">2025-07-30T06:53:33Z</dcterms:modified>
  <cp:revision>1</cp:revision>
</cp:coreProperties>
</file>

<file path=customXml/item5.xml><?xml version="1.0" encoding="utf-8"?>
<Properties xmlns:vt="http://schemas.openxmlformats.org/officeDocument/2006/docPropsVTypes" xmlns="http://schemas.openxmlformats.org/officeDocument/2006/custom-properties">
  <property fmtid="{D5CDD505-2E9C-101B-9397-08002B2CF9AE}" pid="2" name="KSOProductBuildVer">
    <vt:lpwstr>2052-12.1.0.21915</vt:lpwstr>
  </property>
  <property fmtid="{D5CDD505-2E9C-101B-9397-08002B2CF9AE}" pid="3" name="ICV">
    <vt:lpwstr>5A14FFE97AC843929CBAE3F8823396D6_13</vt:lpwstr>
  </property>
  <property fmtid="{D5CDD505-2E9C-101B-9397-08002B2CF9AE}" pid="4" name="KSOTemplateDocerSaveRecord">
    <vt:lpwstr>eyJoZGlkIjoiYmMxY2E0Mjg1MmM5ZTM5NDE1ZjhjOTA5YzgyNThlZTIiLCJ1c2VySWQiOiI4MzQxMzk5MTUifQ_x003D__x003D_</vt:lpwstr>
  </property>
</Properties>
</file>

<file path=customXml/item6.xml><?xml version="1.0" encoding="utf-8"?>
<Properties xmlns:vt="http://schemas.openxmlformats.org/officeDocument/2006/docPropsVTypes" xmlns="http://schemas.openxmlformats.org/officeDocument/2006/extended-properties">
  <Template>Normal.dotm</Template>
  <TotalTime>8</TotalTime>
  <Pages>83</Pages>
  <Words>18566</Words>
  <Characters>20084</Characters>
  <Application>WPS Office_12.1.0.21915_F1E327BC-269C-435d-A152-05C5408002CA</Application>
  <DocSecurity>0</DocSecurity>
  <Lines>0</Lines>
  <Paragraphs>0</Paragraphs>
  <CharactersWithSpaces>20210</CharactersWithSpaces>
  <AppVersion>14.0000</AppVersion>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dc:creator>简</dc:creator>
  <cp:lastModifiedBy>简</cp:lastModifiedBy>
  <cp:revision>1</cp:revision>
  <dcterms:created xsi:type="dcterms:W3CDTF">2025-02-05T07:00:00Z</dcterms:created>
  <dcterms:modified xsi:type="dcterms:W3CDTF">2025-07-30T08:27:48Z</dcterms:modified>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62db89-7990-4625-ae57-7997e82ff24b}">
  <ds:schemaRefs/>
</ds:datastoreItem>
</file>

<file path=customXml/itemProps3.xml><?xml version="1.0" encoding="utf-8"?>
<ds:datastoreItem xmlns:ds="http://schemas.openxmlformats.org/officeDocument/2006/customXml" ds:itemID="{a2f999b5-c7af-4506-b792-b66043169668}">
  <ds:schemaRefs/>
</ds:datastoreItem>
</file>

<file path=customXml/itemProps4.xml><?xml version="1.0" encoding="utf-8"?>
<ds:datastoreItem xmlns:ds="http://schemas.openxmlformats.org/officeDocument/2006/customXml" ds:itemID="{5c2ef8f5-ad5f-4525-98f8-2349d685bfbd}">
  <ds:schemaRefs/>
</ds:datastoreItem>
</file>

<file path=customXml/itemProps5.xml><?xml version="1.0" encoding="utf-8"?>
<ds:datastoreItem xmlns:ds="http://schemas.openxmlformats.org/officeDocument/2006/customXml" ds:itemID="{3a50a8fd-042c-4fa8-88dd-bdcf500e4f36}">
  <ds:schemaRefs/>
</ds:datastoreItem>
</file>

<file path=customXml/itemProps6.xml><?xml version="1.0" encoding="utf-8"?>
<ds:datastoreItem xmlns:ds="http://schemas.openxmlformats.org/officeDocument/2006/customXml" ds:itemID="{f297dac3-152e-41b1-8aa3-a8fa09ac6488}">
  <ds:schemaRefs/>
</ds:datastoreItem>
</file>

<file path=customXml/itemProps7.xml><?xml version="1.0" encoding="utf-8"?>
<ds:datastoreItem xmlns:ds="http://schemas.openxmlformats.org/officeDocument/2006/customXml" ds:itemID="{81881049-543c-4ef8-91ea-ade49513b337}">
  <ds:schemaRefs/>
</ds:datastoreItem>
</file>

<file path=docProps/app.xml><?xml version="1.0" encoding="utf-8"?>
<Properties xmlns="http://schemas.openxmlformats.org/officeDocument/2006/extended-properties" xmlns:vt="http://schemas.openxmlformats.org/officeDocument/2006/docPropsVTypes">
  <Template>Normal.dotm</Template>
  <Pages>83</Pages>
  <Words>18594</Words>
  <Characters>20107</Characters>
  <Lines>0</Lines>
  <Paragraphs>0</Paragraphs>
  <TotalTime>178</TotalTime>
  <ScaleCrop>false</ScaleCrop>
  <LinksUpToDate>false</LinksUpToDate>
  <CharactersWithSpaces>20233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2025-02-05T07:00:00Z</dcterms:created>
  <dc:creator>简</dc:creator>
  <cp:lastModifiedBy>简</cp:lastModifiedBy>
  <dcterms:modified xsi:type="dcterms:W3CDTF">2025-08-01T02:04:02Z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628EF938D0494390B7C3F5D0052CFCBC_13</vt:lpwstr>
  </property>
  <property fmtid="{D5CDD505-2E9C-101B-9397-08002B2CF9AE}" pid="4" name="KSOTemplateDocerSaveRecord">
    <vt:lpwstr>eyJoZGlkIjoiYmMxY2E0Mjg1MmM5ZTM5NDE1ZjhjOTA5YzgyNThlZTIiLCJ1c2VySWQiOiI4MzQxMzk5MTUifQ==</vt:lpwstr>
  </property>
</Properties>
</file>